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CB34F" w14:textId="5430051E" w:rsidR="00136D60" w:rsidRPr="00483DA1" w:rsidRDefault="00136D60" w:rsidP="00136D60">
      <w:pPr>
        <w:jc w:val="center"/>
        <w:rPr>
          <w:rFonts w:ascii="Arial" w:eastAsiaTheme="minorEastAsia" w:hAnsi="Arial" w:cs="Arial"/>
          <w:i/>
          <w:color w:val="000099"/>
          <w:sz w:val="18"/>
          <w:szCs w:val="18"/>
          <w:lang w:eastAsia="pl-PL"/>
        </w:rPr>
      </w:pPr>
    </w:p>
    <w:p w14:paraId="4C37BFA1" w14:textId="7C9C7776" w:rsidR="00136D60" w:rsidRPr="00483DA1" w:rsidRDefault="00424822" w:rsidP="00136D60">
      <w:pPr>
        <w:jc w:val="center"/>
        <w:rPr>
          <w:rFonts w:ascii="Arial" w:eastAsiaTheme="minorEastAsia" w:hAnsi="Arial" w:cs="Arial"/>
          <w:i/>
          <w:color w:val="000099"/>
          <w:sz w:val="18"/>
          <w:szCs w:val="18"/>
          <w:lang w:eastAsia="pl-PL"/>
        </w:rPr>
      </w:pPr>
      <w:r w:rsidRPr="00A115E1">
        <w:rPr>
          <w:rFonts w:ascii="Calibri" w:hAnsi="Calibri" w:cs="Calibri"/>
          <w:noProof/>
          <w:lang w:eastAsia="pl-PL"/>
        </w:rPr>
        <w:drawing>
          <wp:inline distT="0" distB="0" distL="0" distR="0" wp14:anchorId="199FF277" wp14:editId="3CE05517">
            <wp:extent cx="8086259" cy="828675"/>
            <wp:effectExtent l="0" t="0" r="0" b="0"/>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95111" cy="829582"/>
                    </a:xfrm>
                    <a:prstGeom prst="rect">
                      <a:avLst/>
                    </a:prstGeom>
                    <a:noFill/>
                    <a:ln>
                      <a:noFill/>
                    </a:ln>
                  </pic:spPr>
                </pic:pic>
              </a:graphicData>
            </a:graphic>
          </wp:inline>
        </w:drawing>
      </w:r>
    </w:p>
    <w:p w14:paraId="05850690" w14:textId="77777777" w:rsidR="00103B1B" w:rsidRDefault="00103B1B" w:rsidP="00FD69C6">
      <w:pPr>
        <w:jc w:val="center"/>
        <w:rPr>
          <w:rFonts w:ascii="Arial" w:eastAsiaTheme="minorEastAsia" w:hAnsi="Arial" w:cs="Arial"/>
          <w:i/>
          <w:color w:val="000099"/>
          <w:sz w:val="36"/>
          <w:szCs w:val="36"/>
          <w:lang w:eastAsia="pl-PL"/>
        </w:rPr>
      </w:pPr>
    </w:p>
    <w:p w14:paraId="5B59677A" w14:textId="77777777" w:rsidR="00103B1B" w:rsidRDefault="00103B1B" w:rsidP="00FD69C6">
      <w:pPr>
        <w:jc w:val="center"/>
        <w:rPr>
          <w:rFonts w:ascii="Arial" w:eastAsiaTheme="minorEastAsia" w:hAnsi="Arial" w:cs="Arial"/>
          <w:i/>
          <w:color w:val="000099"/>
          <w:sz w:val="36"/>
          <w:szCs w:val="36"/>
          <w:lang w:eastAsia="pl-PL"/>
        </w:rPr>
      </w:pPr>
    </w:p>
    <w:p w14:paraId="0133EF31" w14:textId="5E4934E7" w:rsidR="005B09B9" w:rsidRPr="0089464C" w:rsidRDefault="005B09B9" w:rsidP="005B09B9">
      <w:pPr>
        <w:rPr>
          <w:rFonts w:ascii="Calibri" w:eastAsia="Times New Roman" w:hAnsi="Calibri" w:cs="Times New Roman"/>
          <w:b/>
          <w:i/>
          <w:color w:val="000099"/>
          <w:sz w:val="48"/>
          <w:szCs w:val="28"/>
        </w:rPr>
      </w:pPr>
      <w:r w:rsidRPr="0089464C">
        <w:rPr>
          <w:rFonts w:ascii="Calibri" w:eastAsia="Times New Roman" w:hAnsi="Calibri" w:cs="Times New Roman"/>
          <w:b/>
          <w:i/>
          <w:color w:val="000099"/>
          <w:sz w:val="48"/>
          <w:szCs w:val="28"/>
        </w:rPr>
        <w:t xml:space="preserve">Załącznik nr </w:t>
      </w:r>
      <w:r w:rsidR="007F1C45">
        <w:rPr>
          <w:rFonts w:ascii="Calibri" w:eastAsia="Times New Roman" w:hAnsi="Calibri" w:cs="Times New Roman"/>
          <w:b/>
          <w:i/>
          <w:color w:val="000099"/>
          <w:sz w:val="48"/>
          <w:szCs w:val="28"/>
        </w:rPr>
        <w:t>9</w:t>
      </w:r>
    </w:p>
    <w:p w14:paraId="406BEDDD" w14:textId="77777777" w:rsidR="005B09B9" w:rsidRPr="004A2391" w:rsidRDefault="005B09B9" w:rsidP="005B09B9">
      <w:pPr>
        <w:rPr>
          <w:b/>
        </w:rPr>
      </w:pPr>
    </w:p>
    <w:p w14:paraId="60CF9257" w14:textId="251E8BF1" w:rsidR="005B09B9" w:rsidRPr="008D624B" w:rsidRDefault="005B09B9" w:rsidP="005B09B9">
      <w:pPr>
        <w:rPr>
          <w:rFonts w:ascii="Calibri" w:eastAsia="Times New Roman" w:hAnsi="Calibri" w:cs="Times New Roman"/>
          <w:b/>
          <w:i/>
          <w:color w:val="000099"/>
          <w:sz w:val="48"/>
          <w:szCs w:val="28"/>
        </w:rPr>
      </w:pPr>
      <w:r w:rsidRPr="008D624B">
        <w:rPr>
          <w:rFonts w:ascii="Calibri" w:eastAsia="Times New Roman" w:hAnsi="Calibri" w:cs="Times New Roman"/>
          <w:b/>
          <w:color w:val="000099"/>
          <w:sz w:val="48"/>
          <w:szCs w:val="28"/>
        </w:rPr>
        <w:t xml:space="preserve">Lista wskaźników na poziomie projektu dla działania </w:t>
      </w:r>
      <w:r w:rsidRPr="008D624B">
        <w:rPr>
          <w:rFonts w:ascii="Calibri" w:eastAsia="Times New Roman" w:hAnsi="Calibri" w:cs="Times New Roman"/>
          <w:b/>
          <w:color w:val="000099"/>
          <w:sz w:val="48"/>
          <w:szCs w:val="28"/>
        </w:rPr>
        <w:br/>
      </w:r>
      <w:r w:rsidR="00F83060" w:rsidRPr="00F83060">
        <w:rPr>
          <w:rFonts w:ascii="Calibri" w:eastAsia="Times New Roman" w:hAnsi="Calibri" w:cs="Times New Roman"/>
          <w:b/>
          <w:i/>
          <w:color w:val="000099"/>
          <w:sz w:val="48"/>
          <w:szCs w:val="28"/>
        </w:rPr>
        <w:t>13.</w:t>
      </w:r>
      <w:r w:rsidR="003A17B2">
        <w:rPr>
          <w:rFonts w:ascii="Calibri" w:eastAsia="Times New Roman" w:hAnsi="Calibri" w:cs="Times New Roman"/>
          <w:b/>
          <w:i/>
          <w:color w:val="000099"/>
          <w:sz w:val="48"/>
          <w:szCs w:val="28"/>
        </w:rPr>
        <w:t>3</w:t>
      </w:r>
      <w:r w:rsidR="00F83060" w:rsidRPr="00F83060">
        <w:rPr>
          <w:rFonts w:ascii="Calibri" w:eastAsia="Times New Roman" w:hAnsi="Calibri" w:cs="Times New Roman"/>
          <w:b/>
          <w:i/>
          <w:color w:val="000099"/>
          <w:sz w:val="48"/>
          <w:szCs w:val="28"/>
        </w:rPr>
        <w:t xml:space="preserve"> </w:t>
      </w:r>
      <w:r w:rsidR="003A17B2" w:rsidRPr="003A17B2">
        <w:rPr>
          <w:rFonts w:ascii="Calibri" w:eastAsia="Times New Roman" w:hAnsi="Calibri" w:cs="Times New Roman"/>
          <w:b/>
          <w:bCs/>
          <w:i/>
          <w:iCs/>
          <w:color w:val="000099"/>
          <w:sz w:val="48"/>
          <w:szCs w:val="28"/>
        </w:rPr>
        <w:t xml:space="preserve">Infrastruktura społeczno-publiczna </w:t>
      </w:r>
      <w:r w:rsidR="00F83060" w:rsidRPr="00F83060">
        <w:rPr>
          <w:rFonts w:ascii="Calibri" w:eastAsia="Times New Roman" w:hAnsi="Calibri" w:cs="Times New Roman"/>
          <w:b/>
          <w:i/>
          <w:color w:val="000099"/>
          <w:sz w:val="48"/>
          <w:szCs w:val="28"/>
        </w:rPr>
        <w:t>– odbudowa po powodzi</w:t>
      </w:r>
      <w:r w:rsidR="003A17B2">
        <w:rPr>
          <w:rFonts w:ascii="Calibri" w:eastAsia="Times New Roman" w:hAnsi="Calibri" w:cs="Times New Roman"/>
          <w:b/>
          <w:i/>
          <w:color w:val="000099"/>
          <w:sz w:val="48"/>
          <w:szCs w:val="28"/>
        </w:rPr>
        <w:t xml:space="preserve"> </w:t>
      </w:r>
      <w:r w:rsidR="003A17B2">
        <w:rPr>
          <w:rFonts w:ascii="Calibri" w:eastAsia="Times New Roman" w:hAnsi="Calibri" w:cs="Times New Roman"/>
          <w:b/>
          <w:i/>
          <w:color w:val="000099"/>
          <w:sz w:val="48"/>
          <w:szCs w:val="28"/>
        </w:rPr>
        <w:br/>
      </w:r>
      <w:r>
        <w:rPr>
          <w:rFonts w:ascii="Calibri" w:eastAsia="Times New Roman" w:hAnsi="Calibri" w:cs="Times New Roman"/>
          <w:b/>
          <w:i/>
          <w:color w:val="000099"/>
          <w:sz w:val="48"/>
          <w:szCs w:val="28"/>
        </w:rPr>
        <w:t>FEO 2021-2027</w:t>
      </w:r>
    </w:p>
    <w:p w14:paraId="334E28F9" w14:textId="77777777" w:rsidR="00136D60" w:rsidRPr="00483DA1" w:rsidRDefault="00136D60" w:rsidP="00136D60">
      <w:pPr>
        <w:rPr>
          <w:rFonts w:ascii="Arial" w:eastAsiaTheme="minorEastAsia" w:hAnsi="Arial" w:cs="Arial"/>
          <w:sz w:val="18"/>
          <w:szCs w:val="18"/>
          <w:lang w:eastAsia="pl-PL"/>
        </w:rPr>
      </w:pPr>
    </w:p>
    <w:p w14:paraId="208A4716" w14:textId="77777777" w:rsidR="007F1C45" w:rsidRPr="003A2774" w:rsidRDefault="007F1C45" w:rsidP="007F1C45">
      <w:pPr>
        <w:rPr>
          <w:b/>
          <w:sz w:val="36"/>
          <w:szCs w:val="36"/>
        </w:rPr>
      </w:pPr>
      <w:r w:rsidRPr="003A2774">
        <w:rPr>
          <w:b/>
          <w:sz w:val="36"/>
          <w:szCs w:val="36"/>
        </w:rPr>
        <w:t xml:space="preserve">Opole, </w:t>
      </w:r>
      <w:r>
        <w:rPr>
          <w:b/>
          <w:sz w:val="36"/>
          <w:szCs w:val="36"/>
        </w:rPr>
        <w:t>sierpień</w:t>
      </w:r>
      <w:r w:rsidRPr="003A2774">
        <w:rPr>
          <w:b/>
          <w:sz w:val="36"/>
          <w:szCs w:val="36"/>
        </w:rPr>
        <w:t xml:space="preserve"> 2025 r.</w:t>
      </w:r>
    </w:p>
    <w:p w14:paraId="5886B212" w14:textId="75ED029D" w:rsidR="00136D60" w:rsidRPr="00483DA1" w:rsidRDefault="00136D60" w:rsidP="00136D60">
      <w:pPr>
        <w:rPr>
          <w:rFonts w:ascii="Arial" w:eastAsiaTheme="minorEastAsia" w:hAnsi="Arial" w:cs="Arial"/>
          <w:sz w:val="18"/>
          <w:szCs w:val="18"/>
          <w:lang w:eastAsia="pl-PL"/>
        </w:rPr>
      </w:pPr>
    </w:p>
    <w:tbl>
      <w:tblPr>
        <w:tblStyle w:val="Tabela-Siatka"/>
        <w:tblW w:w="14457" w:type="dxa"/>
        <w:tblBorders>
          <w:top w:val="single" w:sz="12" w:space="0" w:color="33CC33"/>
          <w:left w:val="single" w:sz="12" w:space="0" w:color="33CC33"/>
          <w:bottom w:val="single" w:sz="12" w:space="0" w:color="33CC33"/>
          <w:right w:val="single" w:sz="12" w:space="0" w:color="33CC33"/>
          <w:insideH w:val="single" w:sz="4" w:space="0" w:color="33CC33"/>
          <w:insideV w:val="single" w:sz="4" w:space="0" w:color="33CC33"/>
        </w:tblBorders>
        <w:tblLayout w:type="fixed"/>
        <w:tblLook w:val="04A0" w:firstRow="1" w:lastRow="0" w:firstColumn="1" w:lastColumn="0" w:noHBand="0" w:noVBand="1"/>
      </w:tblPr>
      <w:tblGrid>
        <w:gridCol w:w="552"/>
        <w:gridCol w:w="2977"/>
        <w:gridCol w:w="1276"/>
        <w:gridCol w:w="1276"/>
        <w:gridCol w:w="1275"/>
        <w:gridCol w:w="1560"/>
        <w:gridCol w:w="5528"/>
        <w:gridCol w:w="13"/>
      </w:tblGrid>
      <w:tr w:rsidR="005B09B9" w:rsidRPr="00F83060" w14:paraId="034791AC" w14:textId="77777777" w:rsidTr="003A17B2">
        <w:trPr>
          <w:gridAfter w:val="1"/>
          <w:wAfter w:w="13" w:type="dxa"/>
          <w:trHeight w:hRule="exact" w:val="839"/>
          <w:tblHeader/>
        </w:trPr>
        <w:tc>
          <w:tcPr>
            <w:tcW w:w="552" w:type="dxa"/>
            <w:tcBorders>
              <w:top w:val="single" w:sz="8" w:space="0" w:color="33CC33"/>
              <w:bottom w:val="single" w:sz="12" w:space="0" w:color="33CC33"/>
              <w:right w:val="single" w:sz="12" w:space="0" w:color="33CC33"/>
            </w:tcBorders>
            <w:shd w:val="clear" w:color="auto" w:fill="F2F2F2"/>
            <w:vAlign w:val="center"/>
          </w:tcPr>
          <w:p w14:paraId="1F5BF369" w14:textId="77777777" w:rsidR="005B09B9" w:rsidRPr="00F83060" w:rsidRDefault="005B09B9" w:rsidP="002B30FD">
            <w:pPr>
              <w:spacing w:before="80" w:after="80"/>
              <w:jc w:val="center"/>
              <w:rPr>
                <w:rFonts w:cstheme="minorHAnsi"/>
                <w:b/>
                <w:color w:val="000099"/>
                <w:sz w:val="24"/>
                <w:szCs w:val="24"/>
              </w:rPr>
            </w:pPr>
            <w:r w:rsidRPr="00F83060">
              <w:rPr>
                <w:rFonts w:cstheme="minorHAnsi"/>
                <w:b/>
                <w:color w:val="000099"/>
                <w:sz w:val="24"/>
                <w:szCs w:val="24"/>
              </w:rPr>
              <w:lastRenderedPageBreak/>
              <w:t>Lp.</w:t>
            </w:r>
          </w:p>
        </w:tc>
        <w:tc>
          <w:tcPr>
            <w:tcW w:w="297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2595D904" w14:textId="77777777" w:rsidR="005B09B9" w:rsidRPr="00F83060" w:rsidRDefault="005B09B9" w:rsidP="002B30FD">
            <w:pPr>
              <w:spacing w:before="80" w:after="80"/>
              <w:jc w:val="center"/>
              <w:rPr>
                <w:rFonts w:cstheme="minorHAnsi"/>
                <w:b/>
                <w:color w:val="000099"/>
                <w:sz w:val="24"/>
                <w:szCs w:val="24"/>
              </w:rPr>
            </w:pPr>
            <w:r w:rsidRPr="00F83060">
              <w:rPr>
                <w:rFonts w:cstheme="minorHAnsi"/>
                <w:b/>
                <w:color w:val="000099"/>
                <w:sz w:val="24"/>
                <w:szCs w:val="24"/>
              </w:rPr>
              <w:t>Nazwa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00B32814" w14:textId="77777777" w:rsidR="005B09B9" w:rsidRPr="00F83060" w:rsidRDefault="005B09B9" w:rsidP="002B30FD">
            <w:pPr>
              <w:spacing w:before="80" w:after="80"/>
              <w:jc w:val="center"/>
              <w:rPr>
                <w:rFonts w:cstheme="minorHAnsi"/>
                <w:b/>
                <w:color w:val="000099"/>
                <w:sz w:val="24"/>
                <w:szCs w:val="24"/>
              </w:rPr>
            </w:pPr>
            <w:r w:rsidRPr="00F83060">
              <w:rPr>
                <w:rFonts w:cstheme="minorHAnsi"/>
                <w:b/>
                <w:color w:val="000099"/>
                <w:sz w:val="24"/>
                <w:szCs w:val="24"/>
              </w:rPr>
              <w:t>Jednostka miary</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4152E86" w14:textId="77777777" w:rsidR="005B09B9" w:rsidRPr="00F83060" w:rsidRDefault="005B09B9" w:rsidP="002B30FD">
            <w:pPr>
              <w:spacing w:before="80" w:after="80"/>
              <w:jc w:val="center"/>
              <w:rPr>
                <w:rFonts w:cstheme="minorHAnsi"/>
                <w:b/>
                <w:color w:val="000099"/>
                <w:sz w:val="24"/>
                <w:szCs w:val="24"/>
              </w:rPr>
            </w:pPr>
            <w:r w:rsidRPr="00F83060">
              <w:rPr>
                <w:rFonts w:cstheme="minorHAnsi"/>
                <w:b/>
                <w:color w:val="000099"/>
                <w:sz w:val="24"/>
                <w:szCs w:val="24"/>
              </w:rPr>
              <w:t>Rodzaj wskaźnika</w:t>
            </w:r>
          </w:p>
        </w:tc>
        <w:tc>
          <w:tcPr>
            <w:tcW w:w="1275"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BA6D1C6" w14:textId="77777777" w:rsidR="005B09B9" w:rsidRPr="00F83060" w:rsidRDefault="005B09B9" w:rsidP="002B30FD">
            <w:pPr>
              <w:spacing w:before="80" w:after="80"/>
              <w:jc w:val="center"/>
              <w:rPr>
                <w:rFonts w:cstheme="minorHAnsi"/>
                <w:b/>
                <w:color w:val="000099"/>
                <w:sz w:val="24"/>
                <w:szCs w:val="24"/>
              </w:rPr>
            </w:pPr>
            <w:r w:rsidRPr="00F83060">
              <w:rPr>
                <w:rFonts w:cstheme="minorHAnsi"/>
                <w:b/>
                <w:color w:val="000099"/>
                <w:sz w:val="24"/>
                <w:szCs w:val="24"/>
              </w:rPr>
              <w:t>Typ wskaźnika</w:t>
            </w:r>
          </w:p>
        </w:tc>
        <w:tc>
          <w:tcPr>
            <w:tcW w:w="1560"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9CA917C" w14:textId="77777777" w:rsidR="005B09B9" w:rsidRPr="00F83060" w:rsidRDefault="005B09B9" w:rsidP="002B30FD">
            <w:pPr>
              <w:spacing w:before="80" w:after="80"/>
              <w:jc w:val="center"/>
              <w:rPr>
                <w:rFonts w:cstheme="minorHAnsi"/>
                <w:b/>
                <w:color w:val="000099"/>
                <w:sz w:val="24"/>
                <w:szCs w:val="24"/>
              </w:rPr>
            </w:pPr>
            <w:r w:rsidRPr="00F83060">
              <w:rPr>
                <w:rFonts w:cstheme="minorHAnsi"/>
                <w:b/>
                <w:color w:val="000099"/>
                <w:sz w:val="24"/>
                <w:szCs w:val="24"/>
              </w:rPr>
              <w:t>Inne uwagi</w:t>
            </w:r>
          </w:p>
        </w:tc>
        <w:tc>
          <w:tcPr>
            <w:tcW w:w="5528" w:type="dxa"/>
            <w:tcBorders>
              <w:top w:val="single" w:sz="8" w:space="0" w:color="33CC33"/>
              <w:left w:val="single" w:sz="12" w:space="0" w:color="33CC33"/>
              <w:bottom w:val="single" w:sz="12" w:space="0" w:color="33CC33"/>
            </w:tcBorders>
            <w:shd w:val="clear" w:color="auto" w:fill="F2F2F2"/>
            <w:vAlign w:val="center"/>
          </w:tcPr>
          <w:p w14:paraId="6B3C4C4A" w14:textId="77777777" w:rsidR="005B09B9" w:rsidRPr="00F83060" w:rsidRDefault="005B09B9" w:rsidP="002B30FD">
            <w:pPr>
              <w:spacing w:before="80" w:after="80"/>
              <w:jc w:val="center"/>
              <w:rPr>
                <w:rFonts w:cstheme="minorHAnsi"/>
                <w:b/>
                <w:color w:val="000099"/>
                <w:sz w:val="24"/>
                <w:szCs w:val="24"/>
              </w:rPr>
            </w:pPr>
            <w:r w:rsidRPr="00F83060">
              <w:rPr>
                <w:rFonts w:cstheme="minorHAnsi"/>
                <w:b/>
                <w:color w:val="000099"/>
                <w:sz w:val="24"/>
                <w:szCs w:val="24"/>
              </w:rPr>
              <w:t>Definicja</w:t>
            </w:r>
          </w:p>
        </w:tc>
      </w:tr>
      <w:tr w:rsidR="005B09B9" w:rsidRPr="00F83060" w14:paraId="201923BE" w14:textId="77777777" w:rsidTr="003A17B2">
        <w:trPr>
          <w:trHeight w:hRule="exact" w:val="567"/>
        </w:trPr>
        <w:tc>
          <w:tcPr>
            <w:tcW w:w="14457" w:type="dxa"/>
            <w:gridSpan w:val="8"/>
            <w:tcBorders>
              <w:top w:val="single" w:sz="12" w:space="0" w:color="33CC33"/>
              <w:bottom w:val="single" w:sz="12" w:space="0" w:color="33CC33"/>
            </w:tcBorders>
            <w:shd w:val="clear" w:color="auto" w:fill="D9D9D9" w:themeFill="background1" w:themeFillShade="D9"/>
            <w:vAlign w:val="center"/>
          </w:tcPr>
          <w:p w14:paraId="7DA78EAB" w14:textId="69BB950C" w:rsidR="005B09B9" w:rsidRPr="00F83060" w:rsidRDefault="00A165B8" w:rsidP="005B09B9">
            <w:pPr>
              <w:spacing w:before="80" w:after="80"/>
              <w:rPr>
                <w:rFonts w:cstheme="minorHAnsi"/>
                <w:i/>
                <w:color w:val="000099"/>
                <w:sz w:val="24"/>
                <w:szCs w:val="24"/>
              </w:rPr>
            </w:pPr>
            <w:r>
              <w:rPr>
                <w:rFonts w:cstheme="minorHAnsi"/>
                <w:i/>
                <w:color w:val="000099"/>
                <w:sz w:val="24"/>
                <w:szCs w:val="24"/>
              </w:rPr>
              <w:t>Priorytet</w:t>
            </w:r>
            <w:r w:rsidRPr="00F83060">
              <w:rPr>
                <w:rFonts w:cstheme="minorHAnsi"/>
                <w:i/>
                <w:color w:val="000099"/>
                <w:sz w:val="24"/>
                <w:szCs w:val="24"/>
              </w:rPr>
              <w:t xml:space="preserve"> </w:t>
            </w:r>
            <w:r>
              <w:rPr>
                <w:rFonts w:cstheme="minorHAnsi"/>
                <w:i/>
                <w:color w:val="000099"/>
                <w:sz w:val="24"/>
                <w:szCs w:val="24"/>
              </w:rPr>
              <w:t>XI</w:t>
            </w:r>
            <w:r w:rsidRPr="00F83060">
              <w:rPr>
                <w:rFonts w:cstheme="minorHAnsi"/>
                <w:i/>
                <w:color w:val="000099"/>
                <w:sz w:val="24"/>
                <w:szCs w:val="24"/>
              </w:rPr>
              <w:t xml:space="preserve">II </w:t>
            </w:r>
            <w:r w:rsidRPr="00F83060">
              <w:rPr>
                <w:rFonts w:cstheme="minorHAnsi"/>
                <w:b/>
                <w:i/>
                <w:color w:val="000099"/>
                <w:sz w:val="24"/>
                <w:szCs w:val="24"/>
              </w:rPr>
              <w:t xml:space="preserve">Fundusze Europejskie </w:t>
            </w:r>
            <w:r w:rsidRPr="0098148F">
              <w:rPr>
                <w:rFonts w:cstheme="minorHAnsi"/>
                <w:b/>
                <w:i/>
                <w:color w:val="000099"/>
                <w:sz w:val="24"/>
                <w:szCs w:val="24"/>
              </w:rPr>
              <w:t xml:space="preserve">na rzecz odbudowy i odporności </w:t>
            </w:r>
            <w:r>
              <w:rPr>
                <w:rFonts w:cstheme="minorHAnsi"/>
                <w:b/>
                <w:i/>
                <w:color w:val="000099"/>
                <w:sz w:val="24"/>
                <w:szCs w:val="24"/>
              </w:rPr>
              <w:t>O</w:t>
            </w:r>
            <w:r w:rsidRPr="0098148F">
              <w:rPr>
                <w:rFonts w:cstheme="minorHAnsi"/>
                <w:b/>
                <w:i/>
                <w:color w:val="000099"/>
                <w:sz w:val="24"/>
                <w:szCs w:val="24"/>
              </w:rPr>
              <w:t>polskiego po powodzi (RESTORE)</w:t>
            </w:r>
          </w:p>
        </w:tc>
      </w:tr>
      <w:tr w:rsidR="005B09B9" w:rsidRPr="00F83060" w14:paraId="7974C606" w14:textId="77777777" w:rsidTr="003A17B2">
        <w:trPr>
          <w:trHeight w:hRule="exact" w:val="567"/>
        </w:trPr>
        <w:tc>
          <w:tcPr>
            <w:tcW w:w="14457" w:type="dxa"/>
            <w:gridSpan w:val="8"/>
            <w:tcBorders>
              <w:top w:val="single" w:sz="12" w:space="0" w:color="33CC33"/>
              <w:bottom w:val="single" w:sz="12" w:space="0" w:color="33CC33"/>
            </w:tcBorders>
            <w:shd w:val="clear" w:color="auto" w:fill="EAF1DD"/>
            <w:vAlign w:val="center"/>
          </w:tcPr>
          <w:p w14:paraId="45199519" w14:textId="4C3924BF" w:rsidR="00A165B8" w:rsidRPr="00F83060" w:rsidRDefault="00A165B8" w:rsidP="00A165B8">
            <w:pPr>
              <w:spacing w:before="80" w:after="80"/>
              <w:rPr>
                <w:rFonts w:cstheme="minorHAnsi"/>
                <w:b/>
                <w:i/>
                <w:color w:val="000099"/>
                <w:sz w:val="24"/>
                <w:szCs w:val="24"/>
              </w:rPr>
            </w:pPr>
            <w:r w:rsidRPr="00F83060">
              <w:rPr>
                <w:rFonts w:cstheme="minorHAnsi"/>
                <w:i/>
                <w:color w:val="000099"/>
                <w:sz w:val="24"/>
                <w:szCs w:val="24"/>
              </w:rPr>
              <w:t xml:space="preserve">Działanie </w:t>
            </w:r>
            <w:r>
              <w:rPr>
                <w:rFonts w:cstheme="minorHAnsi"/>
                <w:i/>
                <w:color w:val="000099"/>
                <w:sz w:val="24"/>
                <w:szCs w:val="24"/>
              </w:rPr>
              <w:t>13</w:t>
            </w:r>
            <w:r w:rsidRPr="00F83060">
              <w:rPr>
                <w:rFonts w:cstheme="minorHAnsi"/>
                <w:i/>
                <w:color w:val="000099"/>
                <w:sz w:val="24"/>
                <w:szCs w:val="24"/>
              </w:rPr>
              <w:t>.</w:t>
            </w:r>
            <w:r w:rsidR="003A17B2">
              <w:rPr>
                <w:rFonts w:cstheme="minorHAnsi"/>
                <w:i/>
                <w:color w:val="000099"/>
                <w:sz w:val="24"/>
                <w:szCs w:val="24"/>
              </w:rPr>
              <w:t>3</w:t>
            </w:r>
            <w:r w:rsidRPr="00F83060">
              <w:rPr>
                <w:rFonts w:cstheme="minorHAnsi"/>
                <w:i/>
                <w:color w:val="000099"/>
                <w:sz w:val="24"/>
                <w:szCs w:val="24"/>
              </w:rPr>
              <w:t xml:space="preserve">  </w:t>
            </w:r>
            <w:r w:rsidR="003A17B2" w:rsidRPr="003A17B2">
              <w:rPr>
                <w:rFonts w:cstheme="minorHAnsi"/>
                <w:b/>
                <w:bCs/>
                <w:i/>
                <w:iCs/>
                <w:color w:val="000099"/>
                <w:sz w:val="24"/>
                <w:szCs w:val="24"/>
              </w:rPr>
              <w:t xml:space="preserve">Infrastruktura społeczno-publiczna </w:t>
            </w:r>
            <w:r w:rsidRPr="0098148F">
              <w:rPr>
                <w:rFonts w:cstheme="minorHAnsi"/>
                <w:b/>
                <w:i/>
                <w:color w:val="000099"/>
                <w:sz w:val="24"/>
                <w:szCs w:val="24"/>
              </w:rPr>
              <w:t>– odbudowa po powodzi</w:t>
            </w:r>
          </w:p>
          <w:p w14:paraId="53A5D092" w14:textId="77777777" w:rsidR="009029C4" w:rsidRPr="00F83060" w:rsidRDefault="009029C4" w:rsidP="009029C4">
            <w:pPr>
              <w:spacing w:before="80" w:after="80"/>
              <w:rPr>
                <w:rFonts w:cstheme="minorHAnsi"/>
                <w:b/>
                <w:i/>
                <w:color w:val="000099"/>
                <w:sz w:val="24"/>
                <w:szCs w:val="24"/>
              </w:rPr>
            </w:pPr>
            <w:r w:rsidRPr="00F83060">
              <w:rPr>
                <w:rFonts w:cstheme="minorHAnsi"/>
                <w:b/>
                <w:i/>
                <w:color w:val="000099"/>
                <w:sz w:val="24"/>
                <w:szCs w:val="24"/>
              </w:rPr>
              <w:t>FEO 2021-2027</w:t>
            </w:r>
          </w:p>
          <w:p w14:paraId="7F7CFFF8" w14:textId="1B3F52E6" w:rsidR="005B09B9" w:rsidRPr="00F83060" w:rsidRDefault="005B09B9" w:rsidP="005B09B9">
            <w:pPr>
              <w:spacing w:before="80" w:after="80"/>
              <w:rPr>
                <w:rFonts w:cstheme="minorHAnsi"/>
                <w:i/>
                <w:color w:val="000099"/>
                <w:sz w:val="24"/>
                <w:szCs w:val="24"/>
              </w:rPr>
            </w:pPr>
          </w:p>
        </w:tc>
      </w:tr>
      <w:tr w:rsidR="00A165B8" w:rsidRPr="00A165B8" w14:paraId="13D124DA" w14:textId="77777777" w:rsidTr="003A17B2">
        <w:trPr>
          <w:gridAfter w:val="1"/>
          <w:wAfter w:w="13" w:type="dxa"/>
          <w:trHeight w:val="1133"/>
        </w:trPr>
        <w:tc>
          <w:tcPr>
            <w:tcW w:w="552" w:type="dxa"/>
            <w:vAlign w:val="center"/>
          </w:tcPr>
          <w:p w14:paraId="72D0B143" w14:textId="4B3C34C7" w:rsidR="00A165B8" w:rsidRPr="00A165B8" w:rsidRDefault="00A165B8" w:rsidP="00A165B8">
            <w:pPr>
              <w:spacing w:before="60" w:after="60"/>
              <w:rPr>
                <w:rFonts w:cstheme="minorHAnsi"/>
                <w:sz w:val="24"/>
                <w:szCs w:val="24"/>
              </w:rPr>
            </w:pPr>
            <w:r w:rsidRPr="00A165B8">
              <w:rPr>
                <w:rFonts w:cstheme="minorHAnsi"/>
                <w:sz w:val="24"/>
                <w:szCs w:val="24"/>
              </w:rPr>
              <w:t>1.</w:t>
            </w:r>
          </w:p>
        </w:tc>
        <w:tc>
          <w:tcPr>
            <w:tcW w:w="2977" w:type="dxa"/>
            <w:vAlign w:val="center"/>
          </w:tcPr>
          <w:p w14:paraId="4B2D4808" w14:textId="51E67021" w:rsidR="00A165B8" w:rsidRPr="00A165B8" w:rsidRDefault="003A17B2" w:rsidP="00A165B8">
            <w:pPr>
              <w:spacing w:before="60" w:after="60"/>
              <w:rPr>
                <w:rFonts w:eastAsia="Times New Roman" w:cstheme="minorHAnsi"/>
                <w:i/>
                <w:iCs/>
                <w:sz w:val="24"/>
                <w:szCs w:val="24"/>
              </w:rPr>
            </w:pPr>
            <w:r w:rsidRPr="003A17B2">
              <w:rPr>
                <w:rFonts w:cstheme="minorHAnsi"/>
                <w:i/>
                <w:color w:val="000000"/>
                <w:sz w:val="24"/>
                <w:szCs w:val="24"/>
                <w:shd w:val="clear" w:color="auto" w:fill="FFFFFF"/>
              </w:rPr>
              <w:t>Liczba przywróconych do użytkowania obiektów infrastruktury</w:t>
            </w:r>
          </w:p>
        </w:tc>
        <w:tc>
          <w:tcPr>
            <w:tcW w:w="1276" w:type="dxa"/>
            <w:vAlign w:val="center"/>
          </w:tcPr>
          <w:p w14:paraId="23313BF1" w14:textId="617D8B54" w:rsidR="00A165B8" w:rsidRPr="00A165B8" w:rsidRDefault="003A17B2" w:rsidP="00A165B8">
            <w:pPr>
              <w:spacing w:before="60" w:after="60"/>
              <w:rPr>
                <w:rFonts w:eastAsia="Times New Roman" w:cstheme="minorHAnsi"/>
                <w:sz w:val="24"/>
                <w:szCs w:val="24"/>
              </w:rPr>
            </w:pPr>
            <w:r>
              <w:rPr>
                <w:rFonts w:cstheme="minorHAnsi"/>
                <w:sz w:val="24"/>
                <w:szCs w:val="24"/>
              </w:rPr>
              <w:t>szt.</w:t>
            </w:r>
          </w:p>
        </w:tc>
        <w:tc>
          <w:tcPr>
            <w:tcW w:w="1276" w:type="dxa"/>
            <w:vAlign w:val="center"/>
          </w:tcPr>
          <w:p w14:paraId="32D548A5" w14:textId="769517FF" w:rsidR="00A165B8" w:rsidRPr="00A165B8" w:rsidRDefault="00A165B8" w:rsidP="00A165B8">
            <w:pPr>
              <w:spacing w:before="60" w:after="60"/>
              <w:rPr>
                <w:rFonts w:cstheme="minorHAnsi"/>
                <w:sz w:val="24"/>
                <w:szCs w:val="24"/>
              </w:rPr>
            </w:pPr>
            <w:r w:rsidRPr="00A165B8">
              <w:rPr>
                <w:rFonts w:cstheme="minorHAnsi"/>
                <w:sz w:val="24"/>
                <w:szCs w:val="24"/>
              </w:rPr>
              <w:t>produkt</w:t>
            </w:r>
          </w:p>
        </w:tc>
        <w:tc>
          <w:tcPr>
            <w:tcW w:w="1275" w:type="dxa"/>
            <w:vAlign w:val="center"/>
          </w:tcPr>
          <w:p w14:paraId="3B50AF58" w14:textId="6CF8354C" w:rsidR="00A165B8" w:rsidRPr="00A165B8" w:rsidRDefault="00A165B8" w:rsidP="00A165B8">
            <w:pPr>
              <w:spacing w:before="60" w:after="60"/>
              <w:rPr>
                <w:rFonts w:cstheme="minorHAnsi"/>
                <w:sz w:val="24"/>
                <w:szCs w:val="24"/>
              </w:rPr>
            </w:pPr>
            <w:r w:rsidRPr="00A165B8">
              <w:rPr>
                <w:rFonts w:cstheme="minorHAnsi"/>
                <w:sz w:val="24"/>
                <w:szCs w:val="24"/>
              </w:rPr>
              <w:t>kluczowy</w:t>
            </w:r>
          </w:p>
        </w:tc>
        <w:tc>
          <w:tcPr>
            <w:tcW w:w="1560" w:type="dxa"/>
            <w:vAlign w:val="center"/>
          </w:tcPr>
          <w:p w14:paraId="21638ECC" w14:textId="76F5CFAB" w:rsidR="00A165B8" w:rsidRPr="00A165B8" w:rsidRDefault="00D479AA" w:rsidP="00A165B8">
            <w:pPr>
              <w:spacing w:before="60" w:after="60"/>
              <w:jc w:val="center"/>
              <w:rPr>
                <w:rFonts w:cstheme="minorHAnsi"/>
                <w:sz w:val="24"/>
                <w:szCs w:val="24"/>
              </w:rPr>
            </w:pPr>
            <w:r>
              <w:rPr>
                <w:rFonts w:cstheme="minorHAnsi"/>
                <w:sz w:val="24"/>
                <w:szCs w:val="24"/>
              </w:rPr>
              <w:t>w</w:t>
            </w:r>
            <w:r w:rsidR="00A165B8" w:rsidRPr="00A165B8">
              <w:rPr>
                <w:rFonts w:cstheme="minorHAnsi"/>
                <w:sz w:val="24"/>
                <w:szCs w:val="24"/>
              </w:rPr>
              <w:t>skaźnik programowy</w:t>
            </w:r>
          </w:p>
        </w:tc>
        <w:tc>
          <w:tcPr>
            <w:tcW w:w="5528" w:type="dxa"/>
            <w:vAlign w:val="center"/>
          </w:tcPr>
          <w:p w14:paraId="0369FB0F" w14:textId="369AA37B" w:rsidR="00A165B8" w:rsidRPr="00A165B8" w:rsidRDefault="003A17B2" w:rsidP="00A165B8">
            <w:pPr>
              <w:spacing w:before="60" w:after="60"/>
              <w:rPr>
                <w:rFonts w:cstheme="minorHAnsi"/>
                <w:sz w:val="24"/>
                <w:szCs w:val="24"/>
              </w:rPr>
            </w:pPr>
            <w:r>
              <w:rPr>
                <w:rFonts w:cstheme="minorHAnsi"/>
                <w:sz w:val="24"/>
                <w:szCs w:val="24"/>
              </w:rPr>
              <w:t>L</w:t>
            </w:r>
            <w:r w:rsidRPr="003A17B2">
              <w:rPr>
                <w:rFonts w:cstheme="minorHAnsi"/>
                <w:sz w:val="24"/>
                <w:szCs w:val="24"/>
              </w:rPr>
              <w:t>iczba uszkodzonych w wyniku powodzi obiektów, które zostały odbudowane, wyremontowane lub których funkcjonalność została przywrócona w wyniku realizowanego projektu</w:t>
            </w:r>
          </w:p>
        </w:tc>
      </w:tr>
      <w:tr w:rsidR="003A17B2" w:rsidRPr="00F83060" w14:paraId="1CF1936F" w14:textId="77777777" w:rsidTr="003A17B2">
        <w:trPr>
          <w:gridAfter w:val="1"/>
          <w:wAfter w:w="13" w:type="dxa"/>
          <w:trHeight w:val="63"/>
        </w:trPr>
        <w:tc>
          <w:tcPr>
            <w:tcW w:w="552" w:type="dxa"/>
            <w:tcBorders>
              <w:top w:val="single" w:sz="8" w:space="0" w:color="33CC33"/>
              <w:bottom w:val="single" w:sz="8" w:space="0" w:color="33CC33"/>
            </w:tcBorders>
            <w:vAlign w:val="center"/>
          </w:tcPr>
          <w:p w14:paraId="4415D23F" w14:textId="211C2A82" w:rsidR="003A17B2" w:rsidRPr="00F83060" w:rsidRDefault="003A17B2" w:rsidP="003A17B2">
            <w:pPr>
              <w:spacing w:before="60" w:after="60"/>
              <w:rPr>
                <w:rFonts w:cstheme="minorHAnsi"/>
                <w:sz w:val="24"/>
                <w:szCs w:val="24"/>
              </w:rPr>
            </w:pPr>
            <w:r w:rsidRPr="00F83060">
              <w:rPr>
                <w:rFonts w:cstheme="minorHAnsi"/>
                <w:sz w:val="24"/>
                <w:szCs w:val="24"/>
              </w:rPr>
              <w:t>2.</w:t>
            </w:r>
          </w:p>
        </w:tc>
        <w:tc>
          <w:tcPr>
            <w:tcW w:w="2977" w:type="dxa"/>
            <w:tcBorders>
              <w:top w:val="single" w:sz="8" w:space="0" w:color="33CC33"/>
              <w:bottom w:val="single" w:sz="8" w:space="0" w:color="33CC33"/>
            </w:tcBorders>
            <w:vAlign w:val="center"/>
          </w:tcPr>
          <w:p w14:paraId="142F87C4" w14:textId="107BF23C" w:rsidR="003A17B2" w:rsidRPr="003A17B2" w:rsidRDefault="003A17B2" w:rsidP="003A17B2">
            <w:pPr>
              <w:autoSpaceDE w:val="0"/>
              <w:autoSpaceDN w:val="0"/>
              <w:adjustRightInd w:val="0"/>
              <w:rPr>
                <w:rFonts w:cstheme="minorHAnsi"/>
                <w:i/>
                <w:sz w:val="24"/>
                <w:szCs w:val="24"/>
              </w:rPr>
            </w:pPr>
            <w:r w:rsidRPr="003A17B2">
              <w:rPr>
                <w:rFonts w:cstheme="minorHAnsi"/>
                <w:i/>
                <w:sz w:val="24"/>
                <w:szCs w:val="24"/>
              </w:rPr>
              <w:t>Liczba zmodernizowanych energetycznie budynków</w:t>
            </w:r>
          </w:p>
        </w:tc>
        <w:tc>
          <w:tcPr>
            <w:tcW w:w="1276" w:type="dxa"/>
            <w:tcBorders>
              <w:top w:val="single" w:sz="8" w:space="0" w:color="33CC33"/>
              <w:bottom w:val="single" w:sz="8" w:space="0" w:color="33CC33"/>
            </w:tcBorders>
            <w:vAlign w:val="center"/>
          </w:tcPr>
          <w:p w14:paraId="7E782B9D" w14:textId="2BC0B806" w:rsidR="003A17B2" w:rsidRPr="003A17B2" w:rsidRDefault="003A17B2" w:rsidP="003A17B2">
            <w:pPr>
              <w:spacing w:before="60" w:after="60"/>
              <w:rPr>
                <w:rFonts w:cstheme="minorHAnsi"/>
                <w:sz w:val="24"/>
                <w:szCs w:val="24"/>
              </w:rPr>
            </w:pPr>
            <w:r w:rsidRPr="003A17B2">
              <w:rPr>
                <w:rFonts w:cstheme="minorHAnsi"/>
                <w:sz w:val="24"/>
                <w:szCs w:val="24"/>
              </w:rPr>
              <w:t>szt.</w:t>
            </w:r>
          </w:p>
        </w:tc>
        <w:tc>
          <w:tcPr>
            <w:tcW w:w="1276" w:type="dxa"/>
            <w:tcBorders>
              <w:top w:val="single" w:sz="8" w:space="0" w:color="33CC33"/>
              <w:bottom w:val="single" w:sz="8" w:space="0" w:color="33CC33"/>
            </w:tcBorders>
            <w:vAlign w:val="center"/>
          </w:tcPr>
          <w:p w14:paraId="632E15D4" w14:textId="635E8D5E" w:rsidR="003A17B2" w:rsidRPr="003A17B2" w:rsidRDefault="003A17B2" w:rsidP="003A17B2">
            <w:pPr>
              <w:spacing w:before="80" w:after="80"/>
              <w:rPr>
                <w:rFonts w:cstheme="minorHAnsi"/>
                <w:sz w:val="24"/>
                <w:szCs w:val="24"/>
              </w:rPr>
            </w:pPr>
            <w:r w:rsidRPr="003A17B2">
              <w:rPr>
                <w:rFonts w:cstheme="minorHAnsi"/>
                <w:sz w:val="24"/>
                <w:szCs w:val="24"/>
              </w:rPr>
              <w:t>produkt</w:t>
            </w:r>
          </w:p>
        </w:tc>
        <w:tc>
          <w:tcPr>
            <w:tcW w:w="1275" w:type="dxa"/>
            <w:tcBorders>
              <w:top w:val="single" w:sz="8" w:space="0" w:color="33CC33"/>
              <w:bottom w:val="single" w:sz="8" w:space="0" w:color="33CC33"/>
            </w:tcBorders>
            <w:vAlign w:val="center"/>
          </w:tcPr>
          <w:p w14:paraId="7A084027" w14:textId="60D093B5" w:rsidR="003A17B2" w:rsidRPr="003A17B2" w:rsidRDefault="003A17B2" w:rsidP="003A17B2">
            <w:pPr>
              <w:spacing w:before="80" w:after="80"/>
              <w:rPr>
                <w:rFonts w:cstheme="minorHAnsi"/>
                <w:sz w:val="24"/>
                <w:szCs w:val="24"/>
              </w:rPr>
            </w:pPr>
            <w:r w:rsidRPr="00A165B8">
              <w:rPr>
                <w:rFonts w:cstheme="minorHAnsi"/>
                <w:sz w:val="24"/>
                <w:szCs w:val="24"/>
              </w:rPr>
              <w:t>kluczowy</w:t>
            </w:r>
          </w:p>
        </w:tc>
        <w:tc>
          <w:tcPr>
            <w:tcW w:w="1560" w:type="dxa"/>
            <w:tcBorders>
              <w:top w:val="single" w:sz="8" w:space="0" w:color="33CC33"/>
              <w:bottom w:val="single" w:sz="8" w:space="0" w:color="33CC33"/>
            </w:tcBorders>
            <w:vAlign w:val="center"/>
          </w:tcPr>
          <w:p w14:paraId="299205B7" w14:textId="41D68684" w:rsidR="003A17B2" w:rsidRPr="003A17B2" w:rsidRDefault="003A17B2" w:rsidP="003A17B2">
            <w:pPr>
              <w:spacing w:before="80" w:after="80"/>
              <w:rPr>
                <w:rFonts w:cstheme="minorHAnsi"/>
                <w:sz w:val="24"/>
                <w:szCs w:val="24"/>
              </w:rPr>
            </w:pPr>
            <w:r w:rsidRPr="003A17B2">
              <w:rPr>
                <w:rFonts w:cstheme="minorHAnsi"/>
                <w:sz w:val="24"/>
                <w:szCs w:val="24"/>
              </w:rPr>
              <w:t>-</w:t>
            </w:r>
          </w:p>
        </w:tc>
        <w:tc>
          <w:tcPr>
            <w:tcW w:w="5528" w:type="dxa"/>
            <w:tcBorders>
              <w:top w:val="single" w:sz="8" w:space="0" w:color="33CC33"/>
              <w:bottom w:val="single" w:sz="8" w:space="0" w:color="33CC33"/>
            </w:tcBorders>
            <w:vAlign w:val="center"/>
          </w:tcPr>
          <w:p w14:paraId="59B65703" w14:textId="3CBF7B31" w:rsidR="003A17B2" w:rsidRPr="003A17B2" w:rsidRDefault="003A17B2" w:rsidP="003A17B2">
            <w:pPr>
              <w:rPr>
                <w:rFonts w:cstheme="minorHAnsi"/>
                <w:sz w:val="24"/>
                <w:szCs w:val="24"/>
              </w:rPr>
            </w:pPr>
            <w:r w:rsidRPr="003A17B2">
              <w:rPr>
                <w:rFonts w:cstheme="minorHAnsi"/>
                <w:sz w:val="24"/>
                <w:szCs w:val="24"/>
              </w:rPr>
              <w:t xml:space="preserve">Wskaźnik mierzy liczbę zmodernizowanych energetycznie budynków w wyniku realizacji projektu. Modernizacja – obejmuje przebudowę, remont oraz rozbudowę budynków w celu dokonania modernizacji urządzeń energetycznych. Przebudowa – wykonywanie robót budowlanych, w wyniku których następuje zmiana parametrów użytkowych lub technicznych istniejącego obiektu budowlanego, </w:t>
            </w:r>
            <w:r>
              <w:rPr>
                <w:rFonts w:cstheme="minorHAnsi"/>
                <w:sz w:val="24"/>
                <w:szCs w:val="24"/>
              </w:rPr>
              <w:br/>
            </w:r>
            <w:r w:rsidRPr="003A17B2">
              <w:rPr>
                <w:rFonts w:cstheme="minorHAnsi"/>
                <w:sz w:val="24"/>
                <w:szCs w:val="24"/>
              </w:rPr>
              <w:t xml:space="preserve">z wyjątkiem charakterystycznych parametrów, jak: kubatura, powierzchnia zabudowy, wysokość, długość, szerokość bądź liczba kondygnacji. Remont – wykonywanie w istniejącym obiekcie budowlanym robót budowlanych polegających na odtworzeniu stanu pierwotnego, a niestanowiących bieżącej konserwacji, przy czym dopuszcza się stosowanie wyrobów budowlanych innych niż użyto w stanie pierwotnym. Rozbudowa – w budownictwie rodzaj </w:t>
            </w:r>
            <w:r w:rsidRPr="003A17B2">
              <w:rPr>
                <w:rFonts w:cstheme="minorHAnsi"/>
                <w:sz w:val="24"/>
                <w:szCs w:val="24"/>
              </w:rPr>
              <w:lastRenderedPageBreak/>
              <w:t>budowy, w wyniku którego powstaje nowa część istniejącego już obiektu budowlanego.</w:t>
            </w:r>
          </w:p>
          <w:p w14:paraId="61F20689" w14:textId="18E5EAFC" w:rsidR="003A17B2" w:rsidRPr="003A17B2" w:rsidRDefault="003A17B2" w:rsidP="003A17B2">
            <w:pPr>
              <w:autoSpaceDE w:val="0"/>
              <w:autoSpaceDN w:val="0"/>
              <w:adjustRightInd w:val="0"/>
              <w:spacing w:before="80" w:after="40"/>
              <w:rPr>
                <w:rFonts w:cstheme="minorHAnsi"/>
                <w:sz w:val="24"/>
                <w:szCs w:val="24"/>
              </w:rPr>
            </w:pPr>
            <w:r w:rsidRPr="003A17B2">
              <w:rPr>
                <w:rFonts w:cstheme="minorHAnsi"/>
                <w:sz w:val="24"/>
                <w:szCs w:val="24"/>
              </w:rPr>
              <w:t xml:space="preserve">Poprawę charakterystyki energetycznej należy wyliczyć metodą obliczeniową, tj. metodą z załącznika nr 1 do Rozporządzenia MINISTRA INFRASTRUKTURY </w:t>
            </w:r>
            <w:r>
              <w:rPr>
                <w:rFonts w:cstheme="minorHAnsi"/>
                <w:sz w:val="24"/>
                <w:szCs w:val="24"/>
              </w:rPr>
              <w:br/>
            </w:r>
            <w:r w:rsidRPr="003A17B2">
              <w:rPr>
                <w:rFonts w:cstheme="minorHAnsi"/>
                <w:sz w:val="24"/>
                <w:szCs w:val="24"/>
              </w:rPr>
              <w:t>I ROZWOJU z dnia 27 lutego 2015 r. w sprawie metodologii wyznaczania charakterystyki energetycznej budynku lub części budynku oraz świadectw charakterystyki energetycznej (Dz.U. z 2015 r., poz. 376)</w:t>
            </w:r>
          </w:p>
        </w:tc>
      </w:tr>
      <w:tr w:rsidR="003A17B2" w:rsidRPr="00F83060" w14:paraId="64786A51" w14:textId="77777777" w:rsidTr="003A17B2">
        <w:trPr>
          <w:gridAfter w:val="1"/>
          <w:wAfter w:w="13" w:type="dxa"/>
          <w:trHeight w:val="63"/>
        </w:trPr>
        <w:tc>
          <w:tcPr>
            <w:tcW w:w="552" w:type="dxa"/>
            <w:tcBorders>
              <w:top w:val="single" w:sz="8" w:space="0" w:color="33CC33"/>
              <w:bottom w:val="single" w:sz="8" w:space="0" w:color="33CC33"/>
            </w:tcBorders>
            <w:vAlign w:val="center"/>
          </w:tcPr>
          <w:p w14:paraId="1EF0C533" w14:textId="0EFD9CBD" w:rsidR="003A17B2" w:rsidRPr="00F83060" w:rsidRDefault="003A17B2" w:rsidP="003A17B2">
            <w:pPr>
              <w:spacing w:before="60" w:after="60"/>
              <w:rPr>
                <w:rFonts w:cstheme="minorHAnsi"/>
                <w:sz w:val="24"/>
                <w:szCs w:val="24"/>
              </w:rPr>
            </w:pPr>
            <w:r w:rsidRPr="00F83060">
              <w:rPr>
                <w:rFonts w:cstheme="minorHAnsi"/>
                <w:sz w:val="24"/>
                <w:szCs w:val="24"/>
              </w:rPr>
              <w:lastRenderedPageBreak/>
              <w:t>3.</w:t>
            </w:r>
          </w:p>
        </w:tc>
        <w:tc>
          <w:tcPr>
            <w:tcW w:w="2977" w:type="dxa"/>
            <w:tcBorders>
              <w:top w:val="single" w:sz="8" w:space="0" w:color="33CC33"/>
              <w:bottom w:val="single" w:sz="8" w:space="0" w:color="33CC33"/>
            </w:tcBorders>
            <w:vAlign w:val="center"/>
          </w:tcPr>
          <w:p w14:paraId="15CA028E" w14:textId="48993DDF" w:rsidR="003A17B2" w:rsidRPr="00F83060" w:rsidRDefault="003A17B2" w:rsidP="003A17B2">
            <w:pPr>
              <w:autoSpaceDE w:val="0"/>
              <w:autoSpaceDN w:val="0"/>
              <w:adjustRightInd w:val="0"/>
              <w:rPr>
                <w:rFonts w:cstheme="minorHAnsi"/>
                <w:i/>
                <w:sz w:val="24"/>
                <w:szCs w:val="24"/>
              </w:rPr>
            </w:pPr>
            <w:r w:rsidRPr="003A17B2">
              <w:rPr>
                <w:rFonts w:cstheme="minorHAnsi"/>
                <w:i/>
                <w:sz w:val="24"/>
                <w:szCs w:val="24"/>
              </w:rPr>
              <w:t>Budynki publiczne o udoskonalonej charakterystyce energetycznej</w:t>
            </w:r>
          </w:p>
        </w:tc>
        <w:tc>
          <w:tcPr>
            <w:tcW w:w="1276" w:type="dxa"/>
            <w:tcBorders>
              <w:top w:val="single" w:sz="8" w:space="0" w:color="33CC33"/>
              <w:bottom w:val="single" w:sz="8" w:space="0" w:color="33CC33"/>
            </w:tcBorders>
            <w:vAlign w:val="center"/>
          </w:tcPr>
          <w:p w14:paraId="01D0D0F0" w14:textId="7F820973" w:rsidR="003A17B2" w:rsidRPr="00F83060" w:rsidRDefault="003A17B2" w:rsidP="003A17B2">
            <w:pPr>
              <w:spacing w:before="60" w:after="60"/>
              <w:rPr>
                <w:rFonts w:cstheme="minorHAnsi"/>
                <w:sz w:val="24"/>
                <w:szCs w:val="24"/>
              </w:rPr>
            </w:pPr>
            <w:r w:rsidRPr="003A17B2">
              <w:rPr>
                <w:rFonts w:cstheme="minorHAnsi"/>
                <w:sz w:val="24"/>
                <w:szCs w:val="24"/>
              </w:rPr>
              <w:t>m</w:t>
            </w:r>
            <w:r w:rsidRPr="003A17B2">
              <w:rPr>
                <w:rFonts w:cstheme="minorHAnsi"/>
                <w:sz w:val="24"/>
                <w:szCs w:val="24"/>
                <w:vertAlign w:val="superscript"/>
              </w:rPr>
              <w:t>2</w:t>
            </w:r>
          </w:p>
        </w:tc>
        <w:tc>
          <w:tcPr>
            <w:tcW w:w="1276" w:type="dxa"/>
            <w:tcBorders>
              <w:top w:val="single" w:sz="8" w:space="0" w:color="33CC33"/>
              <w:bottom w:val="single" w:sz="8" w:space="0" w:color="33CC33"/>
            </w:tcBorders>
            <w:vAlign w:val="center"/>
          </w:tcPr>
          <w:p w14:paraId="42EC4860" w14:textId="44D0C466" w:rsidR="003A17B2" w:rsidRPr="00F83060" w:rsidRDefault="003A17B2" w:rsidP="003A17B2">
            <w:pPr>
              <w:spacing w:before="80" w:after="80"/>
              <w:rPr>
                <w:rFonts w:cstheme="minorHAnsi"/>
                <w:sz w:val="24"/>
                <w:szCs w:val="24"/>
              </w:rPr>
            </w:pPr>
            <w:r w:rsidRPr="003A17B2">
              <w:rPr>
                <w:rFonts w:cstheme="minorHAnsi"/>
                <w:sz w:val="24"/>
                <w:szCs w:val="24"/>
              </w:rPr>
              <w:t>produkt</w:t>
            </w:r>
          </w:p>
        </w:tc>
        <w:tc>
          <w:tcPr>
            <w:tcW w:w="1275" w:type="dxa"/>
            <w:tcBorders>
              <w:top w:val="single" w:sz="8" w:space="0" w:color="33CC33"/>
              <w:bottom w:val="single" w:sz="8" w:space="0" w:color="33CC33"/>
            </w:tcBorders>
            <w:vAlign w:val="center"/>
          </w:tcPr>
          <w:p w14:paraId="7DA165C3" w14:textId="061440BD" w:rsidR="003A17B2" w:rsidRPr="00F83060" w:rsidRDefault="003A17B2" w:rsidP="003A17B2">
            <w:pPr>
              <w:spacing w:before="80" w:after="80"/>
              <w:rPr>
                <w:rFonts w:cstheme="minorHAnsi"/>
                <w:sz w:val="24"/>
                <w:szCs w:val="24"/>
              </w:rPr>
            </w:pPr>
            <w:r w:rsidRPr="00A165B8">
              <w:rPr>
                <w:rFonts w:cstheme="minorHAnsi"/>
                <w:sz w:val="24"/>
                <w:szCs w:val="24"/>
              </w:rPr>
              <w:t>kluczowy</w:t>
            </w:r>
          </w:p>
        </w:tc>
        <w:tc>
          <w:tcPr>
            <w:tcW w:w="1560" w:type="dxa"/>
            <w:tcBorders>
              <w:top w:val="single" w:sz="8" w:space="0" w:color="33CC33"/>
              <w:bottom w:val="single" w:sz="8" w:space="0" w:color="33CC33"/>
            </w:tcBorders>
            <w:vAlign w:val="center"/>
          </w:tcPr>
          <w:p w14:paraId="33C9E759" w14:textId="08542647" w:rsidR="003A17B2" w:rsidRPr="00F83060" w:rsidRDefault="003A17B2" w:rsidP="003A17B2">
            <w:pPr>
              <w:spacing w:before="80" w:after="80"/>
              <w:rPr>
                <w:rFonts w:cstheme="minorHAnsi"/>
                <w:sz w:val="24"/>
                <w:szCs w:val="24"/>
              </w:rPr>
            </w:pPr>
            <w:r w:rsidRPr="003A17B2">
              <w:rPr>
                <w:rFonts w:cstheme="minorHAnsi"/>
                <w:sz w:val="24"/>
                <w:szCs w:val="24"/>
              </w:rPr>
              <w:t>-</w:t>
            </w:r>
          </w:p>
        </w:tc>
        <w:tc>
          <w:tcPr>
            <w:tcW w:w="5528" w:type="dxa"/>
            <w:tcBorders>
              <w:top w:val="single" w:sz="8" w:space="0" w:color="33CC33"/>
              <w:bottom w:val="single" w:sz="8" w:space="0" w:color="33CC33"/>
            </w:tcBorders>
            <w:vAlign w:val="center"/>
          </w:tcPr>
          <w:p w14:paraId="63BCFE66" w14:textId="0879FACA" w:rsidR="003A17B2" w:rsidRPr="00F83060" w:rsidRDefault="003A17B2" w:rsidP="003A17B2">
            <w:pPr>
              <w:autoSpaceDE w:val="0"/>
              <w:autoSpaceDN w:val="0"/>
              <w:adjustRightInd w:val="0"/>
              <w:spacing w:before="80" w:after="40"/>
              <w:rPr>
                <w:rFonts w:cstheme="minorHAnsi"/>
                <w:sz w:val="24"/>
                <w:szCs w:val="24"/>
              </w:rPr>
            </w:pPr>
            <w:r w:rsidRPr="003A17B2">
              <w:rPr>
                <w:rFonts w:cstheme="minorHAnsi"/>
                <w:sz w:val="24"/>
                <w:szCs w:val="24"/>
              </w:rPr>
              <w:t xml:space="preserve">Powierzchnia netto budynków publicznych, które osiągają lepszą charakterystykę energetyczną dzięki otrzymanemu wsparciu. Udoskonaloną charakterystykę energetyczną należy rozumieć jako poprawę klasyfikacji energetycznej budynku publicznego o co najmniej jedną klasę energetyczną </w:t>
            </w:r>
            <w:r>
              <w:rPr>
                <w:rFonts w:cstheme="minorHAnsi"/>
                <w:sz w:val="24"/>
                <w:szCs w:val="24"/>
              </w:rPr>
              <w:br/>
            </w:r>
            <w:r w:rsidRPr="003A17B2">
              <w:rPr>
                <w:rFonts w:cstheme="minorHAnsi"/>
                <w:sz w:val="24"/>
                <w:szCs w:val="24"/>
              </w:rPr>
              <w:t xml:space="preserve">i należy ją udokumentować na podstawie świadectw charakterystyki energetycznej. Klasyfikacja energetyczna, o której mowa, jest zgodna z definicją zawartą w krajowym świadectwie charakterystyki energetycznej, zgodnie z dyrektywą 2010/31/UE.   Budynki publiczne definiuje się jako budynki będące własnością instytucji publicznych i budynki będące własnością organizacji non-profit. Organizacja non-profit to osoba prawna zorganizowana i działająca dla </w:t>
            </w:r>
            <w:r w:rsidRPr="003A17B2">
              <w:rPr>
                <w:rFonts w:cstheme="minorHAnsi"/>
                <w:sz w:val="24"/>
                <w:szCs w:val="24"/>
              </w:rPr>
              <w:lastRenderedPageBreak/>
              <w:t xml:space="preserve">zbiorowego, publicznego lub społecznego pożytku, </w:t>
            </w:r>
            <w:r>
              <w:rPr>
                <w:rFonts w:cstheme="minorHAnsi"/>
                <w:sz w:val="24"/>
                <w:szCs w:val="24"/>
              </w:rPr>
              <w:br/>
            </w:r>
            <w:r w:rsidRPr="003A17B2">
              <w:rPr>
                <w:rFonts w:cstheme="minorHAnsi"/>
                <w:sz w:val="24"/>
                <w:szCs w:val="24"/>
              </w:rPr>
              <w:t xml:space="preserve">w przeciwieństwie do podmiotu prowadzącego działalność gospodarczą, której celem jest generowanie zysku dla jego właścicieli. Przykłady obejmują budynki administracji publicznej, szkoły, szpitale itp.   </w:t>
            </w:r>
          </w:p>
        </w:tc>
      </w:tr>
      <w:tr w:rsidR="003A17B2" w:rsidRPr="00F83060" w14:paraId="5C5C9176" w14:textId="77777777" w:rsidTr="003A17B2">
        <w:trPr>
          <w:gridAfter w:val="1"/>
          <w:wAfter w:w="13" w:type="dxa"/>
          <w:trHeight w:val="63"/>
        </w:trPr>
        <w:tc>
          <w:tcPr>
            <w:tcW w:w="552" w:type="dxa"/>
            <w:tcBorders>
              <w:top w:val="single" w:sz="8" w:space="0" w:color="33CC33"/>
              <w:bottom w:val="single" w:sz="8" w:space="0" w:color="33CC33"/>
            </w:tcBorders>
            <w:vAlign w:val="center"/>
          </w:tcPr>
          <w:p w14:paraId="0FEBEB95" w14:textId="1F7CE714" w:rsidR="003A17B2" w:rsidRPr="00F83060" w:rsidRDefault="003A17B2" w:rsidP="003A17B2">
            <w:pPr>
              <w:spacing w:before="60" w:after="60"/>
              <w:rPr>
                <w:rFonts w:cstheme="minorHAnsi"/>
                <w:sz w:val="24"/>
                <w:szCs w:val="24"/>
              </w:rPr>
            </w:pPr>
            <w:r>
              <w:rPr>
                <w:rFonts w:cstheme="minorHAnsi"/>
                <w:sz w:val="24"/>
                <w:szCs w:val="24"/>
              </w:rPr>
              <w:lastRenderedPageBreak/>
              <w:t>4.</w:t>
            </w:r>
          </w:p>
        </w:tc>
        <w:tc>
          <w:tcPr>
            <w:tcW w:w="2977" w:type="dxa"/>
            <w:tcBorders>
              <w:top w:val="single" w:sz="8" w:space="0" w:color="33CC33"/>
              <w:bottom w:val="single" w:sz="8" w:space="0" w:color="33CC33"/>
            </w:tcBorders>
            <w:vAlign w:val="center"/>
          </w:tcPr>
          <w:p w14:paraId="68B97058" w14:textId="2805FDA8" w:rsidR="003A17B2" w:rsidRPr="003A17B2" w:rsidRDefault="003A17B2" w:rsidP="003A17B2">
            <w:pPr>
              <w:autoSpaceDE w:val="0"/>
              <w:autoSpaceDN w:val="0"/>
              <w:adjustRightInd w:val="0"/>
              <w:rPr>
                <w:rFonts w:cstheme="minorHAnsi"/>
                <w:i/>
                <w:sz w:val="24"/>
                <w:szCs w:val="24"/>
              </w:rPr>
            </w:pPr>
            <w:r w:rsidRPr="003A17B2">
              <w:rPr>
                <w:rFonts w:cstheme="minorHAnsi"/>
                <w:i/>
                <w:sz w:val="24"/>
                <w:szCs w:val="24"/>
              </w:rPr>
              <w:t>Dodatkowa zdolność́ wytwarzania energii odnawialnej (w tym: energii elektrycznej, energii cieplnej)</w:t>
            </w:r>
          </w:p>
        </w:tc>
        <w:tc>
          <w:tcPr>
            <w:tcW w:w="1276" w:type="dxa"/>
            <w:tcBorders>
              <w:top w:val="single" w:sz="8" w:space="0" w:color="33CC33"/>
              <w:bottom w:val="single" w:sz="8" w:space="0" w:color="33CC33"/>
            </w:tcBorders>
            <w:vAlign w:val="center"/>
          </w:tcPr>
          <w:p w14:paraId="2D17C92B" w14:textId="34657D77" w:rsidR="003A17B2" w:rsidRPr="003A17B2" w:rsidRDefault="003A17B2" w:rsidP="003A17B2">
            <w:pPr>
              <w:spacing w:before="60" w:after="60"/>
              <w:rPr>
                <w:rFonts w:cstheme="minorHAnsi"/>
                <w:sz w:val="24"/>
                <w:szCs w:val="24"/>
              </w:rPr>
            </w:pPr>
            <w:r w:rsidRPr="003A17B2">
              <w:rPr>
                <w:rFonts w:cstheme="minorHAnsi"/>
                <w:sz w:val="24"/>
                <w:szCs w:val="24"/>
              </w:rPr>
              <w:t>MW</w:t>
            </w:r>
          </w:p>
        </w:tc>
        <w:tc>
          <w:tcPr>
            <w:tcW w:w="1276" w:type="dxa"/>
            <w:tcBorders>
              <w:top w:val="single" w:sz="8" w:space="0" w:color="33CC33"/>
              <w:bottom w:val="single" w:sz="8" w:space="0" w:color="33CC33"/>
            </w:tcBorders>
            <w:vAlign w:val="center"/>
          </w:tcPr>
          <w:p w14:paraId="048D515D" w14:textId="573E3B2D" w:rsidR="003A17B2" w:rsidRPr="003A17B2" w:rsidRDefault="003A17B2" w:rsidP="003A17B2">
            <w:pPr>
              <w:spacing w:before="80" w:after="80"/>
              <w:rPr>
                <w:rFonts w:cstheme="minorHAnsi"/>
                <w:sz w:val="24"/>
                <w:szCs w:val="24"/>
              </w:rPr>
            </w:pPr>
            <w:r w:rsidRPr="003A17B2">
              <w:rPr>
                <w:rFonts w:cstheme="minorHAnsi"/>
                <w:sz w:val="24"/>
                <w:szCs w:val="24"/>
              </w:rPr>
              <w:t>produkt</w:t>
            </w:r>
          </w:p>
        </w:tc>
        <w:tc>
          <w:tcPr>
            <w:tcW w:w="1275" w:type="dxa"/>
            <w:tcBorders>
              <w:top w:val="single" w:sz="8" w:space="0" w:color="33CC33"/>
              <w:bottom w:val="single" w:sz="8" w:space="0" w:color="33CC33"/>
            </w:tcBorders>
            <w:vAlign w:val="center"/>
          </w:tcPr>
          <w:p w14:paraId="3C770EFD" w14:textId="50EB4593" w:rsidR="003A17B2" w:rsidRPr="003A17B2" w:rsidRDefault="003A17B2" w:rsidP="003A17B2">
            <w:pPr>
              <w:spacing w:before="80" w:after="80"/>
              <w:rPr>
                <w:rFonts w:cstheme="minorHAnsi"/>
                <w:sz w:val="24"/>
                <w:szCs w:val="24"/>
              </w:rPr>
            </w:pPr>
            <w:r w:rsidRPr="003A17B2">
              <w:rPr>
                <w:rFonts w:cstheme="minorHAnsi"/>
                <w:sz w:val="24"/>
                <w:szCs w:val="24"/>
              </w:rPr>
              <w:t>kluczowy</w:t>
            </w:r>
          </w:p>
        </w:tc>
        <w:tc>
          <w:tcPr>
            <w:tcW w:w="1560" w:type="dxa"/>
            <w:tcBorders>
              <w:top w:val="single" w:sz="8" w:space="0" w:color="33CC33"/>
              <w:bottom w:val="single" w:sz="8" w:space="0" w:color="33CC33"/>
            </w:tcBorders>
            <w:vAlign w:val="center"/>
          </w:tcPr>
          <w:p w14:paraId="3E86CE36" w14:textId="593C8CEB" w:rsidR="003A17B2" w:rsidRPr="003A17B2" w:rsidRDefault="003A17B2" w:rsidP="003A17B2">
            <w:pPr>
              <w:spacing w:before="80" w:after="80"/>
              <w:rPr>
                <w:rFonts w:cstheme="minorHAnsi"/>
                <w:sz w:val="24"/>
                <w:szCs w:val="24"/>
              </w:rPr>
            </w:pPr>
            <w:r w:rsidRPr="003A17B2">
              <w:rPr>
                <w:rFonts w:cstheme="minorHAnsi"/>
                <w:sz w:val="24"/>
                <w:szCs w:val="24"/>
              </w:rPr>
              <w:t>agregat</w:t>
            </w:r>
          </w:p>
        </w:tc>
        <w:tc>
          <w:tcPr>
            <w:tcW w:w="5528" w:type="dxa"/>
            <w:tcBorders>
              <w:top w:val="single" w:sz="8" w:space="0" w:color="33CC33"/>
              <w:bottom w:val="single" w:sz="8" w:space="0" w:color="33CC33"/>
            </w:tcBorders>
            <w:vAlign w:val="center"/>
          </w:tcPr>
          <w:p w14:paraId="54A1C056" w14:textId="28785F6D" w:rsidR="003A17B2" w:rsidRPr="003A17B2" w:rsidRDefault="003A17B2" w:rsidP="003A17B2">
            <w:pPr>
              <w:autoSpaceDE w:val="0"/>
              <w:autoSpaceDN w:val="0"/>
              <w:adjustRightInd w:val="0"/>
              <w:spacing w:before="80" w:after="40"/>
              <w:rPr>
                <w:rFonts w:cstheme="minorHAnsi"/>
                <w:sz w:val="24"/>
                <w:szCs w:val="24"/>
              </w:rPr>
            </w:pPr>
            <w:r w:rsidRPr="003A17B2">
              <w:rPr>
                <w:rFonts w:cstheme="minorHAnsi"/>
                <w:sz w:val="24"/>
                <w:szCs w:val="24"/>
              </w:rPr>
              <w:t xml:space="preserve">Dodatkowa zdolność produkcyjną  energii ze źródeł odnawialnych  wybudowana lub rozbudowane dzięki wsparciu. Wskaźnik obejmuje również zdolność produkcyjną , która została zbudowana lub rozbudowana i nie została jeszcze podłączona do sieci (jeśli dotyczy) lub nie jest jeszcze w pełni gotowa do wytwarzania energii.   Zdolność wytwarzania rozumiana jest jako „maksymalna moc wytwórcza energii elektrycznej netto”, definiowana przez Eurostat jako „maksymalna moc czynna, która może być dostarczana stale przez ciągle działający zakład </w:t>
            </w:r>
            <w:r>
              <w:rPr>
                <w:rFonts w:cstheme="minorHAnsi"/>
                <w:sz w:val="24"/>
                <w:szCs w:val="24"/>
              </w:rPr>
              <w:br/>
            </w:r>
            <w:r w:rsidRPr="003A17B2">
              <w:rPr>
                <w:rFonts w:cstheme="minorHAnsi"/>
                <w:sz w:val="24"/>
                <w:szCs w:val="24"/>
              </w:rPr>
              <w:t xml:space="preserve">w punkcie wyjścia (tj. po pobraniu energii dla potrzeb urządzeń pomocniczych stacji oraz uwzględniając straty w transformatorach uznawanych za integralne ze stacją)”. Energia odnawialna oznacza „energię </w:t>
            </w:r>
            <w:r>
              <w:rPr>
                <w:rFonts w:cstheme="minorHAnsi"/>
                <w:sz w:val="24"/>
                <w:szCs w:val="24"/>
              </w:rPr>
              <w:br/>
            </w:r>
            <w:r w:rsidRPr="003A17B2">
              <w:rPr>
                <w:rFonts w:cstheme="minorHAnsi"/>
                <w:sz w:val="24"/>
                <w:szCs w:val="24"/>
              </w:rPr>
              <w:t xml:space="preserve">z odnawialnych źródeł niekopalnych, a mianowicie energię wiatru, energię promieniowania słonecznego (energię słoneczną termiczną i energię fotowoltaiczną) oraz energię geotermalną, energię </w:t>
            </w:r>
            <w:r w:rsidRPr="003A17B2">
              <w:rPr>
                <w:rFonts w:cstheme="minorHAnsi"/>
                <w:sz w:val="24"/>
                <w:szCs w:val="24"/>
              </w:rPr>
              <w:lastRenderedPageBreak/>
              <w:t xml:space="preserve">otoczenia, energię pływów, fal i inną energię oceanów, hydroenergię, biomasę oraz gaz pochodzący z wysypisk śmieci, oczyszczalni ścieków i ze źródeł biologicznych (biogaz)”. (Zob. dyrektywę 2018/2011). </w:t>
            </w:r>
            <w:proofErr w:type="spellStart"/>
            <w:r w:rsidRPr="003A17B2">
              <w:rPr>
                <w:rFonts w:cstheme="minorHAnsi"/>
                <w:sz w:val="24"/>
                <w:szCs w:val="24"/>
              </w:rPr>
              <w:t>Dezagregacja</w:t>
            </w:r>
            <w:proofErr w:type="spellEnd"/>
            <w:r w:rsidRPr="003A17B2">
              <w:rPr>
                <w:rFonts w:cstheme="minorHAnsi"/>
                <w:sz w:val="24"/>
                <w:szCs w:val="24"/>
              </w:rPr>
              <w:t xml:space="preserve"> zdolności wytwarzania energii elektrycznej i cieplnej odnosi się do rodzaju wytwarzanej energii.</w:t>
            </w:r>
          </w:p>
        </w:tc>
      </w:tr>
      <w:tr w:rsidR="003A17B2" w:rsidRPr="00F83060" w14:paraId="26DD0F2B" w14:textId="77777777" w:rsidTr="003A17B2">
        <w:trPr>
          <w:gridAfter w:val="1"/>
          <w:wAfter w:w="13" w:type="dxa"/>
          <w:trHeight w:val="63"/>
        </w:trPr>
        <w:tc>
          <w:tcPr>
            <w:tcW w:w="552" w:type="dxa"/>
            <w:tcBorders>
              <w:top w:val="single" w:sz="8" w:space="0" w:color="33CC33"/>
              <w:bottom w:val="single" w:sz="8" w:space="0" w:color="33CC33"/>
            </w:tcBorders>
            <w:vAlign w:val="center"/>
          </w:tcPr>
          <w:p w14:paraId="615AC396" w14:textId="2D3C8DB1" w:rsidR="003A17B2" w:rsidRDefault="003A17B2" w:rsidP="003A17B2">
            <w:pPr>
              <w:spacing w:before="60" w:after="60"/>
              <w:rPr>
                <w:rFonts w:cstheme="minorHAnsi"/>
                <w:sz w:val="24"/>
                <w:szCs w:val="24"/>
              </w:rPr>
            </w:pPr>
            <w:r>
              <w:rPr>
                <w:rFonts w:cstheme="minorHAnsi"/>
                <w:sz w:val="24"/>
                <w:szCs w:val="24"/>
              </w:rPr>
              <w:lastRenderedPageBreak/>
              <w:t>5.</w:t>
            </w:r>
          </w:p>
        </w:tc>
        <w:tc>
          <w:tcPr>
            <w:tcW w:w="2977" w:type="dxa"/>
            <w:tcBorders>
              <w:top w:val="single" w:sz="8" w:space="0" w:color="33CC33"/>
              <w:bottom w:val="single" w:sz="8" w:space="0" w:color="33CC33"/>
            </w:tcBorders>
            <w:vAlign w:val="center"/>
          </w:tcPr>
          <w:p w14:paraId="720E4840" w14:textId="018A19EA" w:rsidR="003A17B2" w:rsidRPr="003A17B2" w:rsidRDefault="003A17B2" w:rsidP="003A17B2">
            <w:pPr>
              <w:autoSpaceDE w:val="0"/>
              <w:autoSpaceDN w:val="0"/>
              <w:adjustRightInd w:val="0"/>
              <w:rPr>
                <w:rFonts w:cstheme="minorHAnsi"/>
                <w:i/>
                <w:sz w:val="24"/>
                <w:szCs w:val="24"/>
              </w:rPr>
            </w:pPr>
            <w:r w:rsidRPr="003A17B2">
              <w:rPr>
                <w:rFonts w:cstheme="minorHAnsi"/>
                <w:i/>
                <w:sz w:val="24"/>
                <w:szCs w:val="24"/>
              </w:rPr>
              <w:t>Dodatkowa zdolność wytwarzania energii elektrycznej ze źródeł OZE</w:t>
            </w:r>
          </w:p>
        </w:tc>
        <w:tc>
          <w:tcPr>
            <w:tcW w:w="1276" w:type="dxa"/>
            <w:tcBorders>
              <w:top w:val="single" w:sz="8" w:space="0" w:color="33CC33"/>
              <w:bottom w:val="single" w:sz="8" w:space="0" w:color="33CC33"/>
            </w:tcBorders>
            <w:vAlign w:val="center"/>
          </w:tcPr>
          <w:p w14:paraId="28F6BBA2" w14:textId="2A10E0AE" w:rsidR="003A17B2" w:rsidRPr="003A17B2" w:rsidRDefault="003A17B2" w:rsidP="003A17B2">
            <w:pPr>
              <w:spacing w:before="60" w:after="60"/>
              <w:rPr>
                <w:rFonts w:cstheme="minorHAnsi"/>
                <w:sz w:val="24"/>
                <w:szCs w:val="24"/>
              </w:rPr>
            </w:pPr>
            <w:r w:rsidRPr="003A17B2">
              <w:rPr>
                <w:rFonts w:cstheme="minorHAnsi"/>
                <w:sz w:val="24"/>
                <w:szCs w:val="24"/>
              </w:rPr>
              <w:t>MW</w:t>
            </w:r>
          </w:p>
        </w:tc>
        <w:tc>
          <w:tcPr>
            <w:tcW w:w="1276" w:type="dxa"/>
            <w:tcBorders>
              <w:top w:val="single" w:sz="8" w:space="0" w:color="33CC33"/>
              <w:bottom w:val="single" w:sz="8" w:space="0" w:color="33CC33"/>
            </w:tcBorders>
            <w:vAlign w:val="center"/>
          </w:tcPr>
          <w:p w14:paraId="1C88FD69" w14:textId="64882F4D" w:rsidR="003A17B2" w:rsidRPr="003A17B2" w:rsidRDefault="003A17B2" w:rsidP="003A17B2">
            <w:pPr>
              <w:spacing w:before="80" w:after="80"/>
              <w:rPr>
                <w:rFonts w:cstheme="minorHAnsi"/>
                <w:sz w:val="24"/>
                <w:szCs w:val="24"/>
              </w:rPr>
            </w:pPr>
            <w:r w:rsidRPr="003A17B2">
              <w:rPr>
                <w:rFonts w:cstheme="minorHAnsi"/>
                <w:sz w:val="24"/>
                <w:szCs w:val="24"/>
              </w:rPr>
              <w:t>produkt</w:t>
            </w:r>
          </w:p>
        </w:tc>
        <w:tc>
          <w:tcPr>
            <w:tcW w:w="1275" w:type="dxa"/>
            <w:tcBorders>
              <w:top w:val="single" w:sz="8" w:space="0" w:color="33CC33"/>
              <w:bottom w:val="single" w:sz="8" w:space="0" w:color="33CC33"/>
            </w:tcBorders>
            <w:vAlign w:val="center"/>
          </w:tcPr>
          <w:p w14:paraId="4E6E6A87" w14:textId="578B9C3D" w:rsidR="003A17B2" w:rsidRPr="003A17B2" w:rsidRDefault="003A17B2" w:rsidP="003A17B2">
            <w:pPr>
              <w:spacing w:before="80" w:after="80"/>
              <w:rPr>
                <w:rFonts w:cstheme="minorHAnsi"/>
                <w:sz w:val="24"/>
                <w:szCs w:val="24"/>
              </w:rPr>
            </w:pPr>
            <w:r w:rsidRPr="003A17B2">
              <w:rPr>
                <w:rFonts w:cstheme="minorHAnsi"/>
                <w:sz w:val="24"/>
                <w:szCs w:val="24"/>
              </w:rPr>
              <w:t>kluczowy</w:t>
            </w:r>
          </w:p>
        </w:tc>
        <w:tc>
          <w:tcPr>
            <w:tcW w:w="1560" w:type="dxa"/>
            <w:tcBorders>
              <w:top w:val="single" w:sz="8" w:space="0" w:color="33CC33"/>
              <w:bottom w:val="single" w:sz="8" w:space="0" w:color="33CC33"/>
            </w:tcBorders>
            <w:vAlign w:val="center"/>
          </w:tcPr>
          <w:p w14:paraId="7CF99E85" w14:textId="21F5AAAD" w:rsidR="003A17B2" w:rsidRPr="003A17B2" w:rsidRDefault="003A17B2" w:rsidP="003A17B2">
            <w:pPr>
              <w:spacing w:before="80" w:after="80"/>
              <w:rPr>
                <w:rFonts w:cstheme="minorHAnsi"/>
                <w:sz w:val="24"/>
                <w:szCs w:val="24"/>
              </w:rPr>
            </w:pPr>
            <w:r w:rsidRPr="003A17B2">
              <w:rPr>
                <w:rFonts w:cstheme="minorHAnsi"/>
                <w:sz w:val="24"/>
                <w:szCs w:val="24"/>
              </w:rPr>
              <w:t>-</w:t>
            </w:r>
          </w:p>
        </w:tc>
        <w:tc>
          <w:tcPr>
            <w:tcW w:w="5528" w:type="dxa"/>
            <w:tcBorders>
              <w:top w:val="single" w:sz="8" w:space="0" w:color="33CC33"/>
              <w:bottom w:val="single" w:sz="8" w:space="0" w:color="33CC33"/>
            </w:tcBorders>
            <w:vAlign w:val="center"/>
          </w:tcPr>
          <w:p w14:paraId="0F436096" w14:textId="68A17281" w:rsidR="003A17B2" w:rsidRPr="003A17B2" w:rsidRDefault="003A17B2" w:rsidP="003A17B2">
            <w:pPr>
              <w:autoSpaceDE w:val="0"/>
              <w:autoSpaceDN w:val="0"/>
              <w:adjustRightInd w:val="0"/>
              <w:spacing w:before="80" w:after="40"/>
              <w:rPr>
                <w:rFonts w:cstheme="minorHAnsi"/>
                <w:sz w:val="24"/>
                <w:szCs w:val="24"/>
              </w:rPr>
            </w:pPr>
            <w:r w:rsidRPr="003A17B2">
              <w:rPr>
                <w:rFonts w:cstheme="minorHAnsi"/>
                <w:sz w:val="24"/>
                <w:szCs w:val="24"/>
              </w:rPr>
              <w:t xml:space="preserve">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w:t>
            </w:r>
            <w:proofErr w:type="spellStart"/>
            <w:r w:rsidRPr="003A17B2">
              <w:rPr>
                <w:rFonts w:cstheme="minorHAnsi"/>
                <w:sz w:val="24"/>
                <w:szCs w:val="24"/>
              </w:rPr>
              <w:t>późn</w:t>
            </w:r>
            <w:proofErr w:type="spellEnd"/>
            <w:r w:rsidRPr="003A17B2">
              <w:rPr>
                <w:rFonts w:cstheme="minorHAnsi"/>
                <w:sz w:val="24"/>
                <w:szCs w:val="24"/>
              </w:rPr>
              <w:t xml:space="preserve">. zm.), energia odnawialna oznacza odnawialne, niekopalne źródła energii obejmujące: energię wiatru, energię promieniowania słonecznego, energię </w:t>
            </w:r>
            <w:proofErr w:type="spellStart"/>
            <w:r w:rsidRPr="003A17B2">
              <w:rPr>
                <w:rFonts w:cstheme="minorHAnsi"/>
                <w:sz w:val="24"/>
                <w:szCs w:val="24"/>
              </w:rPr>
              <w:t>aerotermalną</w:t>
            </w:r>
            <w:proofErr w:type="spellEnd"/>
            <w:r w:rsidRPr="003A17B2">
              <w:rPr>
                <w:rFonts w:cstheme="minorHAnsi"/>
                <w:sz w:val="24"/>
                <w:szCs w:val="24"/>
              </w:rPr>
              <w:t xml:space="preserve">, energię geotermalną, energię hydrotermalną, hydroenergię, energię fal, prądów i pływów morskich, energię otrzymywaną z biomasy, biogazu, biogazu rolniczego oraz z </w:t>
            </w:r>
            <w:proofErr w:type="spellStart"/>
            <w:r w:rsidRPr="003A17B2">
              <w:rPr>
                <w:rFonts w:cstheme="minorHAnsi"/>
                <w:sz w:val="24"/>
                <w:szCs w:val="24"/>
              </w:rPr>
              <w:t>biopłynów</w:t>
            </w:r>
            <w:proofErr w:type="spellEnd"/>
            <w:r w:rsidRPr="003A17B2">
              <w:rPr>
                <w:rFonts w:cstheme="minorHAnsi"/>
                <w:sz w:val="24"/>
                <w:szCs w:val="24"/>
              </w:rPr>
              <w:t>.</w:t>
            </w:r>
          </w:p>
        </w:tc>
      </w:tr>
      <w:tr w:rsidR="003A17B2" w:rsidRPr="00F83060" w14:paraId="2C2CFECE" w14:textId="77777777" w:rsidTr="003A17B2">
        <w:trPr>
          <w:gridAfter w:val="1"/>
          <w:wAfter w:w="13" w:type="dxa"/>
          <w:trHeight w:val="63"/>
        </w:trPr>
        <w:tc>
          <w:tcPr>
            <w:tcW w:w="552" w:type="dxa"/>
            <w:tcBorders>
              <w:top w:val="single" w:sz="8" w:space="0" w:color="33CC33"/>
              <w:bottom w:val="single" w:sz="8" w:space="0" w:color="33CC33"/>
            </w:tcBorders>
            <w:vAlign w:val="center"/>
          </w:tcPr>
          <w:p w14:paraId="746197BA" w14:textId="3B2FD82A" w:rsidR="003A17B2" w:rsidRDefault="003A17B2" w:rsidP="003A17B2">
            <w:pPr>
              <w:spacing w:before="60" w:after="60"/>
              <w:rPr>
                <w:rFonts w:cstheme="minorHAnsi"/>
                <w:sz w:val="24"/>
                <w:szCs w:val="24"/>
              </w:rPr>
            </w:pPr>
            <w:r>
              <w:rPr>
                <w:rFonts w:cstheme="minorHAnsi"/>
                <w:sz w:val="24"/>
                <w:szCs w:val="24"/>
              </w:rPr>
              <w:t>6.</w:t>
            </w:r>
          </w:p>
        </w:tc>
        <w:tc>
          <w:tcPr>
            <w:tcW w:w="2977" w:type="dxa"/>
            <w:tcBorders>
              <w:top w:val="single" w:sz="8" w:space="0" w:color="33CC33"/>
              <w:bottom w:val="single" w:sz="8" w:space="0" w:color="33CC33"/>
            </w:tcBorders>
            <w:vAlign w:val="center"/>
          </w:tcPr>
          <w:p w14:paraId="5F06C004" w14:textId="67BB5262" w:rsidR="003A17B2" w:rsidRPr="003A17B2" w:rsidRDefault="003A17B2" w:rsidP="003A17B2">
            <w:pPr>
              <w:autoSpaceDE w:val="0"/>
              <w:autoSpaceDN w:val="0"/>
              <w:adjustRightInd w:val="0"/>
              <w:rPr>
                <w:rFonts w:cstheme="minorHAnsi"/>
                <w:i/>
                <w:sz w:val="24"/>
                <w:szCs w:val="24"/>
              </w:rPr>
            </w:pPr>
            <w:r w:rsidRPr="003A17B2">
              <w:rPr>
                <w:rFonts w:cstheme="minorHAnsi"/>
                <w:i/>
                <w:sz w:val="24"/>
                <w:szCs w:val="24"/>
              </w:rPr>
              <w:t>Dodatkowa zdolność wytwarzania energii cieplnej ze źródeł OZE</w:t>
            </w:r>
          </w:p>
        </w:tc>
        <w:tc>
          <w:tcPr>
            <w:tcW w:w="1276" w:type="dxa"/>
            <w:tcBorders>
              <w:top w:val="single" w:sz="8" w:space="0" w:color="33CC33"/>
              <w:bottom w:val="single" w:sz="8" w:space="0" w:color="33CC33"/>
            </w:tcBorders>
            <w:vAlign w:val="center"/>
          </w:tcPr>
          <w:p w14:paraId="210146A0" w14:textId="185469EC" w:rsidR="003A17B2" w:rsidRPr="003A17B2" w:rsidRDefault="003A17B2" w:rsidP="003A17B2">
            <w:pPr>
              <w:spacing w:before="60" w:after="60"/>
              <w:rPr>
                <w:rFonts w:cstheme="minorHAnsi"/>
                <w:sz w:val="24"/>
                <w:szCs w:val="24"/>
              </w:rPr>
            </w:pPr>
            <w:r w:rsidRPr="003A17B2">
              <w:rPr>
                <w:rFonts w:cstheme="minorHAnsi"/>
                <w:sz w:val="24"/>
                <w:szCs w:val="24"/>
              </w:rPr>
              <w:t>MW</w:t>
            </w:r>
          </w:p>
        </w:tc>
        <w:tc>
          <w:tcPr>
            <w:tcW w:w="1276" w:type="dxa"/>
            <w:tcBorders>
              <w:top w:val="single" w:sz="8" w:space="0" w:color="33CC33"/>
              <w:bottom w:val="single" w:sz="8" w:space="0" w:color="33CC33"/>
            </w:tcBorders>
            <w:vAlign w:val="center"/>
          </w:tcPr>
          <w:p w14:paraId="48FF348D" w14:textId="797040EC" w:rsidR="003A17B2" w:rsidRPr="003A17B2" w:rsidRDefault="003A17B2" w:rsidP="003A17B2">
            <w:pPr>
              <w:spacing w:before="80" w:after="80"/>
              <w:rPr>
                <w:rFonts w:cstheme="minorHAnsi"/>
                <w:sz w:val="24"/>
                <w:szCs w:val="24"/>
              </w:rPr>
            </w:pPr>
            <w:r w:rsidRPr="003A17B2">
              <w:rPr>
                <w:rFonts w:cstheme="minorHAnsi"/>
                <w:sz w:val="24"/>
                <w:szCs w:val="24"/>
              </w:rPr>
              <w:t>produkt</w:t>
            </w:r>
          </w:p>
        </w:tc>
        <w:tc>
          <w:tcPr>
            <w:tcW w:w="1275" w:type="dxa"/>
            <w:tcBorders>
              <w:top w:val="single" w:sz="8" w:space="0" w:color="33CC33"/>
              <w:bottom w:val="single" w:sz="8" w:space="0" w:color="33CC33"/>
            </w:tcBorders>
            <w:vAlign w:val="center"/>
          </w:tcPr>
          <w:p w14:paraId="018FE98E" w14:textId="627794CB" w:rsidR="003A17B2" w:rsidRPr="003A17B2" w:rsidRDefault="003A17B2" w:rsidP="003A17B2">
            <w:pPr>
              <w:spacing w:before="80" w:after="80"/>
              <w:rPr>
                <w:rFonts w:cstheme="minorHAnsi"/>
                <w:sz w:val="24"/>
                <w:szCs w:val="24"/>
              </w:rPr>
            </w:pPr>
            <w:r w:rsidRPr="003A17B2">
              <w:rPr>
                <w:rFonts w:cstheme="minorHAnsi"/>
                <w:sz w:val="24"/>
                <w:szCs w:val="24"/>
              </w:rPr>
              <w:t>kluczowy</w:t>
            </w:r>
          </w:p>
        </w:tc>
        <w:tc>
          <w:tcPr>
            <w:tcW w:w="1560" w:type="dxa"/>
            <w:tcBorders>
              <w:top w:val="single" w:sz="8" w:space="0" w:color="33CC33"/>
              <w:bottom w:val="single" w:sz="8" w:space="0" w:color="33CC33"/>
            </w:tcBorders>
            <w:vAlign w:val="center"/>
          </w:tcPr>
          <w:p w14:paraId="08FFA862" w14:textId="209421B7" w:rsidR="003A17B2" w:rsidRPr="003A17B2" w:rsidRDefault="003A17B2" w:rsidP="003A17B2">
            <w:pPr>
              <w:spacing w:before="80" w:after="80"/>
              <w:rPr>
                <w:rFonts w:cstheme="minorHAnsi"/>
                <w:sz w:val="24"/>
                <w:szCs w:val="24"/>
              </w:rPr>
            </w:pPr>
            <w:r w:rsidRPr="003A17B2">
              <w:rPr>
                <w:rFonts w:cstheme="minorHAnsi"/>
                <w:sz w:val="24"/>
                <w:szCs w:val="24"/>
              </w:rPr>
              <w:t>-</w:t>
            </w:r>
          </w:p>
        </w:tc>
        <w:tc>
          <w:tcPr>
            <w:tcW w:w="5528" w:type="dxa"/>
            <w:tcBorders>
              <w:top w:val="single" w:sz="8" w:space="0" w:color="33CC33"/>
              <w:bottom w:val="single" w:sz="8" w:space="0" w:color="33CC33"/>
            </w:tcBorders>
            <w:vAlign w:val="center"/>
          </w:tcPr>
          <w:p w14:paraId="52EB6921" w14:textId="6DDE2785" w:rsidR="003A17B2" w:rsidRPr="003A17B2" w:rsidRDefault="003A17B2" w:rsidP="003A17B2">
            <w:pPr>
              <w:autoSpaceDE w:val="0"/>
              <w:autoSpaceDN w:val="0"/>
              <w:adjustRightInd w:val="0"/>
              <w:spacing w:before="80" w:after="40"/>
              <w:rPr>
                <w:rFonts w:cstheme="minorHAnsi"/>
                <w:sz w:val="24"/>
                <w:szCs w:val="24"/>
              </w:rPr>
            </w:pPr>
            <w:r w:rsidRPr="003A17B2">
              <w:rPr>
                <w:rFonts w:cstheme="minorHAnsi"/>
                <w:sz w:val="24"/>
                <w:szCs w:val="24"/>
              </w:rPr>
              <w:t xml:space="preserve">Wskaźnik obejmuje dodatkową zdolność produkcyjną energii cieplnej ze źródeł odnawialnych. Zdolność produkcyjna jest rozumiana jako maksymalna moc zainstalowana. Zgodnie z dyrektywą 2018/2011 oraz </w:t>
            </w:r>
            <w:r w:rsidRPr="003A17B2">
              <w:rPr>
                <w:rFonts w:cstheme="minorHAnsi"/>
                <w:sz w:val="24"/>
                <w:szCs w:val="24"/>
              </w:rPr>
              <w:lastRenderedPageBreak/>
              <w:t xml:space="preserve">ustawą z dnia 20 lutego 2015 r. o odnawialnych źródłach energii (Dz.U. z 2015 r. poz. 478, z </w:t>
            </w:r>
            <w:proofErr w:type="spellStart"/>
            <w:r w:rsidRPr="003A17B2">
              <w:rPr>
                <w:rFonts w:cstheme="minorHAnsi"/>
                <w:sz w:val="24"/>
                <w:szCs w:val="24"/>
              </w:rPr>
              <w:t>późn</w:t>
            </w:r>
            <w:proofErr w:type="spellEnd"/>
            <w:r w:rsidRPr="003A17B2">
              <w:rPr>
                <w:rFonts w:cstheme="minorHAnsi"/>
                <w:sz w:val="24"/>
                <w:szCs w:val="24"/>
              </w:rPr>
              <w:t xml:space="preserve">. zm.), energia odnawialna oznacza odnawialne, niekopalne źródła energii obejmujące: energię wiatru, energię promieniowania słonecznego, energię </w:t>
            </w:r>
            <w:proofErr w:type="spellStart"/>
            <w:r w:rsidRPr="003A17B2">
              <w:rPr>
                <w:rFonts w:cstheme="minorHAnsi"/>
                <w:sz w:val="24"/>
                <w:szCs w:val="24"/>
              </w:rPr>
              <w:t>aerotermalną</w:t>
            </w:r>
            <w:proofErr w:type="spellEnd"/>
            <w:r w:rsidRPr="003A17B2">
              <w:rPr>
                <w:rFonts w:cstheme="minorHAnsi"/>
                <w:sz w:val="24"/>
                <w:szCs w:val="24"/>
              </w:rPr>
              <w:t xml:space="preserve">, energię geotermalną, energię hydrotermalną, hydroenergię, energię fal, prądów i pływów morskich, energię otrzymywaną z biomasy, biogazu, biogazu rolniczego oraz z </w:t>
            </w:r>
            <w:proofErr w:type="spellStart"/>
            <w:r w:rsidRPr="003A17B2">
              <w:rPr>
                <w:rFonts w:cstheme="minorHAnsi"/>
                <w:sz w:val="24"/>
                <w:szCs w:val="24"/>
              </w:rPr>
              <w:t>biopłynów</w:t>
            </w:r>
            <w:proofErr w:type="spellEnd"/>
            <w:r w:rsidRPr="003A17B2">
              <w:rPr>
                <w:rFonts w:cstheme="minorHAnsi"/>
                <w:sz w:val="24"/>
                <w:szCs w:val="24"/>
              </w:rPr>
              <w:t>.</w:t>
            </w:r>
          </w:p>
        </w:tc>
      </w:tr>
      <w:tr w:rsidR="00021606" w:rsidRPr="00F83060" w14:paraId="573E9570" w14:textId="77777777" w:rsidTr="003A17B2">
        <w:trPr>
          <w:gridAfter w:val="1"/>
          <w:wAfter w:w="13" w:type="dxa"/>
          <w:trHeight w:val="63"/>
        </w:trPr>
        <w:tc>
          <w:tcPr>
            <w:tcW w:w="552" w:type="dxa"/>
            <w:tcBorders>
              <w:top w:val="single" w:sz="8" w:space="0" w:color="33CC33"/>
              <w:bottom w:val="single" w:sz="8" w:space="0" w:color="33CC33"/>
            </w:tcBorders>
            <w:vAlign w:val="center"/>
          </w:tcPr>
          <w:p w14:paraId="191E31D4" w14:textId="64B47035" w:rsidR="00021606" w:rsidRDefault="00021606" w:rsidP="00021606">
            <w:pPr>
              <w:spacing w:before="60" w:after="60"/>
              <w:rPr>
                <w:rFonts w:cstheme="minorHAnsi"/>
                <w:sz w:val="24"/>
                <w:szCs w:val="24"/>
              </w:rPr>
            </w:pPr>
            <w:r>
              <w:rPr>
                <w:rFonts w:cstheme="minorHAnsi"/>
                <w:sz w:val="24"/>
                <w:szCs w:val="24"/>
              </w:rPr>
              <w:lastRenderedPageBreak/>
              <w:t>7.</w:t>
            </w:r>
          </w:p>
        </w:tc>
        <w:tc>
          <w:tcPr>
            <w:tcW w:w="2977" w:type="dxa"/>
            <w:tcBorders>
              <w:top w:val="single" w:sz="8" w:space="0" w:color="33CC33"/>
              <w:bottom w:val="single" w:sz="8" w:space="0" w:color="33CC33"/>
            </w:tcBorders>
            <w:vAlign w:val="center"/>
          </w:tcPr>
          <w:p w14:paraId="366A4771" w14:textId="33A904F2" w:rsidR="00021606" w:rsidRPr="003A17B2" w:rsidRDefault="00021606" w:rsidP="00021606">
            <w:pPr>
              <w:autoSpaceDE w:val="0"/>
              <w:autoSpaceDN w:val="0"/>
              <w:adjustRightInd w:val="0"/>
              <w:rPr>
                <w:rFonts w:cstheme="minorHAnsi"/>
                <w:i/>
                <w:sz w:val="24"/>
                <w:szCs w:val="24"/>
              </w:rPr>
            </w:pPr>
            <w:r w:rsidRPr="00021606">
              <w:rPr>
                <w:rFonts w:cstheme="minorHAnsi"/>
                <w:i/>
                <w:sz w:val="24"/>
                <w:szCs w:val="24"/>
              </w:rPr>
              <w:t>Liczba osób korzystających z przywróconej do użytkowania infrastruktury</w:t>
            </w:r>
          </w:p>
        </w:tc>
        <w:tc>
          <w:tcPr>
            <w:tcW w:w="1276" w:type="dxa"/>
            <w:tcBorders>
              <w:top w:val="single" w:sz="8" w:space="0" w:color="33CC33"/>
              <w:bottom w:val="single" w:sz="8" w:space="0" w:color="33CC33"/>
            </w:tcBorders>
            <w:vAlign w:val="center"/>
          </w:tcPr>
          <w:p w14:paraId="26438116" w14:textId="5FDE73FB" w:rsidR="00021606" w:rsidRPr="003A17B2" w:rsidRDefault="00021606" w:rsidP="00021606">
            <w:pPr>
              <w:spacing w:before="60" w:after="60"/>
              <w:rPr>
                <w:rFonts w:cstheme="minorHAnsi"/>
                <w:sz w:val="24"/>
                <w:szCs w:val="24"/>
              </w:rPr>
            </w:pPr>
            <w:r>
              <w:rPr>
                <w:rFonts w:cstheme="minorHAnsi"/>
                <w:sz w:val="24"/>
                <w:szCs w:val="24"/>
              </w:rPr>
              <w:t>osoby</w:t>
            </w:r>
          </w:p>
        </w:tc>
        <w:tc>
          <w:tcPr>
            <w:tcW w:w="1276" w:type="dxa"/>
            <w:tcBorders>
              <w:top w:val="single" w:sz="8" w:space="0" w:color="33CC33"/>
              <w:bottom w:val="single" w:sz="8" w:space="0" w:color="33CC33"/>
            </w:tcBorders>
            <w:vAlign w:val="center"/>
          </w:tcPr>
          <w:p w14:paraId="06BBE3F7" w14:textId="1915D340" w:rsidR="00021606" w:rsidRPr="003A17B2" w:rsidRDefault="00021606" w:rsidP="00021606">
            <w:pPr>
              <w:spacing w:before="80" w:after="80"/>
              <w:rPr>
                <w:rFonts w:cstheme="minorHAnsi"/>
                <w:sz w:val="24"/>
                <w:szCs w:val="24"/>
              </w:rPr>
            </w:pPr>
            <w:r w:rsidRPr="003A17B2">
              <w:rPr>
                <w:rFonts w:cstheme="minorHAnsi"/>
                <w:sz w:val="24"/>
                <w:szCs w:val="24"/>
              </w:rPr>
              <w:t>rezultat</w:t>
            </w:r>
          </w:p>
        </w:tc>
        <w:tc>
          <w:tcPr>
            <w:tcW w:w="1275" w:type="dxa"/>
            <w:tcBorders>
              <w:top w:val="single" w:sz="8" w:space="0" w:color="33CC33"/>
              <w:bottom w:val="single" w:sz="8" w:space="0" w:color="33CC33"/>
            </w:tcBorders>
            <w:vAlign w:val="center"/>
          </w:tcPr>
          <w:p w14:paraId="71252C55" w14:textId="75560AD3" w:rsidR="00021606" w:rsidRPr="003A17B2" w:rsidRDefault="00021606" w:rsidP="00021606">
            <w:pPr>
              <w:spacing w:before="80" w:after="80"/>
              <w:rPr>
                <w:rFonts w:cstheme="minorHAnsi"/>
                <w:sz w:val="24"/>
                <w:szCs w:val="24"/>
              </w:rPr>
            </w:pPr>
            <w:r w:rsidRPr="003A17B2">
              <w:rPr>
                <w:rFonts w:cstheme="minorHAnsi"/>
                <w:sz w:val="24"/>
                <w:szCs w:val="24"/>
              </w:rPr>
              <w:t>kluczowy</w:t>
            </w:r>
          </w:p>
        </w:tc>
        <w:tc>
          <w:tcPr>
            <w:tcW w:w="1560" w:type="dxa"/>
            <w:tcBorders>
              <w:top w:val="single" w:sz="8" w:space="0" w:color="33CC33"/>
              <w:bottom w:val="single" w:sz="8" w:space="0" w:color="33CC33"/>
            </w:tcBorders>
            <w:vAlign w:val="center"/>
          </w:tcPr>
          <w:p w14:paraId="3A229C29" w14:textId="00EA32EC" w:rsidR="00021606" w:rsidRPr="003A17B2" w:rsidRDefault="00021606" w:rsidP="00021606">
            <w:pPr>
              <w:spacing w:before="80" w:after="80"/>
              <w:rPr>
                <w:rFonts w:cstheme="minorHAnsi"/>
                <w:sz w:val="24"/>
                <w:szCs w:val="24"/>
              </w:rPr>
            </w:pPr>
            <w:r w:rsidRPr="003A17B2">
              <w:rPr>
                <w:rFonts w:cstheme="minorHAnsi"/>
                <w:sz w:val="24"/>
                <w:szCs w:val="24"/>
              </w:rPr>
              <w:t>-</w:t>
            </w:r>
          </w:p>
        </w:tc>
        <w:tc>
          <w:tcPr>
            <w:tcW w:w="5528" w:type="dxa"/>
            <w:tcBorders>
              <w:top w:val="single" w:sz="8" w:space="0" w:color="33CC33"/>
              <w:bottom w:val="single" w:sz="8" w:space="0" w:color="33CC33"/>
            </w:tcBorders>
            <w:vAlign w:val="center"/>
          </w:tcPr>
          <w:p w14:paraId="5CCD9E4B" w14:textId="0AE21809" w:rsidR="00021606" w:rsidRPr="003A17B2" w:rsidRDefault="00021606" w:rsidP="00021606">
            <w:pPr>
              <w:autoSpaceDE w:val="0"/>
              <w:autoSpaceDN w:val="0"/>
              <w:adjustRightInd w:val="0"/>
              <w:spacing w:before="80" w:after="40"/>
              <w:rPr>
                <w:rFonts w:cstheme="minorHAnsi"/>
                <w:sz w:val="24"/>
                <w:szCs w:val="24"/>
              </w:rPr>
            </w:pPr>
            <w:r w:rsidRPr="00021606">
              <w:rPr>
                <w:rFonts w:cstheme="minorHAnsi"/>
                <w:sz w:val="24"/>
                <w:szCs w:val="24"/>
              </w:rPr>
              <w:t>Liczba mieszkańców korzystających z infrastruktury, która została odbudowana, wyremontowana lub której funkcjonalność została przywrócona w wyniku realizowanego projektu</w:t>
            </w:r>
          </w:p>
        </w:tc>
      </w:tr>
      <w:tr w:rsidR="00021606" w:rsidRPr="00F83060" w14:paraId="1D1D27F2" w14:textId="77777777" w:rsidTr="003A17B2">
        <w:trPr>
          <w:gridAfter w:val="1"/>
          <w:wAfter w:w="13" w:type="dxa"/>
          <w:trHeight w:val="63"/>
        </w:trPr>
        <w:tc>
          <w:tcPr>
            <w:tcW w:w="552" w:type="dxa"/>
            <w:tcBorders>
              <w:top w:val="single" w:sz="8" w:space="0" w:color="33CC33"/>
              <w:bottom w:val="single" w:sz="8" w:space="0" w:color="33CC33"/>
            </w:tcBorders>
            <w:vAlign w:val="center"/>
          </w:tcPr>
          <w:p w14:paraId="7873EDCC" w14:textId="62C10AF8" w:rsidR="00021606" w:rsidRDefault="00021606" w:rsidP="00021606">
            <w:pPr>
              <w:spacing w:before="60" w:after="60"/>
              <w:rPr>
                <w:rFonts w:cstheme="minorHAnsi"/>
                <w:sz w:val="24"/>
                <w:szCs w:val="24"/>
              </w:rPr>
            </w:pPr>
            <w:r>
              <w:rPr>
                <w:rFonts w:cstheme="minorHAnsi"/>
                <w:sz w:val="24"/>
                <w:szCs w:val="24"/>
              </w:rPr>
              <w:t>8.</w:t>
            </w:r>
          </w:p>
        </w:tc>
        <w:tc>
          <w:tcPr>
            <w:tcW w:w="2977" w:type="dxa"/>
            <w:tcBorders>
              <w:top w:val="single" w:sz="8" w:space="0" w:color="33CC33"/>
              <w:bottom w:val="single" w:sz="8" w:space="0" w:color="33CC33"/>
            </w:tcBorders>
            <w:vAlign w:val="center"/>
          </w:tcPr>
          <w:p w14:paraId="1276AD7D" w14:textId="74C2B956" w:rsidR="00021606" w:rsidRPr="003A17B2" w:rsidRDefault="00021606" w:rsidP="00021606">
            <w:pPr>
              <w:autoSpaceDE w:val="0"/>
              <w:autoSpaceDN w:val="0"/>
              <w:adjustRightInd w:val="0"/>
              <w:rPr>
                <w:rFonts w:cstheme="minorHAnsi"/>
                <w:i/>
                <w:sz w:val="24"/>
                <w:szCs w:val="24"/>
              </w:rPr>
            </w:pPr>
            <w:r w:rsidRPr="003A17B2">
              <w:rPr>
                <w:rFonts w:cstheme="minorHAnsi"/>
                <w:i/>
                <w:sz w:val="24"/>
                <w:szCs w:val="24"/>
              </w:rPr>
              <w:t>Roczne zużycie energii pierwotnej (w tym: w lokalach mieszkalnych, budynkach publicznych, przedsiębiorstwach, innych)</w:t>
            </w:r>
          </w:p>
        </w:tc>
        <w:tc>
          <w:tcPr>
            <w:tcW w:w="1276" w:type="dxa"/>
            <w:tcBorders>
              <w:top w:val="single" w:sz="8" w:space="0" w:color="33CC33"/>
              <w:bottom w:val="single" w:sz="8" w:space="0" w:color="33CC33"/>
            </w:tcBorders>
            <w:vAlign w:val="center"/>
          </w:tcPr>
          <w:p w14:paraId="6DEA49FB" w14:textId="6D4D01BD" w:rsidR="00021606" w:rsidRPr="003A17B2" w:rsidRDefault="00021606" w:rsidP="00021606">
            <w:pPr>
              <w:spacing w:before="60" w:after="60"/>
              <w:rPr>
                <w:rFonts w:cstheme="minorHAnsi"/>
                <w:sz w:val="24"/>
                <w:szCs w:val="24"/>
              </w:rPr>
            </w:pPr>
            <w:r w:rsidRPr="003A17B2">
              <w:rPr>
                <w:rFonts w:cstheme="minorHAnsi"/>
                <w:sz w:val="24"/>
                <w:szCs w:val="24"/>
              </w:rPr>
              <w:t>MWh/rok</w:t>
            </w:r>
          </w:p>
        </w:tc>
        <w:tc>
          <w:tcPr>
            <w:tcW w:w="1276" w:type="dxa"/>
            <w:tcBorders>
              <w:top w:val="single" w:sz="8" w:space="0" w:color="33CC33"/>
              <w:bottom w:val="single" w:sz="8" w:space="0" w:color="33CC33"/>
            </w:tcBorders>
            <w:vAlign w:val="center"/>
          </w:tcPr>
          <w:p w14:paraId="50251D84" w14:textId="3E48A646" w:rsidR="00021606" w:rsidRPr="003A17B2" w:rsidRDefault="00021606" w:rsidP="00021606">
            <w:pPr>
              <w:spacing w:before="80" w:after="80"/>
              <w:rPr>
                <w:rFonts w:cstheme="minorHAnsi"/>
                <w:sz w:val="24"/>
                <w:szCs w:val="24"/>
              </w:rPr>
            </w:pPr>
            <w:r w:rsidRPr="003A17B2">
              <w:rPr>
                <w:rFonts w:cstheme="minorHAnsi"/>
                <w:sz w:val="24"/>
                <w:szCs w:val="24"/>
              </w:rPr>
              <w:t>rezultat</w:t>
            </w:r>
          </w:p>
        </w:tc>
        <w:tc>
          <w:tcPr>
            <w:tcW w:w="1275" w:type="dxa"/>
            <w:tcBorders>
              <w:top w:val="single" w:sz="8" w:space="0" w:color="33CC33"/>
              <w:bottom w:val="single" w:sz="8" w:space="0" w:color="33CC33"/>
            </w:tcBorders>
            <w:vAlign w:val="center"/>
          </w:tcPr>
          <w:p w14:paraId="3AEA2A31" w14:textId="07A6F3F8" w:rsidR="00021606" w:rsidRPr="003A17B2" w:rsidRDefault="00021606" w:rsidP="00021606">
            <w:pPr>
              <w:spacing w:before="80" w:after="80"/>
              <w:rPr>
                <w:rFonts w:cstheme="minorHAnsi"/>
                <w:sz w:val="24"/>
                <w:szCs w:val="24"/>
              </w:rPr>
            </w:pPr>
            <w:r w:rsidRPr="003A17B2">
              <w:rPr>
                <w:rFonts w:cstheme="minorHAnsi"/>
                <w:sz w:val="24"/>
                <w:szCs w:val="24"/>
              </w:rPr>
              <w:t>kluczowy</w:t>
            </w:r>
          </w:p>
        </w:tc>
        <w:tc>
          <w:tcPr>
            <w:tcW w:w="1560" w:type="dxa"/>
            <w:tcBorders>
              <w:top w:val="single" w:sz="8" w:space="0" w:color="33CC33"/>
              <w:bottom w:val="single" w:sz="8" w:space="0" w:color="33CC33"/>
            </w:tcBorders>
            <w:vAlign w:val="center"/>
          </w:tcPr>
          <w:p w14:paraId="44618074" w14:textId="4A6DB842" w:rsidR="00021606" w:rsidRPr="003A17B2" w:rsidRDefault="00021606" w:rsidP="00021606">
            <w:pPr>
              <w:spacing w:before="80" w:after="80"/>
              <w:rPr>
                <w:rFonts w:cstheme="minorHAnsi"/>
                <w:sz w:val="24"/>
                <w:szCs w:val="24"/>
              </w:rPr>
            </w:pPr>
            <w:r w:rsidRPr="003A17B2">
              <w:rPr>
                <w:rFonts w:cstheme="minorHAnsi"/>
                <w:sz w:val="24"/>
                <w:szCs w:val="24"/>
              </w:rPr>
              <w:t>-</w:t>
            </w:r>
          </w:p>
        </w:tc>
        <w:tc>
          <w:tcPr>
            <w:tcW w:w="5528" w:type="dxa"/>
            <w:tcBorders>
              <w:top w:val="single" w:sz="8" w:space="0" w:color="33CC33"/>
              <w:bottom w:val="single" w:sz="8" w:space="0" w:color="33CC33"/>
            </w:tcBorders>
            <w:vAlign w:val="center"/>
          </w:tcPr>
          <w:p w14:paraId="6B89B622" w14:textId="0F8F34BC" w:rsidR="00021606" w:rsidRPr="003A17B2" w:rsidRDefault="00021606" w:rsidP="00021606">
            <w:pPr>
              <w:autoSpaceDE w:val="0"/>
              <w:autoSpaceDN w:val="0"/>
              <w:adjustRightInd w:val="0"/>
              <w:spacing w:before="80" w:after="40"/>
              <w:rPr>
                <w:rFonts w:cstheme="minorHAnsi"/>
                <w:sz w:val="24"/>
                <w:szCs w:val="24"/>
              </w:rPr>
            </w:pPr>
            <w:r w:rsidRPr="003A17B2">
              <w:rPr>
                <w:rFonts w:cstheme="minorHAnsi"/>
                <w:sz w:val="24"/>
                <w:szCs w:val="24"/>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W przypadku procesów w przedsiębiorstwach roczne zużycie energii pierwotnej należy udokumentować na podstawie audytów </w:t>
            </w:r>
            <w:r w:rsidRPr="003A17B2">
              <w:rPr>
                <w:rFonts w:cstheme="minorHAnsi"/>
                <w:sz w:val="24"/>
                <w:szCs w:val="24"/>
              </w:rPr>
              <w:lastRenderedPageBreak/>
              <w:t xml:space="preserve">energetycznych lub innych odpowiednich specyfikacji technicznych.  Budynki publiczne definiuje się jako budynki będące własnością instytucji publicznych </w:t>
            </w:r>
            <w:r>
              <w:rPr>
                <w:rFonts w:cstheme="minorHAnsi"/>
                <w:sz w:val="24"/>
                <w:szCs w:val="24"/>
              </w:rPr>
              <w:br/>
            </w:r>
            <w:r w:rsidRPr="003A17B2">
              <w:rPr>
                <w:rFonts w:cstheme="minorHAnsi"/>
                <w:sz w:val="24"/>
                <w:szCs w:val="24"/>
              </w:rPr>
              <w:t xml:space="preserve">i budynki będące własnością organizacji non-profit, pod warunkiem że takie instytucje realizują w budynku objętym projektem cele leżące w interesie ogólnym, takie jak edukacja, zdrowie, środowisko </w:t>
            </w:r>
            <w:r>
              <w:rPr>
                <w:rFonts w:cstheme="minorHAnsi"/>
                <w:sz w:val="24"/>
                <w:szCs w:val="24"/>
              </w:rPr>
              <w:br/>
            </w:r>
            <w:r w:rsidRPr="003A17B2">
              <w:rPr>
                <w:rFonts w:cstheme="minorHAnsi"/>
                <w:sz w:val="24"/>
                <w:szCs w:val="24"/>
              </w:rPr>
              <w:t>i transport. Przykłady obejmują budynki administracji publicznej, szkoły, szpitale itp.</w:t>
            </w:r>
          </w:p>
        </w:tc>
      </w:tr>
      <w:tr w:rsidR="00021606" w:rsidRPr="00F83060" w14:paraId="4735AA0D" w14:textId="77777777" w:rsidTr="003A17B2">
        <w:trPr>
          <w:gridAfter w:val="1"/>
          <w:wAfter w:w="13" w:type="dxa"/>
          <w:trHeight w:val="63"/>
        </w:trPr>
        <w:tc>
          <w:tcPr>
            <w:tcW w:w="552" w:type="dxa"/>
            <w:tcBorders>
              <w:top w:val="single" w:sz="8" w:space="0" w:color="33CC33"/>
              <w:bottom w:val="single" w:sz="8" w:space="0" w:color="33CC33"/>
            </w:tcBorders>
            <w:vAlign w:val="center"/>
          </w:tcPr>
          <w:p w14:paraId="2404FAB0" w14:textId="713E5FC3" w:rsidR="00021606" w:rsidRDefault="00021606" w:rsidP="00021606">
            <w:pPr>
              <w:spacing w:before="60" w:after="60"/>
              <w:rPr>
                <w:rFonts w:cstheme="minorHAnsi"/>
                <w:sz w:val="24"/>
                <w:szCs w:val="24"/>
              </w:rPr>
            </w:pPr>
            <w:r>
              <w:rPr>
                <w:rFonts w:cstheme="minorHAnsi"/>
                <w:sz w:val="24"/>
                <w:szCs w:val="24"/>
              </w:rPr>
              <w:lastRenderedPageBreak/>
              <w:t>9.</w:t>
            </w:r>
          </w:p>
        </w:tc>
        <w:tc>
          <w:tcPr>
            <w:tcW w:w="2977" w:type="dxa"/>
            <w:tcBorders>
              <w:top w:val="single" w:sz="8" w:space="0" w:color="33CC33"/>
              <w:bottom w:val="single" w:sz="8" w:space="0" w:color="33CC33"/>
            </w:tcBorders>
            <w:vAlign w:val="center"/>
          </w:tcPr>
          <w:p w14:paraId="6E11E6D6" w14:textId="58A042C2" w:rsidR="00021606" w:rsidRPr="003A17B2" w:rsidRDefault="00021606" w:rsidP="00021606">
            <w:pPr>
              <w:autoSpaceDE w:val="0"/>
              <w:autoSpaceDN w:val="0"/>
              <w:adjustRightInd w:val="0"/>
              <w:rPr>
                <w:rFonts w:cstheme="minorHAnsi"/>
                <w:i/>
                <w:sz w:val="24"/>
                <w:szCs w:val="24"/>
              </w:rPr>
            </w:pPr>
            <w:r w:rsidRPr="003A17B2">
              <w:rPr>
                <w:rFonts w:cstheme="minorHAnsi"/>
                <w:i/>
                <w:sz w:val="24"/>
                <w:szCs w:val="24"/>
              </w:rPr>
              <w:t>Ilość zaoszczędzonej energii elektrycznej i cieplnej</w:t>
            </w:r>
          </w:p>
        </w:tc>
        <w:tc>
          <w:tcPr>
            <w:tcW w:w="1276" w:type="dxa"/>
            <w:tcBorders>
              <w:top w:val="single" w:sz="8" w:space="0" w:color="33CC33"/>
              <w:bottom w:val="single" w:sz="8" w:space="0" w:color="33CC33"/>
            </w:tcBorders>
            <w:vAlign w:val="center"/>
          </w:tcPr>
          <w:p w14:paraId="3FD182B9" w14:textId="172DFE25" w:rsidR="00021606" w:rsidRPr="003A17B2" w:rsidRDefault="00021606" w:rsidP="00021606">
            <w:pPr>
              <w:spacing w:before="60" w:after="60"/>
              <w:rPr>
                <w:rFonts w:cstheme="minorHAnsi"/>
                <w:sz w:val="24"/>
                <w:szCs w:val="24"/>
              </w:rPr>
            </w:pPr>
            <w:r w:rsidRPr="003A17B2">
              <w:rPr>
                <w:rFonts w:cstheme="minorHAnsi"/>
                <w:sz w:val="24"/>
                <w:szCs w:val="24"/>
              </w:rPr>
              <w:t>MWh/rok</w:t>
            </w:r>
          </w:p>
        </w:tc>
        <w:tc>
          <w:tcPr>
            <w:tcW w:w="1276" w:type="dxa"/>
            <w:tcBorders>
              <w:top w:val="single" w:sz="8" w:space="0" w:color="33CC33"/>
              <w:bottom w:val="single" w:sz="8" w:space="0" w:color="33CC33"/>
            </w:tcBorders>
            <w:vAlign w:val="center"/>
          </w:tcPr>
          <w:p w14:paraId="6390CB19" w14:textId="5A7B99F9" w:rsidR="00021606" w:rsidRPr="003A17B2" w:rsidRDefault="00021606" w:rsidP="00021606">
            <w:pPr>
              <w:spacing w:before="80" w:after="80"/>
              <w:rPr>
                <w:rFonts w:cstheme="minorHAnsi"/>
                <w:sz w:val="24"/>
                <w:szCs w:val="24"/>
              </w:rPr>
            </w:pPr>
            <w:r w:rsidRPr="003A17B2">
              <w:rPr>
                <w:rFonts w:cstheme="minorHAnsi"/>
                <w:sz w:val="24"/>
                <w:szCs w:val="24"/>
              </w:rPr>
              <w:t>rezultat</w:t>
            </w:r>
          </w:p>
        </w:tc>
        <w:tc>
          <w:tcPr>
            <w:tcW w:w="1275" w:type="dxa"/>
            <w:tcBorders>
              <w:top w:val="single" w:sz="8" w:space="0" w:color="33CC33"/>
              <w:bottom w:val="single" w:sz="8" w:space="0" w:color="33CC33"/>
            </w:tcBorders>
            <w:vAlign w:val="center"/>
          </w:tcPr>
          <w:p w14:paraId="44CC5A65" w14:textId="52CEB8B4" w:rsidR="00021606" w:rsidRPr="003A17B2" w:rsidRDefault="00021606" w:rsidP="00021606">
            <w:pPr>
              <w:spacing w:before="80" w:after="80"/>
              <w:rPr>
                <w:rFonts w:cstheme="minorHAnsi"/>
                <w:sz w:val="24"/>
                <w:szCs w:val="24"/>
              </w:rPr>
            </w:pPr>
            <w:r w:rsidRPr="003A17B2">
              <w:rPr>
                <w:rFonts w:cstheme="minorHAnsi"/>
                <w:sz w:val="24"/>
                <w:szCs w:val="24"/>
              </w:rPr>
              <w:t>kluczowy</w:t>
            </w:r>
          </w:p>
        </w:tc>
        <w:tc>
          <w:tcPr>
            <w:tcW w:w="1560" w:type="dxa"/>
            <w:tcBorders>
              <w:top w:val="single" w:sz="8" w:space="0" w:color="33CC33"/>
              <w:bottom w:val="single" w:sz="8" w:space="0" w:color="33CC33"/>
            </w:tcBorders>
            <w:vAlign w:val="center"/>
          </w:tcPr>
          <w:p w14:paraId="6EB4A623" w14:textId="5F90A3A9" w:rsidR="00021606" w:rsidRPr="003A17B2" w:rsidRDefault="00021606" w:rsidP="00021606">
            <w:pPr>
              <w:spacing w:before="80" w:after="80"/>
              <w:rPr>
                <w:rFonts w:cstheme="minorHAnsi"/>
                <w:sz w:val="24"/>
                <w:szCs w:val="24"/>
              </w:rPr>
            </w:pPr>
            <w:r w:rsidRPr="003A17B2">
              <w:rPr>
                <w:rFonts w:cstheme="minorHAnsi"/>
                <w:sz w:val="24"/>
                <w:szCs w:val="24"/>
              </w:rPr>
              <w:t>agregat</w:t>
            </w:r>
          </w:p>
        </w:tc>
        <w:tc>
          <w:tcPr>
            <w:tcW w:w="5528" w:type="dxa"/>
            <w:tcBorders>
              <w:top w:val="single" w:sz="8" w:space="0" w:color="33CC33"/>
              <w:bottom w:val="single" w:sz="8" w:space="0" w:color="33CC33"/>
            </w:tcBorders>
            <w:vAlign w:val="center"/>
          </w:tcPr>
          <w:p w14:paraId="23567791" w14:textId="12D19A07" w:rsidR="00021606" w:rsidRPr="003A17B2" w:rsidRDefault="00021606" w:rsidP="00021606">
            <w:pPr>
              <w:autoSpaceDE w:val="0"/>
              <w:autoSpaceDN w:val="0"/>
              <w:adjustRightInd w:val="0"/>
              <w:spacing w:before="80" w:after="40"/>
              <w:rPr>
                <w:rFonts w:cstheme="minorHAnsi"/>
                <w:sz w:val="24"/>
                <w:szCs w:val="24"/>
              </w:rPr>
            </w:pPr>
            <w:r w:rsidRPr="003A17B2">
              <w:rPr>
                <w:rFonts w:cstheme="minorHAnsi"/>
                <w:sz w:val="24"/>
                <w:szCs w:val="24"/>
              </w:rPr>
              <w:t xml:space="preserve">Ilość zaoszczędzonej w wyniku realizacji projektu energii elektrycznej i cieplnej w ciągu pełnego roku po zakończeniu projektu w stosunku do roku bazowego.    Wskaźnik odnosi się do energii końcowej. Sposób pomiaru: W przypadku przedsiębiorstw produkcyjnych: różnica między rocznym zużyciem energii elektrycznej i/lub cieplnej w roku bazowym </w:t>
            </w:r>
            <w:r>
              <w:rPr>
                <w:rFonts w:cstheme="minorHAnsi"/>
                <w:sz w:val="24"/>
                <w:szCs w:val="24"/>
              </w:rPr>
              <w:br/>
            </w:r>
            <w:r w:rsidRPr="003A17B2">
              <w:rPr>
                <w:rFonts w:cstheme="minorHAnsi"/>
                <w:sz w:val="24"/>
                <w:szCs w:val="24"/>
              </w:rPr>
              <w:t>w stosunku do rocznego zużycia energii elektrycznej i/lub cieplnej po zakończeniu projektu, skorygowana w przypadku zmiany wielkości produkcji. W przypadku modernizacji energetycznej budynków: różnica między rocznym zużyciem energii elektrycznej i/lub cieplnej w roku bazowym w stosunku do rocznego zużycia energii elektrycznej po zakończeniu projektu.</w:t>
            </w:r>
          </w:p>
        </w:tc>
      </w:tr>
      <w:tr w:rsidR="00021606" w:rsidRPr="00F83060" w14:paraId="2BD72C62" w14:textId="77777777" w:rsidTr="003A17B2">
        <w:trPr>
          <w:gridAfter w:val="1"/>
          <w:wAfter w:w="13" w:type="dxa"/>
          <w:trHeight w:val="63"/>
        </w:trPr>
        <w:tc>
          <w:tcPr>
            <w:tcW w:w="552" w:type="dxa"/>
            <w:tcBorders>
              <w:top w:val="single" w:sz="8" w:space="0" w:color="33CC33"/>
              <w:bottom w:val="single" w:sz="8" w:space="0" w:color="33CC33"/>
            </w:tcBorders>
            <w:vAlign w:val="center"/>
          </w:tcPr>
          <w:p w14:paraId="21FECFBC" w14:textId="2880534A" w:rsidR="00021606" w:rsidRDefault="00021606" w:rsidP="00021606">
            <w:pPr>
              <w:spacing w:before="60" w:after="60"/>
              <w:rPr>
                <w:rFonts w:cstheme="minorHAnsi"/>
                <w:sz w:val="24"/>
                <w:szCs w:val="24"/>
              </w:rPr>
            </w:pPr>
            <w:r>
              <w:rPr>
                <w:rFonts w:cstheme="minorHAnsi"/>
                <w:sz w:val="24"/>
                <w:szCs w:val="24"/>
              </w:rPr>
              <w:lastRenderedPageBreak/>
              <w:t>10.</w:t>
            </w:r>
          </w:p>
        </w:tc>
        <w:tc>
          <w:tcPr>
            <w:tcW w:w="2977" w:type="dxa"/>
            <w:tcBorders>
              <w:top w:val="single" w:sz="8" w:space="0" w:color="33CC33"/>
              <w:bottom w:val="single" w:sz="8" w:space="0" w:color="33CC33"/>
            </w:tcBorders>
            <w:vAlign w:val="center"/>
          </w:tcPr>
          <w:p w14:paraId="4774297A" w14:textId="1312C63E" w:rsidR="00021606" w:rsidRPr="003A17B2" w:rsidRDefault="00021606" w:rsidP="00021606">
            <w:pPr>
              <w:autoSpaceDE w:val="0"/>
              <w:autoSpaceDN w:val="0"/>
              <w:adjustRightInd w:val="0"/>
              <w:rPr>
                <w:rFonts w:cstheme="minorHAnsi"/>
                <w:i/>
                <w:sz w:val="24"/>
                <w:szCs w:val="24"/>
              </w:rPr>
            </w:pPr>
            <w:r w:rsidRPr="003A17B2">
              <w:rPr>
                <w:rFonts w:cstheme="minorHAnsi"/>
                <w:i/>
                <w:sz w:val="24"/>
                <w:szCs w:val="24"/>
              </w:rPr>
              <w:t>Ilość zaoszczędzonej energii elektrycznej</w:t>
            </w:r>
          </w:p>
        </w:tc>
        <w:tc>
          <w:tcPr>
            <w:tcW w:w="1276" w:type="dxa"/>
            <w:tcBorders>
              <w:top w:val="single" w:sz="8" w:space="0" w:color="33CC33"/>
              <w:bottom w:val="single" w:sz="8" w:space="0" w:color="33CC33"/>
            </w:tcBorders>
            <w:vAlign w:val="center"/>
          </w:tcPr>
          <w:p w14:paraId="4E68006A" w14:textId="524C0746" w:rsidR="00021606" w:rsidRPr="003A17B2" w:rsidRDefault="00021606" w:rsidP="00021606">
            <w:pPr>
              <w:spacing w:before="60" w:after="60"/>
              <w:rPr>
                <w:rFonts w:cstheme="minorHAnsi"/>
                <w:sz w:val="24"/>
                <w:szCs w:val="24"/>
              </w:rPr>
            </w:pPr>
            <w:r w:rsidRPr="003A17B2">
              <w:rPr>
                <w:rFonts w:cstheme="minorHAnsi"/>
                <w:sz w:val="24"/>
                <w:szCs w:val="24"/>
              </w:rPr>
              <w:t>MWh/rok</w:t>
            </w:r>
          </w:p>
        </w:tc>
        <w:tc>
          <w:tcPr>
            <w:tcW w:w="1276" w:type="dxa"/>
            <w:tcBorders>
              <w:top w:val="single" w:sz="8" w:space="0" w:color="33CC33"/>
              <w:bottom w:val="single" w:sz="8" w:space="0" w:color="33CC33"/>
            </w:tcBorders>
            <w:vAlign w:val="center"/>
          </w:tcPr>
          <w:p w14:paraId="06E4CD36" w14:textId="49BFDE99" w:rsidR="00021606" w:rsidRPr="003A17B2" w:rsidRDefault="00021606" w:rsidP="00021606">
            <w:pPr>
              <w:spacing w:before="80" w:after="80"/>
              <w:rPr>
                <w:rFonts w:cstheme="minorHAnsi"/>
                <w:sz w:val="24"/>
                <w:szCs w:val="24"/>
              </w:rPr>
            </w:pPr>
            <w:r w:rsidRPr="003A17B2">
              <w:rPr>
                <w:rFonts w:cstheme="minorHAnsi"/>
                <w:sz w:val="24"/>
                <w:szCs w:val="24"/>
              </w:rPr>
              <w:t>rezultat</w:t>
            </w:r>
          </w:p>
        </w:tc>
        <w:tc>
          <w:tcPr>
            <w:tcW w:w="1275" w:type="dxa"/>
            <w:tcBorders>
              <w:top w:val="single" w:sz="8" w:space="0" w:color="33CC33"/>
              <w:bottom w:val="single" w:sz="8" w:space="0" w:color="33CC33"/>
            </w:tcBorders>
            <w:vAlign w:val="center"/>
          </w:tcPr>
          <w:p w14:paraId="12A136E9" w14:textId="60CB6913" w:rsidR="00021606" w:rsidRPr="003A17B2" w:rsidRDefault="00021606" w:rsidP="00021606">
            <w:pPr>
              <w:spacing w:before="80" w:after="80"/>
              <w:rPr>
                <w:rFonts w:cstheme="minorHAnsi"/>
                <w:sz w:val="24"/>
                <w:szCs w:val="24"/>
              </w:rPr>
            </w:pPr>
            <w:r w:rsidRPr="003A17B2">
              <w:rPr>
                <w:rFonts w:cstheme="minorHAnsi"/>
                <w:sz w:val="24"/>
                <w:szCs w:val="24"/>
              </w:rPr>
              <w:t>kluczowy</w:t>
            </w:r>
          </w:p>
        </w:tc>
        <w:tc>
          <w:tcPr>
            <w:tcW w:w="1560" w:type="dxa"/>
            <w:tcBorders>
              <w:top w:val="single" w:sz="8" w:space="0" w:color="33CC33"/>
              <w:bottom w:val="single" w:sz="8" w:space="0" w:color="33CC33"/>
            </w:tcBorders>
            <w:vAlign w:val="center"/>
          </w:tcPr>
          <w:p w14:paraId="4DC43527" w14:textId="768AE167" w:rsidR="00021606" w:rsidRPr="003A17B2" w:rsidRDefault="00021606" w:rsidP="00021606">
            <w:pPr>
              <w:spacing w:before="80" w:after="80"/>
              <w:rPr>
                <w:rFonts w:cstheme="minorHAnsi"/>
                <w:sz w:val="24"/>
                <w:szCs w:val="24"/>
              </w:rPr>
            </w:pPr>
            <w:r w:rsidRPr="003A17B2">
              <w:rPr>
                <w:rFonts w:cstheme="minorHAnsi"/>
                <w:sz w:val="24"/>
                <w:szCs w:val="24"/>
              </w:rPr>
              <w:t>-</w:t>
            </w:r>
          </w:p>
        </w:tc>
        <w:tc>
          <w:tcPr>
            <w:tcW w:w="5528" w:type="dxa"/>
            <w:tcBorders>
              <w:top w:val="single" w:sz="8" w:space="0" w:color="33CC33"/>
              <w:bottom w:val="single" w:sz="8" w:space="0" w:color="33CC33"/>
            </w:tcBorders>
            <w:vAlign w:val="center"/>
          </w:tcPr>
          <w:p w14:paraId="487446C9" w14:textId="503F6510" w:rsidR="00021606" w:rsidRPr="003A17B2" w:rsidRDefault="00021606" w:rsidP="00021606">
            <w:pPr>
              <w:autoSpaceDE w:val="0"/>
              <w:autoSpaceDN w:val="0"/>
              <w:adjustRightInd w:val="0"/>
              <w:spacing w:before="80" w:after="40"/>
              <w:rPr>
                <w:rFonts w:cstheme="minorHAnsi"/>
                <w:sz w:val="24"/>
                <w:szCs w:val="24"/>
              </w:rPr>
            </w:pPr>
            <w:r w:rsidRPr="003A17B2">
              <w:rPr>
                <w:rFonts w:cstheme="minorHAnsi"/>
                <w:sz w:val="24"/>
                <w:szCs w:val="24"/>
              </w:rPr>
              <w:t xml:space="preserve">Ilość zaoszczędzonej w wyniku realizacji projektu energii elektrycznej w ciągu pełnego roku po zakończeniu projektu w stosunku do roku bazowego.    Wskaźnik odnosi się do energii końcowej. </w:t>
            </w:r>
            <w:r>
              <w:rPr>
                <w:rFonts w:cstheme="minorHAnsi"/>
                <w:sz w:val="24"/>
                <w:szCs w:val="24"/>
              </w:rPr>
              <w:br/>
            </w:r>
            <w:r w:rsidRPr="003A17B2">
              <w:rPr>
                <w:rFonts w:cstheme="minorHAnsi"/>
                <w:sz w:val="24"/>
                <w:szCs w:val="24"/>
              </w:rPr>
              <w:t xml:space="preserve">W przypadku przedsiębiorstw produkcyjnych: różnica między rocznym zużyciem energii elektrycznej w roku bazowym w stosunku do rocznego zużycia energii elektrycznej po zakończeniu projektu, skorygowana </w:t>
            </w:r>
            <w:r>
              <w:rPr>
                <w:rFonts w:cstheme="minorHAnsi"/>
                <w:sz w:val="24"/>
                <w:szCs w:val="24"/>
              </w:rPr>
              <w:br/>
            </w:r>
            <w:r w:rsidRPr="003A17B2">
              <w:rPr>
                <w:rFonts w:cstheme="minorHAnsi"/>
                <w:sz w:val="24"/>
                <w:szCs w:val="24"/>
              </w:rPr>
              <w:t>w przypadku zmiany wielkości produkcji. W przypadku modernizacji energetycznej budynków: różnica między rocznym zużyciem energii elektrycznej w roku bazowym w stosunku do rocznego zużycia energii elektrycznej po zakończeniu projektu.</w:t>
            </w:r>
          </w:p>
          <w:p w14:paraId="7B37EEF5" w14:textId="2FCC7A0B" w:rsidR="00021606" w:rsidRPr="003A17B2" w:rsidRDefault="00021606" w:rsidP="00021606">
            <w:pPr>
              <w:autoSpaceDE w:val="0"/>
              <w:autoSpaceDN w:val="0"/>
              <w:adjustRightInd w:val="0"/>
              <w:spacing w:before="80" w:after="40"/>
              <w:rPr>
                <w:rFonts w:cstheme="minorHAnsi"/>
                <w:sz w:val="24"/>
                <w:szCs w:val="24"/>
              </w:rPr>
            </w:pPr>
            <w:r w:rsidRPr="003A17B2">
              <w:rPr>
                <w:rFonts w:cstheme="minorHAnsi"/>
                <w:sz w:val="24"/>
                <w:szCs w:val="24"/>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r w:rsidR="00021606" w:rsidRPr="00F83060" w14:paraId="7CA855C0" w14:textId="77777777" w:rsidTr="003A17B2">
        <w:trPr>
          <w:gridAfter w:val="1"/>
          <w:wAfter w:w="13" w:type="dxa"/>
          <w:trHeight w:val="63"/>
        </w:trPr>
        <w:tc>
          <w:tcPr>
            <w:tcW w:w="552" w:type="dxa"/>
            <w:tcBorders>
              <w:top w:val="single" w:sz="8" w:space="0" w:color="33CC33"/>
              <w:bottom w:val="single" w:sz="8" w:space="0" w:color="33CC33"/>
            </w:tcBorders>
            <w:vAlign w:val="center"/>
          </w:tcPr>
          <w:p w14:paraId="20919FD7" w14:textId="777036B7" w:rsidR="00021606" w:rsidRDefault="00021606" w:rsidP="00021606">
            <w:pPr>
              <w:spacing w:before="60" w:after="60"/>
              <w:rPr>
                <w:rFonts w:cstheme="minorHAnsi"/>
                <w:sz w:val="24"/>
                <w:szCs w:val="24"/>
              </w:rPr>
            </w:pPr>
            <w:r>
              <w:rPr>
                <w:rFonts w:cstheme="minorHAnsi"/>
                <w:sz w:val="24"/>
                <w:szCs w:val="24"/>
              </w:rPr>
              <w:t>11.</w:t>
            </w:r>
          </w:p>
        </w:tc>
        <w:tc>
          <w:tcPr>
            <w:tcW w:w="2977" w:type="dxa"/>
            <w:tcBorders>
              <w:top w:val="single" w:sz="8" w:space="0" w:color="33CC33"/>
              <w:bottom w:val="single" w:sz="8" w:space="0" w:color="33CC33"/>
            </w:tcBorders>
            <w:vAlign w:val="center"/>
          </w:tcPr>
          <w:p w14:paraId="0DADC643" w14:textId="285C9307" w:rsidR="00021606" w:rsidRPr="003A17B2" w:rsidRDefault="00021606" w:rsidP="00021606">
            <w:pPr>
              <w:autoSpaceDE w:val="0"/>
              <w:autoSpaceDN w:val="0"/>
              <w:adjustRightInd w:val="0"/>
              <w:rPr>
                <w:rFonts w:cstheme="minorHAnsi"/>
                <w:i/>
                <w:sz w:val="24"/>
                <w:szCs w:val="24"/>
              </w:rPr>
            </w:pPr>
            <w:r w:rsidRPr="003A17B2">
              <w:rPr>
                <w:rFonts w:cstheme="minorHAnsi"/>
                <w:i/>
                <w:sz w:val="24"/>
                <w:szCs w:val="24"/>
              </w:rPr>
              <w:t>Ilość zaoszczędzonej energii cieplnej</w:t>
            </w:r>
          </w:p>
        </w:tc>
        <w:tc>
          <w:tcPr>
            <w:tcW w:w="1276" w:type="dxa"/>
            <w:tcBorders>
              <w:top w:val="single" w:sz="8" w:space="0" w:color="33CC33"/>
              <w:bottom w:val="single" w:sz="8" w:space="0" w:color="33CC33"/>
            </w:tcBorders>
            <w:vAlign w:val="center"/>
          </w:tcPr>
          <w:p w14:paraId="5E9BB2EF" w14:textId="02812C58" w:rsidR="00021606" w:rsidRPr="003A17B2" w:rsidRDefault="00021606" w:rsidP="00021606">
            <w:pPr>
              <w:spacing w:before="60" w:after="60"/>
              <w:rPr>
                <w:rFonts w:cstheme="minorHAnsi"/>
                <w:sz w:val="24"/>
                <w:szCs w:val="24"/>
              </w:rPr>
            </w:pPr>
            <w:r w:rsidRPr="003A17B2">
              <w:rPr>
                <w:rFonts w:cstheme="minorHAnsi"/>
                <w:sz w:val="24"/>
                <w:szCs w:val="24"/>
              </w:rPr>
              <w:t>MWh/rok</w:t>
            </w:r>
          </w:p>
        </w:tc>
        <w:tc>
          <w:tcPr>
            <w:tcW w:w="1276" w:type="dxa"/>
            <w:tcBorders>
              <w:top w:val="single" w:sz="8" w:space="0" w:color="33CC33"/>
              <w:bottom w:val="single" w:sz="8" w:space="0" w:color="33CC33"/>
            </w:tcBorders>
            <w:vAlign w:val="center"/>
          </w:tcPr>
          <w:p w14:paraId="162C5651" w14:textId="308ED34F" w:rsidR="00021606" w:rsidRPr="003A17B2" w:rsidRDefault="00021606" w:rsidP="00021606">
            <w:pPr>
              <w:spacing w:before="80" w:after="80"/>
              <w:rPr>
                <w:rFonts w:cstheme="minorHAnsi"/>
                <w:sz w:val="24"/>
                <w:szCs w:val="24"/>
              </w:rPr>
            </w:pPr>
            <w:r w:rsidRPr="003A17B2">
              <w:rPr>
                <w:rFonts w:cstheme="minorHAnsi"/>
                <w:sz w:val="24"/>
                <w:szCs w:val="24"/>
              </w:rPr>
              <w:t>rezultat</w:t>
            </w:r>
          </w:p>
        </w:tc>
        <w:tc>
          <w:tcPr>
            <w:tcW w:w="1275" w:type="dxa"/>
            <w:tcBorders>
              <w:top w:val="single" w:sz="8" w:space="0" w:color="33CC33"/>
              <w:bottom w:val="single" w:sz="8" w:space="0" w:color="33CC33"/>
            </w:tcBorders>
            <w:vAlign w:val="center"/>
          </w:tcPr>
          <w:p w14:paraId="3DF80C96" w14:textId="724D3F09" w:rsidR="00021606" w:rsidRPr="003A17B2" w:rsidRDefault="00021606" w:rsidP="00021606">
            <w:pPr>
              <w:spacing w:before="80" w:after="80"/>
              <w:rPr>
                <w:rFonts w:cstheme="minorHAnsi"/>
                <w:sz w:val="24"/>
                <w:szCs w:val="24"/>
              </w:rPr>
            </w:pPr>
            <w:r w:rsidRPr="003A17B2">
              <w:rPr>
                <w:rFonts w:cstheme="minorHAnsi"/>
                <w:sz w:val="24"/>
                <w:szCs w:val="24"/>
              </w:rPr>
              <w:t>kluczowy</w:t>
            </w:r>
          </w:p>
        </w:tc>
        <w:tc>
          <w:tcPr>
            <w:tcW w:w="1560" w:type="dxa"/>
            <w:tcBorders>
              <w:top w:val="single" w:sz="8" w:space="0" w:color="33CC33"/>
              <w:bottom w:val="single" w:sz="8" w:space="0" w:color="33CC33"/>
            </w:tcBorders>
            <w:vAlign w:val="center"/>
          </w:tcPr>
          <w:p w14:paraId="7007A1F1" w14:textId="18783C1A" w:rsidR="00021606" w:rsidRPr="003A17B2" w:rsidRDefault="00021606" w:rsidP="00021606">
            <w:pPr>
              <w:spacing w:before="80" w:after="80"/>
              <w:rPr>
                <w:rFonts w:cstheme="minorHAnsi"/>
                <w:sz w:val="24"/>
                <w:szCs w:val="24"/>
              </w:rPr>
            </w:pPr>
            <w:r w:rsidRPr="003A17B2">
              <w:rPr>
                <w:rFonts w:cstheme="minorHAnsi"/>
                <w:sz w:val="24"/>
                <w:szCs w:val="24"/>
              </w:rPr>
              <w:t>-</w:t>
            </w:r>
          </w:p>
        </w:tc>
        <w:tc>
          <w:tcPr>
            <w:tcW w:w="5528" w:type="dxa"/>
            <w:tcBorders>
              <w:top w:val="single" w:sz="8" w:space="0" w:color="33CC33"/>
              <w:bottom w:val="single" w:sz="8" w:space="0" w:color="33CC33"/>
            </w:tcBorders>
            <w:vAlign w:val="center"/>
          </w:tcPr>
          <w:p w14:paraId="57A6606D" w14:textId="4A9A2A59" w:rsidR="00021606" w:rsidRPr="003A17B2" w:rsidRDefault="00021606" w:rsidP="00021606">
            <w:pPr>
              <w:rPr>
                <w:rFonts w:cstheme="minorHAnsi"/>
                <w:sz w:val="24"/>
                <w:szCs w:val="24"/>
              </w:rPr>
            </w:pPr>
            <w:r w:rsidRPr="003A17B2">
              <w:rPr>
                <w:rFonts w:cstheme="minorHAnsi"/>
                <w:sz w:val="24"/>
                <w:szCs w:val="24"/>
              </w:rPr>
              <w:t xml:space="preserve">Ilość zaoszczędzonej w wyniku realizacji projektu energii cieplnej w ciągu pełnego roku po zakończeniu projektu.   Wskaźnik odnosi się do energii końcowej.   W przypadku przedsiębiorstw produkcyjnych: różnica </w:t>
            </w:r>
            <w:r w:rsidRPr="003A17B2">
              <w:rPr>
                <w:rFonts w:cstheme="minorHAnsi"/>
                <w:sz w:val="24"/>
                <w:szCs w:val="24"/>
              </w:rPr>
              <w:lastRenderedPageBreak/>
              <w:t>między rocznym zużyciem energii cieplnej w roku bazowym w stosunku do rocznego zużycia energii cieplnej po zakończeniu projektu, skorygowana w przypadku zmiany wielkości produkcji. W przypadku modernizacji energetycznej budynków: różnica między rocznym zużyciem energii cieplnej  w roku bazowym w stosunku do rocznego zużycia energii cieplnej po zakończeniu projektu.</w:t>
            </w:r>
          </w:p>
          <w:p w14:paraId="6FDC9761" w14:textId="24CE0B2B" w:rsidR="00021606" w:rsidRPr="003A17B2" w:rsidRDefault="00021606" w:rsidP="00021606">
            <w:pPr>
              <w:autoSpaceDE w:val="0"/>
              <w:autoSpaceDN w:val="0"/>
              <w:adjustRightInd w:val="0"/>
              <w:spacing w:before="80" w:after="40"/>
              <w:rPr>
                <w:rFonts w:cstheme="minorHAnsi"/>
                <w:sz w:val="24"/>
                <w:szCs w:val="24"/>
              </w:rPr>
            </w:pPr>
            <w:r w:rsidRPr="003A17B2">
              <w:rPr>
                <w:rFonts w:cstheme="minorHAnsi"/>
                <w:sz w:val="24"/>
                <w:szCs w:val="24"/>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bl>
    <w:p w14:paraId="69453700" w14:textId="77777777" w:rsidR="005B09B9" w:rsidRPr="00483DA1" w:rsidRDefault="005B09B9" w:rsidP="00E01179">
      <w:pPr>
        <w:spacing w:after="0"/>
        <w:rPr>
          <w:rFonts w:ascii="Arial" w:eastAsiaTheme="minorEastAsia" w:hAnsi="Arial" w:cs="Arial"/>
          <w:sz w:val="18"/>
          <w:szCs w:val="18"/>
          <w:lang w:eastAsia="pl-PL"/>
        </w:rPr>
      </w:pPr>
    </w:p>
    <w:p w14:paraId="27DBEE86" w14:textId="686D0448" w:rsidR="00BE377C" w:rsidRPr="00483DA1" w:rsidRDefault="00BE377C" w:rsidP="00870BF6">
      <w:pPr>
        <w:spacing w:after="0"/>
        <w:ind w:hanging="142"/>
        <w:rPr>
          <w:rFonts w:ascii="Arial" w:hAnsi="Arial" w:cs="Arial"/>
          <w:i/>
          <w:sz w:val="18"/>
          <w:szCs w:val="18"/>
        </w:rPr>
      </w:pPr>
    </w:p>
    <w:p w14:paraId="2CB61CC5" w14:textId="1CE3384B" w:rsidR="00102FB7" w:rsidRPr="00483DA1" w:rsidRDefault="00102FB7">
      <w:pPr>
        <w:tabs>
          <w:tab w:val="left" w:pos="3402"/>
          <w:tab w:val="left" w:pos="5103"/>
        </w:tabs>
        <w:ind w:left="-709"/>
        <w:jc w:val="both"/>
        <w:rPr>
          <w:rFonts w:ascii="Arial" w:hAnsi="Arial" w:cs="Arial"/>
          <w:sz w:val="18"/>
          <w:szCs w:val="18"/>
        </w:rPr>
      </w:pPr>
    </w:p>
    <w:sectPr w:rsidR="00102FB7" w:rsidRPr="00483DA1" w:rsidSect="002271F7">
      <w:headerReference w:type="default" r:id="rId9"/>
      <w:footerReference w:type="default" r:id="rId10"/>
      <w:headerReference w:type="first" r:id="rId11"/>
      <w:footnotePr>
        <w:numFmt w:val="chicago"/>
      </w:footnotePr>
      <w:pgSz w:w="16838" w:h="11906" w:orient="landscape"/>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A432F" w14:textId="77777777" w:rsidR="00231F97" w:rsidRDefault="00231F97" w:rsidP="00A11280">
      <w:pPr>
        <w:spacing w:after="0" w:line="240" w:lineRule="auto"/>
      </w:pPr>
      <w:r>
        <w:separator/>
      </w:r>
    </w:p>
  </w:endnote>
  <w:endnote w:type="continuationSeparator" w:id="0">
    <w:p w14:paraId="1C60CF18" w14:textId="77777777" w:rsidR="00231F97" w:rsidRDefault="00231F97" w:rsidP="00A1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279469"/>
      <w:docPartObj>
        <w:docPartGallery w:val="Page Numbers (Bottom of Page)"/>
        <w:docPartUnique/>
      </w:docPartObj>
    </w:sdtPr>
    <w:sdtEndPr/>
    <w:sdtContent>
      <w:p w14:paraId="2376BAA3" w14:textId="77777777" w:rsidR="005B09B9" w:rsidRDefault="005B09B9">
        <w:pPr>
          <w:pStyle w:val="Stopka"/>
          <w:jc w:val="center"/>
        </w:pPr>
        <w:r>
          <w:fldChar w:fldCharType="begin"/>
        </w:r>
        <w:r>
          <w:instrText>PAGE   \* MERGEFORMAT</w:instrText>
        </w:r>
        <w:r>
          <w:fldChar w:fldCharType="separate"/>
        </w:r>
        <w:r w:rsidR="00CF0350">
          <w:rPr>
            <w:noProof/>
          </w:rPr>
          <w:t>13</w:t>
        </w:r>
        <w:r>
          <w:rPr>
            <w:noProof/>
          </w:rPr>
          <w:fldChar w:fldCharType="end"/>
        </w:r>
      </w:p>
    </w:sdtContent>
  </w:sdt>
  <w:p w14:paraId="1CE2B7A3" w14:textId="77777777" w:rsidR="005B09B9" w:rsidRDefault="005B09B9" w:rsidP="00442FE8">
    <w:pPr>
      <w:pStyle w:val="Stopka"/>
      <w:tabs>
        <w:tab w:val="clear" w:pos="4536"/>
        <w:tab w:val="clear" w:pos="9072"/>
        <w:tab w:val="left" w:pos="79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A5A16" w14:textId="77777777" w:rsidR="00231F97" w:rsidRDefault="00231F97" w:rsidP="00A11280">
      <w:pPr>
        <w:spacing w:after="0" w:line="240" w:lineRule="auto"/>
      </w:pPr>
      <w:r>
        <w:separator/>
      </w:r>
    </w:p>
  </w:footnote>
  <w:footnote w:type="continuationSeparator" w:id="0">
    <w:p w14:paraId="288425B4" w14:textId="77777777" w:rsidR="00231F97" w:rsidRDefault="00231F97" w:rsidP="00A11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16487" w14:textId="77777777" w:rsidR="007F1C45" w:rsidRDefault="007F1C45" w:rsidP="007F1C45">
    <w:pPr>
      <w:suppressAutoHyphens/>
      <w:spacing w:after="0"/>
      <w:ind w:right="-284"/>
      <w:jc w:val="right"/>
      <w:rPr>
        <w:rFonts w:eastAsia="Arial" w:cs="Calibri"/>
        <w:iCs/>
      </w:rPr>
    </w:pPr>
    <w:r w:rsidRPr="00452DD1">
      <w:rPr>
        <w:rFonts w:eastAsia="Arial" w:cs="Calibri"/>
        <w:b/>
        <w:sz w:val="24"/>
        <w:szCs w:val="20"/>
        <w:lang w:eastAsia="pl-PL"/>
      </w:rPr>
      <w:t xml:space="preserve">Załącznik nr </w:t>
    </w:r>
    <w:r>
      <w:rPr>
        <w:rFonts w:eastAsia="Arial" w:cs="Calibri"/>
        <w:b/>
        <w:sz w:val="24"/>
        <w:szCs w:val="20"/>
        <w:lang w:eastAsia="pl-PL"/>
      </w:rPr>
      <w:t>9</w:t>
    </w:r>
    <w:r w:rsidRPr="00452DD1">
      <w:rPr>
        <w:rFonts w:eastAsia="Arial" w:cs="Calibri"/>
        <w:b/>
        <w:sz w:val="24"/>
        <w:szCs w:val="20"/>
        <w:lang w:eastAsia="pl-PL"/>
      </w:rPr>
      <w:t xml:space="preserve"> </w:t>
    </w:r>
    <w:r w:rsidRPr="00452DD1">
      <w:rPr>
        <w:rFonts w:eastAsia="Arial" w:cs="Calibri"/>
        <w:iCs/>
      </w:rPr>
      <w:t>do Regulaminu wyboru projekt</w:t>
    </w:r>
    <w:r>
      <w:rPr>
        <w:rFonts w:eastAsia="Arial" w:cs="Calibri"/>
        <w:iCs/>
      </w:rPr>
      <w:t xml:space="preserve">ów </w:t>
    </w:r>
  </w:p>
  <w:p w14:paraId="198A71BA" w14:textId="77777777" w:rsidR="007F1C45" w:rsidRPr="007F1C45" w:rsidRDefault="007F1C45" w:rsidP="007F1C45">
    <w:pPr>
      <w:suppressAutoHyphens/>
      <w:spacing w:after="0"/>
      <w:ind w:right="-284"/>
      <w:jc w:val="right"/>
      <w:rPr>
        <w:rFonts w:eastAsia="Arial" w:cs="Calibri"/>
        <w:iCs/>
      </w:rPr>
    </w:pPr>
    <w:r w:rsidRPr="007F1C45">
      <w:rPr>
        <w:rFonts w:eastAsia="Arial" w:cs="Calibri"/>
        <w:iCs/>
      </w:rPr>
      <w:t xml:space="preserve">13.3 Infrastruktura społeczno-publiczna – odbudowa po powodzi </w:t>
    </w:r>
  </w:p>
  <w:p w14:paraId="6F39A883" w14:textId="77777777" w:rsidR="007F1C45" w:rsidRPr="00452DD1" w:rsidRDefault="007F1C45" w:rsidP="007F1C45">
    <w:pPr>
      <w:suppressAutoHyphens/>
      <w:spacing w:after="0"/>
      <w:ind w:right="-284"/>
      <w:jc w:val="right"/>
      <w:rPr>
        <w:rFonts w:eastAsia="Arial" w:cs="Calibri"/>
        <w:iCs/>
      </w:rPr>
    </w:pPr>
    <w:r w:rsidRPr="007F1C45">
      <w:rPr>
        <w:rFonts w:eastAsia="Arial" w:cs="Calibri"/>
        <w:iCs/>
      </w:rPr>
      <w:t>FEO 2021-2027</w:t>
    </w:r>
    <w:r>
      <w:rPr>
        <w:rFonts w:eastAsia="Arial" w:cs="Calibri"/>
        <w:iCs/>
      </w:rPr>
      <w:t xml:space="preserve"> Wersja nr 1</w:t>
    </w:r>
    <w:r w:rsidRPr="00452DD1">
      <w:rPr>
        <w:rFonts w:eastAsia="Arial" w:cs="Calibri"/>
        <w:iCs/>
      </w:rPr>
      <w:t xml:space="preserve">, </w:t>
    </w:r>
    <w:r>
      <w:rPr>
        <w:rFonts w:eastAsia="Arial" w:cs="Calibri"/>
        <w:iCs/>
      </w:rPr>
      <w:t>sierpień</w:t>
    </w:r>
    <w:r w:rsidRPr="00452DD1">
      <w:rPr>
        <w:rFonts w:eastAsia="Arial" w:cs="Calibri"/>
        <w:iCs/>
      </w:rPr>
      <w:t xml:space="preserve"> 2025 r.</w:t>
    </w:r>
  </w:p>
  <w:p w14:paraId="33BBA3AF" w14:textId="12028F6C" w:rsidR="005B09B9" w:rsidRPr="00136D60" w:rsidRDefault="005B09B9" w:rsidP="009A1C80">
    <w:pPr>
      <w:tabs>
        <w:tab w:val="center" w:pos="4536"/>
        <w:tab w:val="right" w:pos="9072"/>
      </w:tabs>
      <w:spacing w:after="0" w:line="240" w:lineRule="auto"/>
      <w:jc w:val="right"/>
      <w:rPr>
        <w:rFonts w:eastAsiaTheme="minorEastAsia"/>
        <w:lang w:eastAsia="pl-PL"/>
      </w:rPr>
    </w:pPr>
  </w:p>
  <w:p w14:paraId="357B97C4" w14:textId="77777777" w:rsidR="005B09B9" w:rsidRPr="00FC4C51" w:rsidRDefault="005B09B9" w:rsidP="00FC4C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4A876" w14:textId="79528CD2" w:rsidR="007F1C45" w:rsidRDefault="007F1C45" w:rsidP="007F1C45">
    <w:pPr>
      <w:suppressAutoHyphens/>
      <w:spacing w:after="0"/>
      <w:ind w:right="-284"/>
      <w:jc w:val="right"/>
      <w:rPr>
        <w:rFonts w:eastAsia="Arial" w:cs="Calibri"/>
        <w:iCs/>
      </w:rPr>
    </w:pPr>
    <w:r w:rsidRPr="00452DD1">
      <w:rPr>
        <w:rFonts w:eastAsia="Arial" w:cs="Calibri"/>
        <w:b/>
        <w:sz w:val="24"/>
        <w:szCs w:val="20"/>
        <w:lang w:eastAsia="pl-PL"/>
      </w:rPr>
      <w:t xml:space="preserve">Załącznik nr </w:t>
    </w:r>
    <w:r>
      <w:rPr>
        <w:rFonts w:eastAsia="Arial" w:cs="Calibri"/>
        <w:b/>
        <w:sz w:val="24"/>
        <w:szCs w:val="20"/>
        <w:lang w:eastAsia="pl-PL"/>
      </w:rPr>
      <w:t>9</w:t>
    </w:r>
    <w:r w:rsidRPr="00452DD1">
      <w:rPr>
        <w:rFonts w:eastAsia="Arial" w:cs="Calibri"/>
        <w:b/>
        <w:sz w:val="24"/>
        <w:szCs w:val="20"/>
        <w:lang w:eastAsia="pl-PL"/>
      </w:rPr>
      <w:t xml:space="preserve"> </w:t>
    </w:r>
    <w:r w:rsidRPr="00452DD1">
      <w:rPr>
        <w:rFonts w:eastAsia="Arial" w:cs="Calibri"/>
        <w:iCs/>
      </w:rPr>
      <w:t>do Regulaminu wyboru projekt</w:t>
    </w:r>
    <w:r>
      <w:rPr>
        <w:rFonts w:eastAsia="Arial" w:cs="Calibri"/>
        <w:iCs/>
      </w:rPr>
      <w:t xml:space="preserve">ów </w:t>
    </w:r>
  </w:p>
  <w:p w14:paraId="2185C12C" w14:textId="77777777" w:rsidR="007F1C45" w:rsidRPr="007F1C45" w:rsidRDefault="007F1C45" w:rsidP="007F1C45">
    <w:pPr>
      <w:suppressAutoHyphens/>
      <w:spacing w:after="0"/>
      <w:ind w:right="-284"/>
      <w:jc w:val="right"/>
      <w:rPr>
        <w:rFonts w:eastAsia="Arial" w:cs="Calibri"/>
        <w:iCs/>
      </w:rPr>
    </w:pPr>
    <w:r w:rsidRPr="007F1C45">
      <w:rPr>
        <w:rFonts w:eastAsia="Arial" w:cs="Calibri"/>
        <w:iCs/>
      </w:rPr>
      <w:t xml:space="preserve">13.3 Infrastruktura społeczno-publiczna – odbudowa po powodzi </w:t>
    </w:r>
  </w:p>
  <w:p w14:paraId="0BBDAB2F" w14:textId="5F59C1D0" w:rsidR="007F1C45" w:rsidRPr="00452DD1" w:rsidRDefault="007F1C45" w:rsidP="007F1C45">
    <w:pPr>
      <w:suppressAutoHyphens/>
      <w:spacing w:after="0"/>
      <w:ind w:right="-284"/>
      <w:jc w:val="right"/>
      <w:rPr>
        <w:rFonts w:eastAsia="Arial" w:cs="Calibri"/>
        <w:iCs/>
      </w:rPr>
    </w:pPr>
    <w:r w:rsidRPr="007F1C45">
      <w:rPr>
        <w:rFonts w:eastAsia="Arial" w:cs="Calibri"/>
        <w:iCs/>
      </w:rPr>
      <w:t>FEO 2021-2027</w:t>
    </w:r>
    <w:r>
      <w:rPr>
        <w:rFonts w:eastAsia="Arial" w:cs="Calibri"/>
        <w:iCs/>
      </w:rPr>
      <w:t xml:space="preserve"> Wersja nr 1</w:t>
    </w:r>
    <w:r w:rsidRPr="00452DD1">
      <w:rPr>
        <w:rFonts w:eastAsia="Arial" w:cs="Calibri"/>
        <w:iCs/>
      </w:rPr>
      <w:t xml:space="preserve">, </w:t>
    </w:r>
    <w:r>
      <w:rPr>
        <w:rFonts w:eastAsia="Arial" w:cs="Calibri"/>
        <w:iCs/>
      </w:rPr>
      <w:t>sierpień</w:t>
    </w:r>
    <w:r w:rsidRPr="00452DD1">
      <w:rPr>
        <w:rFonts w:eastAsia="Arial" w:cs="Calibri"/>
        <w:iCs/>
      </w:rPr>
      <w:t xml:space="preserve"> 2025 r.</w:t>
    </w:r>
  </w:p>
  <w:p w14:paraId="6F35BB29" w14:textId="5B40777C" w:rsidR="005B09B9" w:rsidRPr="007F1C45" w:rsidRDefault="005B09B9" w:rsidP="007F1C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73302"/>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74C6A"/>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B0EF1"/>
    <w:multiLevelType w:val="hybridMultilevel"/>
    <w:tmpl w:val="A9CC620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435993"/>
    <w:multiLevelType w:val="hybridMultilevel"/>
    <w:tmpl w:val="D7461E56"/>
    <w:lvl w:ilvl="0" w:tplc="2438C0F6">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E7231"/>
    <w:multiLevelType w:val="hybridMultilevel"/>
    <w:tmpl w:val="18B42E5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7523AC"/>
    <w:multiLevelType w:val="hybridMultilevel"/>
    <w:tmpl w:val="7F706CC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1AB67DA1"/>
    <w:multiLevelType w:val="hybridMultilevel"/>
    <w:tmpl w:val="5A723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E0CA9"/>
    <w:multiLevelType w:val="hybridMultilevel"/>
    <w:tmpl w:val="8C181DA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2B527F"/>
    <w:multiLevelType w:val="hybridMultilevel"/>
    <w:tmpl w:val="466AD6A2"/>
    <w:lvl w:ilvl="0" w:tplc="872C1E60">
      <w:start w:val="1"/>
      <w:numFmt w:val="decimal"/>
      <w:lvlText w:val="%1."/>
      <w:lvlJc w:val="left"/>
      <w:pPr>
        <w:ind w:left="502" w:hanging="360"/>
      </w:pPr>
      <w:rPr>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0" w15:restartNumberingAfterBreak="0">
    <w:nsid w:val="25E45FF6"/>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5254F"/>
    <w:multiLevelType w:val="hybridMultilevel"/>
    <w:tmpl w:val="23302B62"/>
    <w:lvl w:ilvl="0" w:tplc="0415000F">
      <w:start w:val="1"/>
      <w:numFmt w:val="decimal"/>
      <w:lvlText w:val="%1."/>
      <w:lvlJc w:val="left"/>
      <w:pPr>
        <w:ind w:left="50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B922CB1"/>
    <w:multiLevelType w:val="hybridMultilevel"/>
    <w:tmpl w:val="99E0D076"/>
    <w:lvl w:ilvl="0" w:tplc="A1AA95B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17A7F"/>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9737B1"/>
    <w:multiLevelType w:val="hybridMultilevel"/>
    <w:tmpl w:val="9B64D47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5F61F8"/>
    <w:multiLevelType w:val="hybridMultilevel"/>
    <w:tmpl w:val="173EF13C"/>
    <w:lvl w:ilvl="0" w:tplc="0EEA70A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226AB"/>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A6EA8"/>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A0471"/>
    <w:multiLevelType w:val="hybridMultilevel"/>
    <w:tmpl w:val="65504B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0276B66"/>
    <w:multiLevelType w:val="hybridMultilevel"/>
    <w:tmpl w:val="F07A1E4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2AF7F8D"/>
    <w:multiLevelType w:val="hybridMultilevel"/>
    <w:tmpl w:val="B73AA6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0E0AC7"/>
    <w:multiLevelType w:val="hybridMultilevel"/>
    <w:tmpl w:val="72B27C2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951A09"/>
    <w:multiLevelType w:val="hybridMultilevel"/>
    <w:tmpl w:val="E00020B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EA672D"/>
    <w:multiLevelType w:val="hybridMultilevel"/>
    <w:tmpl w:val="7E3C66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D573EF8"/>
    <w:multiLevelType w:val="hybridMultilevel"/>
    <w:tmpl w:val="DE90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7290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4306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523C55"/>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AC12B6"/>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DA489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7B763A"/>
    <w:multiLevelType w:val="hybridMultilevel"/>
    <w:tmpl w:val="B75CD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C45F7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DD46282"/>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5790"/>
    <w:multiLevelType w:val="hybridMultilevel"/>
    <w:tmpl w:val="FA7C2F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36DB4"/>
    <w:multiLevelType w:val="hybridMultilevel"/>
    <w:tmpl w:val="FA7870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4252DA"/>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3B6B5E"/>
    <w:multiLevelType w:val="hybridMultilevel"/>
    <w:tmpl w:val="87B8076C"/>
    <w:lvl w:ilvl="0" w:tplc="2DC08692">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B7E78"/>
    <w:multiLevelType w:val="hybridMultilevel"/>
    <w:tmpl w:val="E20EC6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16cid:durableId="1454522795">
    <w:abstractNumId w:val="22"/>
  </w:num>
  <w:num w:numId="2" w16cid:durableId="351305695">
    <w:abstractNumId w:val="40"/>
  </w:num>
  <w:num w:numId="3" w16cid:durableId="1502040570">
    <w:abstractNumId w:val="19"/>
  </w:num>
  <w:num w:numId="4" w16cid:durableId="451555477">
    <w:abstractNumId w:val="36"/>
  </w:num>
  <w:num w:numId="5" w16cid:durableId="1889030982">
    <w:abstractNumId w:val="16"/>
  </w:num>
  <w:num w:numId="6" w16cid:durableId="624623702">
    <w:abstractNumId w:val="35"/>
  </w:num>
  <w:num w:numId="7" w16cid:durableId="2010327956">
    <w:abstractNumId w:val="23"/>
  </w:num>
  <w:num w:numId="8" w16cid:durableId="1097218696">
    <w:abstractNumId w:val="29"/>
  </w:num>
  <w:num w:numId="9" w16cid:durableId="1148984746">
    <w:abstractNumId w:val="17"/>
  </w:num>
  <w:num w:numId="10" w16cid:durableId="946353595">
    <w:abstractNumId w:val="15"/>
  </w:num>
  <w:num w:numId="11" w16cid:durableId="145324299">
    <w:abstractNumId w:val="3"/>
  </w:num>
  <w:num w:numId="12" w16cid:durableId="1982688561">
    <w:abstractNumId w:val="8"/>
  </w:num>
  <w:num w:numId="13" w16cid:durableId="967320404">
    <w:abstractNumId w:val="12"/>
  </w:num>
  <w:num w:numId="14" w16cid:durableId="522672727">
    <w:abstractNumId w:val="11"/>
  </w:num>
  <w:num w:numId="15" w16cid:durableId="472868219">
    <w:abstractNumId w:val="38"/>
  </w:num>
  <w:num w:numId="16" w16cid:durableId="1158887349">
    <w:abstractNumId w:val="31"/>
  </w:num>
  <w:num w:numId="17" w16cid:durableId="1483038925">
    <w:abstractNumId w:val="2"/>
  </w:num>
  <w:num w:numId="18" w16cid:durableId="2053117129">
    <w:abstractNumId w:val="7"/>
  </w:num>
  <w:num w:numId="19" w16cid:durableId="1780103084">
    <w:abstractNumId w:val="33"/>
  </w:num>
  <w:num w:numId="20" w16cid:durableId="2112972756">
    <w:abstractNumId w:val="14"/>
  </w:num>
  <w:num w:numId="21" w16cid:durableId="371223673">
    <w:abstractNumId w:val="24"/>
  </w:num>
  <w:num w:numId="22" w16cid:durableId="51391285">
    <w:abstractNumId w:val="20"/>
  </w:num>
  <w:num w:numId="23" w16cid:durableId="1706557565">
    <w:abstractNumId w:val="41"/>
  </w:num>
  <w:num w:numId="24" w16cid:durableId="1044409493">
    <w:abstractNumId w:val="4"/>
  </w:num>
  <w:num w:numId="25" w16cid:durableId="2054884508">
    <w:abstractNumId w:val="21"/>
  </w:num>
  <w:num w:numId="26" w16cid:durableId="1524053811">
    <w:abstractNumId w:val="18"/>
  </w:num>
  <w:num w:numId="27" w16cid:durableId="1003892623">
    <w:abstractNumId w:val="34"/>
  </w:num>
  <w:num w:numId="28" w16cid:durableId="304431235">
    <w:abstractNumId w:val="28"/>
  </w:num>
  <w:num w:numId="29" w16cid:durableId="1837499734">
    <w:abstractNumId w:val="10"/>
  </w:num>
  <w:num w:numId="30" w16cid:durableId="589512347">
    <w:abstractNumId w:val="1"/>
  </w:num>
  <w:num w:numId="31" w16cid:durableId="468985706">
    <w:abstractNumId w:val="27"/>
  </w:num>
  <w:num w:numId="32" w16cid:durableId="1853181859">
    <w:abstractNumId w:val="13"/>
  </w:num>
  <w:num w:numId="33" w16cid:durableId="1567380324">
    <w:abstractNumId w:val="26"/>
  </w:num>
  <w:num w:numId="34" w16cid:durableId="914126096">
    <w:abstractNumId w:val="39"/>
  </w:num>
  <w:num w:numId="35" w16cid:durableId="1860505941">
    <w:abstractNumId w:val="6"/>
  </w:num>
  <w:num w:numId="36" w16cid:durableId="1202863642">
    <w:abstractNumId w:val="5"/>
  </w:num>
  <w:num w:numId="37" w16cid:durableId="534856915">
    <w:abstractNumId w:val="0"/>
  </w:num>
  <w:num w:numId="38" w16cid:durableId="1465462634">
    <w:abstractNumId w:val="42"/>
  </w:num>
  <w:num w:numId="39" w16cid:durableId="1031801972">
    <w:abstractNumId w:val="9"/>
  </w:num>
  <w:num w:numId="40" w16cid:durableId="453138477">
    <w:abstractNumId w:val="32"/>
  </w:num>
  <w:num w:numId="41" w16cid:durableId="1808014046">
    <w:abstractNumId w:val="37"/>
  </w:num>
  <w:num w:numId="42" w16cid:durableId="224948473">
    <w:abstractNumId w:val="25"/>
  </w:num>
  <w:num w:numId="43" w16cid:durableId="144272645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621"/>
    <w:rsid w:val="00001E12"/>
    <w:rsid w:val="00002D26"/>
    <w:rsid w:val="00006A99"/>
    <w:rsid w:val="0001004E"/>
    <w:rsid w:val="00010EEF"/>
    <w:rsid w:val="00015EC6"/>
    <w:rsid w:val="00021606"/>
    <w:rsid w:val="00022220"/>
    <w:rsid w:val="0002356F"/>
    <w:rsid w:val="000252B8"/>
    <w:rsid w:val="000305AA"/>
    <w:rsid w:val="000327B4"/>
    <w:rsid w:val="00034F3C"/>
    <w:rsid w:val="00035C17"/>
    <w:rsid w:val="00036830"/>
    <w:rsid w:val="00040DFE"/>
    <w:rsid w:val="000419E2"/>
    <w:rsid w:val="00042F3A"/>
    <w:rsid w:val="00055EE7"/>
    <w:rsid w:val="00056886"/>
    <w:rsid w:val="00061708"/>
    <w:rsid w:val="000637DD"/>
    <w:rsid w:val="0006395F"/>
    <w:rsid w:val="00067170"/>
    <w:rsid w:val="00072063"/>
    <w:rsid w:val="000735AC"/>
    <w:rsid w:val="000751CE"/>
    <w:rsid w:val="000757A9"/>
    <w:rsid w:val="00083607"/>
    <w:rsid w:val="00083D75"/>
    <w:rsid w:val="00084190"/>
    <w:rsid w:val="000871B9"/>
    <w:rsid w:val="00091AF0"/>
    <w:rsid w:val="0009398B"/>
    <w:rsid w:val="00095B63"/>
    <w:rsid w:val="00097710"/>
    <w:rsid w:val="000A0237"/>
    <w:rsid w:val="000A529C"/>
    <w:rsid w:val="000A6A14"/>
    <w:rsid w:val="000B31A9"/>
    <w:rsid w:val="000B5FE8"/>
    <w:rsid w:val="000B61B6"/>
    <w:rsid w:val="000C3414"/>
    <w:rsid w:val="000C6AA3"/>
    <w:rsid w:val="000E1172"/>
    <w:rsid w:val="000E1828"/>
    <w:rsid w:val="000E436C"/>
    <w:rsid w:val="000E5525"/>
    <w:rsid w:val="000E7FBF"/>
    <w:rsid w:val="000F36FA"/>
    <w:rsid w:val="000F5C3F"/>
    <w:rsid w:val="001028AA"/>
    <w:rsid w:val="00102FB7"/>
    <w:rsid w:val="00103B1B"/>
    <w:rsid w:val="00110626"/>
    <w:rsid w:val="001133C2"/>
    <w:rsid w:val="00115072"/>
    <w:rsid w:val="0011616D"/>
    <w:rsid w:val="001217A7"/>
    <w:rsid w:val="00125111"/>
    <w:rsid w:val="00131B88"/>
    <w:rsid w:val="0013434B"/>
    <w:rsid w:val="00136D60"/>
    <w:rsid w:val="0014329F"/>
    <w:rsid w:val="001460B1"/>
    <w:rsid w:val="00152EEA"/>
    <w:rsid w:val="00160878"/>
    <w:rsid w:val="00161C3A"/>
    <w:rsid w:val="00163090"/>
    <w:rsid w:val="00163314"/>
    <w:rsid w:val="0016581B"/>
    <w:rsid w:val="00176A29"/>
    <w:rsid w:val="00177222"/>
    <w:rsid w:val="0018083F"/>
    <w:rsid w:val="00180987"/>
    <w:rsid w:val="00180A81"/>
    <w:rsid w:val="001811AE"/>
    <w:rsid w:val="00186FCC"/>
    <w:rsid w:val="001901EB"/>
    <w:rsid w:val="00191A19"/>
    <w:rsid w:val="001930AE"/>
    <w:rsid w:val="001957B3"/>
    <w:rsid w:val="00196A28"/>
    <w:rsid w:val="00196F2C"/>
    <w:rsid w:val="001A32D2"/>
    <w:rsid w:val="001A3780"/>
    <w:rsid w:val="001A72B1"/>
    <w:rsid w:val="001B2650"/>
    <w:rsid w:val="001B2C86"/>
    <w:rsid w:val="001C196A"/>
    <w:rsid w:val="001C4092"/>
    <w:rsid w:val="001C4E95"/>
    <w:rsid w:val="001C55A8"/>
    <w:rsid w:val="001C5E23"/>
    <w:rsid w:val="001D103E"/>
    <w:rsid w:val="001D2DFD"/>
    <w:rsid w:val="001D330B"/>
    <w:rsid w:val="001D353F"/>
    <w:rsid w:val="001D3621"/>
    <w:rsid w:val="001D7CC3"/>
    <w:rsid w:val="001E01C8"/>
    <w:rsid w:val="001E3836"/>
    <w:rsid w:val="001E5516"/>
    <w:rsid w:val="001F1D54"/>
    <w:rsid w:val="00210D3C"/>
    <w:rsid w:val="00220524"/>
    <w:rsid w:val="002218B6"/>
    <w:rsid w:val="002233DD"/>
    <w:rsid w:val="002240BB"/>
    <w:rsid w:val="002244FF"/>
    <w:rsid w:val="00226060"/>
    <w:rsid w:val="002271F7"/>
    <w:rsid w:val="00231F97"/>
    <w:rsid w:val="00233FAE"/>
    <w:rsid w:val="0023430F"/>
    <w:rsid w:val="0025473F"/>
    <w:rsid w:val="00254FF1"/>
    <w:rsid w:val="0025646D"/>
    <w:rsid w:val="00256682"/>
    <w:rsid w:val="00261722"/>
    <w:rsid w:val="00264831"/>
    <w:rsid w:val="002672D2"/>
    <w:rsid w:val="002821A1"/>
    <w:rsid w:val="00283239"/>
    <w:rsid w:val="00292CCE"/>
    <w:rsid w:val="002948C3"/>
    <w:rsid w:val="002979FE"/>
    <w:rsid w:val="002A099C"/>
    <w:rsid w:val="002A3184"/>
    <w:rsid w:val="002A3A9C"/>
    <w:rsid w:val="002A3FC9"/>
    <w:rsid w:val="002A4384"/>
    <w:rsid w:val="002B08C1"/>
    <w:rsid w:val="002B0DC4"/>
    <w:rsid w:val="002B17E2"/>
    <w:rsid w:val="002B294F"/>
    <w:rsid w:val="002B30FD"/>
    <w:rsid w:val="002B4B5A"/>
    <w:rsid w:val="002B5BE2"/>
    <w:rsid w:val="002B5D3A"/>
    <w:rsid w:val="002C1ECA"/>
    <w:rsid w:val="002C63EB"/>
    <w:rsid w:val="002C69A3"/>
    <w:rsid w:val="002C78D8"/>
    <w:rsid w:val="002D1FFD"/>
    <w:rsid w:val="002D4B7F"/>
    <w:rsid w:val="002D6BC5"/>
    <w:rsid w:val="002E2679"/>
    <w:rsid w:val="002E5267"/>
    <w:rsid w:val="002F26D3"/>
    <w:rsid w:val="00306C54"/>
    <w:rsid w:val="00314703"/>
    <w:rsid w:val="003159B0"/>
    <w:rsid w:val="00316A82"/>
    <w:rsid w:val="003178FB"/>
    <w:rsid w:val="00317964"/>
    <w:rsid w:val="0032277D"/>
    <w:rsid w:val="00326841"/>
    <w:rsid w:val="00327856"/>
    <w:rsid w:val="003350A1"/>
    <w:rsid w:val="0033677D"/>
    <w:rsid w:val="00340398"/>
    <w:rsid w:val="00343FA6"/>
    <w:rsid w:val="0034744E"/>
    <w:rsid w:val="00352B56"/>
    <w:rsid w:val="00356D8C"/>
    <w:rsid w:val="003660CD"/>
    <w:rsid w:val="0036612F"/>
    <w:rsid w:val="00370627"/>
    <w:rsid w:val="00372AC0"/>
    <w:rsid w:val="003744E5"/>
    <w:rsid w:val="0037457E"/>
    <w:rsid w:val="00375E59"/>
    <w:rsid w:val="00382AEC"/>
    <w:rsid w:val="00383C55"/>
    <w:rsid w:val="003841BA"/>
    <w:rsid w:val="0039273C"/>
    <w:rsid w:val="00393132"/>
    <w:rsid w:val="00395F5D"/>
    <w:rsid w:val="003976DA"/>
    <w:rsid w:val="003A13A4"/>
    <w:rsid w:val="003A17B2"/>
    <w:rsid w:val="003A545F"/>
    <w:rsid w:val="003A56B7"/>
    <w:rsid w:val="003A5E23"/>
    <w:rsid w:val="003A69AB"/>
    <w:rsid w:val="003B26CD"/>
    <w:rsid w:val="003B2744"/>
    <w:rsid w:val="003B4296"/>
    <w:rsid w:val="003B7E2A"/>
    <w:rsid w:val="003C02CA"/>
    <w:rsid w:val="003C27B4"/>
    <w:rsid w:val="003C2811"/>
    <w:rsid w:val="003C43FE"/>
    <w:rsid w:val="003C4BBB"/>
    <w:rsid w:val="003C6E68"/>
    <w:rsid w:val="003D02A0"/>
    <w:rsid w:val="003D06D9"/>
    <w:rsid w:val="003D14F8"/>
    <w:rsid w:val="003D1E49"/>
    <w:rsid w:val="003D4DB5"/>
    <w:rsid w:val="003E0589"/>
    <w:rsid w:val="003E274D"/>
    <w:rsid w:val="003E2E4B"/>
    <w:rsid w:val="003E5A0C"/>
    <w:rsid w:val="004100BB"/>
    <w:rsid w:val="00411A37"/>
    <w:rsid w:val="00413B51"/>
    <w:rsid w:val="0042026D"/>
    <w:rsid w:val="00422357"/>
    <w:rsid w:val="00422A9B"/>
    <w:rsid w:val="00424822"/>
    <w:rsid w:val="0042514A"/>
    <w:rsid w:val="00425283"/>
    <w:rsid w:val="004253A5"/>
    <w:rsid w:val="00427357"/>
    <w:rsid w:val="00430732"/>
    <w:rsid w:val="00431B6E"/>
    <w:rsid w:val="00434BAA"/>
    <w:rsid w:val="00442FE8"/>
    <w:rsid w:val="00443BDF"/>
    <w:rsid w:val="00444D52"/>
    <w:rsid w:val="004528CF"/>
    <w:rsid w:val="00453084"/>
    <w:rsid w:val="00453F91"/>
    <w:rsid w:val="00454139"/>
    <w:rsid w:val="004569A1"/>
    <w:rsid w:val="0046280F"/>
    <w:rsid w:val="0046432F"/>
    <w:rsid w:val="00465F90"/>
    <w:rsid w:val="0046649E"/>
    <w:rsid w:val="00466966"/>
    <w:rsid w:val="004672CD"/>
    <w:rsid w:val="00470F68"/>
    <w:rsid w:val="00481B32"/>
    <w:rsid w:val="00482FB2"/>
    <w:rsid w:val="00483DA1"/>
    <w:rsid w:val="00483F5C"/>
    <w:rsid w:val="0048600E"/>
    <w:rsid w:val="00490085"/>
    <w:rsid w:val="004910A7"/>
    <w:rsid w:val="00495097"/>
    <w:rsid w:val="004A4C98"/>
    <w:rsid w:val="004A6BDC"/>
    <w:rsid w:val="004A6D13"/>
    <w:rsid w:val="004B69CE"/>
    <w:rsid w:val="004B7E7F"/>
    <w:rsid w:val="004C2768"/>
    <w:rsid w:val="004C3420"/>
    <w:rsid w:val="004C666D"/>
    <w:rsid w:val="004D39D2"/>
    <w:rsid w:val="004E17B4"/>
    <w:rsid w:val="004E3ACC"/>
    <w:rsid w:val="004E7A11"/>
    <w:rsid w:val="004F3C77"/>
    <w:rsid w:val="004F6BEF"/>
    <w:rsid w:val="00501A93"/>
    <w:rsid w:val="00501C83"/>
    <w:rsid w:val="005077F3"/>
    <w:rsid w:val="005102CC"/>
    <w:rsid w:val="005129C5"/>
    <w:rsid w:val="005156EF"/>
    <w:rsid w:val="00515E54"/>
    <w:rsid w:val="00521B3D"/>
    <w:rsid w:val="00525215"/>
    <w:rsid w:val="0052639C"/>
    <w:rsid w:val="00537297"/>
    <w:rsid w:val="005402FE"/>
    <w:rsid w:val="00543A97"/>
    <w:rsid w:val="0056602B"/>
    <w:rsid w:val="00567072"/>
    <w:rsid w:val="00570604"/>
    <w:rsid w:val="00573A93"/>
    <w:rsid w:val="00575F75"/>
    <w:rsid w:val="0058726C"/>
    <w:rsid w:val="00587F10"/>
    <w:rsid w:val="00596A58"/>
    <w:rsid w:val="00596D42"/>
    <w:rsid w:val="005A14AC"/>
    <w:rsid w:val="005A4085"/>
    <w:rsid w:val="005A7CB1"/>
    <w:rsid w:val="005B09B9"/>
    <w:rsid w:val="005B2FEA"/>
    <w:rsid w:val="005B504A"/>
    <w:rsid w:val="005C01D2"/>
    <w:rsid w:val="005D5F43"/>
    <w:rsid w:val="005E4353"/>
    <w:rsid w:val="005E54E5"/>
    <w:rsid w:val="005E63FE"/>
    <w:rsid w:val="005E6E72"/>
    <w:rsid w:val="005F1689"/>
    <w:rsid w:val="005F38DE"/>
    <w:rsid w:val="005F7A29"/>
    <w:rsid w:val="005F7C33"/>
    <w:rsid w:val="00601B5A"/>
    <w:rsid w:val="006041FA"/>
    <w:rsid w:val="0060480B"/>
    <w:rsid w:val="006053E7"/>
    <w:rsid w:val="006074ED"/>
    <w:rsid w:val="00610768"/>
    <w:rsid w:val="00613B97"/>
    <w:rsid w:val="00615A30"/>
    <w:rsid w:val="00620E83"/>
    <w:rsid w:val="00622249"/>
    <w:rsid w:val="00624C31"/>
    <w:rsid w:val="00624D16"/>
    <w:rsid w:val="006276A3"/>
    <w:rsid w:val="006322FA"/>
    <w:rsid w:val="00634313"/>
    <w:rsid w:val="00637635"/>
    <w:rsid w:val="006430D2"/>
    <w:rsid w:val="00654389"/>
    <w:rsid w:val="006545EC"/>
    <w:rsid w:val="00654605"/>
    <w:rsid w:val="0065570B"/>
    <w:rsid w:val="0065665B"/>
    <w:rsid w:val="006613F3"/>
    <w:rsid w:val="00663223"/>
    <w:rsid w:val="006640B4"/>
    <w:rsid w:val="00666DC8"/>
    <w:rsid w:val="006674CF"/>
    <w:rsid w:val="00672CF7"/>
    <w:rsid w:val="00680775"/>
    <w:rsid w:val="0068478B"/>
    <w:rsid w:val="00694A28"/>
    <w:rsid w:val="006A2401"/>
    <w:rsid w:val="006A43A9"/>
    <w:rsid w:val="006A460D"/>
    <w:rsid w:val="006A579D"/>
    <w:rsid w:val="006A74EE"/>
    <w:rsid w:val="006B1E28"/>
    <w:rsid w:val="006B6022"/>
    <w:rsid w:val="006B7DBF"/>
    <w:rsid w:val="006C44ED"/>
    <w:rsid w:val="006C77D9"/>
    <w:rsid w:val="006D1971"/>
    <w:rsid w:val="006D2E34"/>
    <w:rsid w:val="006D356F"/>
    <w:rsid w:val="006D63E7"/>
    <w:rsid w:val="006E194D"/>
    <w:rsid w:val="006E2806"/>
    <w:rsid w:val="006E4410"/>
    <w:rsid w:val="006E54A6"/>
    <w:rsid w:val="006E5DC7"/>
    <w:rsid w:val="006F18CC"/>
    <w:rsid w:val="006F1C8E"/>
    <w:rsid w:val="006F5F19"/>
    <w:rsid w:val="006F6464"/>
    <w:rsid w:val="006F6CF9"/>
    <w:rsid w:val="006F70FD"/>
    <w:rsid w:val="0070236E"/>
    <w:rsid w:val="00711EE5"/>
    <w:rsid w:val="00716992"/>
    <w:rsid w:val="007201CA"/>
    <w:rsid w:val="00720906"/>
    <w:rsid w:val="00720BEC"/>
    <w:rsid w:val="00723F91"/>
    <w:rsid w:val="007335DB"/>
    <w:rsid w:val="00735EAE"/>
    <w:rsid w:val="0074049A"/>
    <w:rsid w:val="00740C1F"/>
    <w:rsid w:val="00742D49"/>
    <w:rsid w:val="00747375"/>
    <w:rsid w:val="0075483F"/>
    <w:rsid w:val="00757A2D"/>
    <w:rsid w:val="00760B0C"/>
    <w:rsid w:val="00761D7C"/>
    <w:rsid w:val="00762BB5"/>
    <w:rsid w:val="00774FA1"/>
    <w:rsid w:val="007754AA"/>
    <w:rsid w:val="00775B56"/>
    <w:rsid w:val="007770FB"/>
    <w:rsid w:val="00780302"/>
    <w:rsid w:val="0078060A"/>
    <w:rsid w:val="007815E2"/>
    <w:rsid w:val="007819E8"/>
    <w:rsid w:val="007832FF"/>
    <w:rsid w:val="00783A8E"/>
    <w:rsid w:val="00785F4C"/>
    <w:rsid w:val="00790A97"/>
    <w:rsid w:val="0079394C"/>
    <w:rsid w:val="007A27F7"/>
    <w:rsid w:val="007A677E"/>
    <w:rsid w:val="007A69E4"/>
    <w:rsid w:val="007B0796"/>
    <w:rsid w:val="007B3E77"/>
    <w:rsid w:val="007C41F6"/>
    <w:rsid w:val="007D00DC"/>
    <w:rsid w:val="007D3E62"/>
    <w:rsid w:val="007D46E8"/>
    <w:rsid w:val="007D4C96"/>
    <w:rsid w:val="007D7F49"/>
    <w:rsid w:val="007E034D"/>
    <w:rsid w:val="007E1DB5"/>
    <w:rsid w:val="007F0A9C"/>
    <w:rsid w:val="007F1AC9"/>
    <w:rsid w:val="007F1C45"/>
    <w:rsid w:val="007F6DFA"/>
    <w:rsid w:val="008001AD"/>
    <w:rsid w:val="0080142A"/>
    <w:rsid w:val="00803AA7"/>
    <w:rsid w:val="00806531"/>
    <w:rsid w:val="00811CFE"/>
    <w:rsid w:val="00813091"/>
    <w:rsid w:val="00813ACE"/>
    <w:rsid w:val="008172D4"/>
    <w:rsid w:val="00820327"/>
    <w:rsid w:val="008277E7"/>
    <w:rsid w:val="00831DA4"/>
    <w:rsid w:val="00833C84"/>
    <w:rsid w:val="0083699C"/>
    <w:rsid w:val="00840F98"/>
    <w:rsid w:val="008417F9"/>
    <w:rsid w:val="008428E9"/>
    <w:rsid w:val="0084387E"/>
    <w:rsid w:val="00852566"/>
    <w:rsid w:val="00861566"/>
    <w:rsid w:val="00861990"/>
    <w:rsid w:val="00862EA9"/>
    <w:rsid w:val="00864E42"/>
    <w:rsid w:val="00865157"/>
    <w:rsid w:val="00870BF6"/>
    <w:rsid w:val="008733AB"/>
    <w:rsid w:val="00874EED"/>
    <w:rsid w:val="00880536"/>
    <w:rsid w:val="00881689"/>
    <w:rsid w:val="008823AA"/>
    <w:rsid w:val="00883127"/>
    <w:rsid w:val="00884566"/>
    <w:rsid w:val="00886B5E"/>
    <w:rsid w:val="0089055E"/>
    <w:rsid w:val="008974BB"/>
    <w:rsid w:val="008A02D7"/>
    <w:rsid w:val="008A3625"/>
    <w:rsid w:val="008C315C"/>
    <w:rsid w:val="008C4EE2"/>
    <w:rsid w:val="008C5724"/>
    <w:rsid w:val="008C59D7"/>
    <w:rsid w:val="008C63FE"/>
    <w:rsid w:val="008C6877"/>
    <w:rsid w:val="008C77BE"/>
    <w:rsid w:val="008D3403"/>
    <w:rsid w:val="008D3E47"/>
    <w:rsid w:val="008E1221"/>
    <w:rsid w:val="008E6BDD"/>
    <w:rsid w:val="008E70A7"/>
    <w:rsid w:val="008E76A3"/>
    <w:rsid w:val="008E7FF7"/>
    <w:rsid w:val="008F044A"/>
    <w:rsid w:val="008F0F56"/>
    <w:rsid w:val="008F18BC"/>
    <w:rsid w:val="008F2FEE"/>
    <w:rsid w:val="008F3B44"/>
    <w:rsid w:val="008F7815"/>
    <w:rsid w:val="00902971"/>
    <w:rsid w:val="009029C4"/>
    <w:rsid w:val="009036F8"/>
    <w:rsid w:val="00904DDF"/>
    <w:rsid w:val="00905AC7"/>
    <w:rsid w:val="009119D4"/>
    <w:rsid w:val="00912DAF"/>
    <w:rsid w:val="00913370"/>
    <w:rsid w:val="00913791"/>
    <w:rsid w:val="00916534"/>
    <w:rsid w:val="0091660E"/>
    <w:rsid w:val="00917D52"/>
    <w:rsid w:val="00921408"/>
    <w:rsid w:val="00923DC2"/>
    <w:rsid w:val="0092434A"/>
    <w:rsid w:val="009246BE"/>
    <w:rsid w:val="00930C72"/>
    <w:rsid w:val="00931055"/>
    <w:rsid w:val="00944557"/>
    <w:rsid w:val="009458D9"/>
    <w:rsid w:val="0094668B"/>
    <w:rsid w:val="00953A2D"/>
    <w:rsid w:val="00957E5D"/>
    <w:rsid w:val="0096569F"/>
    <w:rsid w:val="0096700F"/>
    <w:rsid w:val="00970072"/>
    <w:rsid w:val="00974060"/>
    <w:rsid w:val="00975F71"/>
    <w:rsid w:val="00981FC5"/>
    <w:rsid w:val="00986C2B"/>
    <w:rsid w:val="0098771A"/>
    <w:rsid w:val="00991562"/>
    <w:rsid w:val="00992F45"/>
    <w:rsid w:val="00993E65"/>
    <w:rsid w:val="0099519F"/>
    <w:rsid w:val="00997070"/>
    <w:rsid w:val="009A0CEB"/>
    <w:rsid w:val="009A1C80"/>
    <w:rsid w:val="009A1F33"/>
    <w:rsid w:val="009B1AF2"/>
    <w:rsid w:val="009B1C1D"/>
    <w:rsid w:val="009B3E76"/>
    <w:rsid w:val="009B5198"/>
    <w:rsid w:val="009B6505"/>
    <w:rsid w:val="009C4F1B"/>
    <w:rsid w:val="009C6492"/>
    <w:rsid w:val="009D29FB"/>
    <w:rsid w:val="009D4EE9"/>
    <w:rsid w:val="009D760C"/>
    <w:rsid w:val="009E068A"/>
    <w:rsid w:val="009E1752"/>
    <w:rsid w:val="009E3594"/>
    <w:rsid w:val="009E3C4A"/>
    <w:rsid w:val="009F297D"/>
    <w:rsid w:val="009F441F"/>
    <w:rsid w:val="00A024A6"/>
    <w:rsid w:val="00A0678F"/>
    <w:rsid w:val="00A11280"/>
    <w:rsid w:val="00A12330"/>
    <w:rsid w:val="00A12854"/>
    <w:rsid w:val="00A13FD0"/>
    <w:rsid w:val="00A165B8"/>
    <w:rsid w:val="00A17925"/>
    <w:rsid w:val="00A21B4F"/>
    <w:rsid w:val="00A229B6"/>
    <w:rsid w:val="00A23168"/>
    <w:rsid w:val="00A23361"/>
    <w:rsid w:val="00A26F6A"/>
    <w:rsid w:val="00A37E09"/>
    <w:rsid w:val="00A406FE"/>
    <w:rsid w:val="00A4517A"/>
    <w:rsid w:val="00A55E0F"/>
    <w:rsid w:val="00A56DCC"/>
    <w:rsid w:val="00A64913"/>
    <w:rsid w:val="00A74993"/>
    <w:rsid w:val="00A7590E"/>
    <w:rsid w:val="00A75D3B"/>
    <w:rsid w:val="00A76BDD"/>
    <w:rsid w:val="00A81A9E"/>
    <w:rsid w:val="00A83DBA"/>
    <w:rsid w:val="00A85AB9"/>
    <w:rsid w:val="00A86243"/>
    <w:rsid w:val="00A91CD6"/>
    <w:rsid w:val="00A93672"/>
    <w:rsid w:val="00A967AC"/>
    <w:rsid w:val="00A96B60"/>
    <w:rsid w:val="00A97284"/>
    <w:rsid w:val="00A9780F"/>
    <w:rsid w:val="00AA43DC"/>
    <w:rsid w:val="00AB176A"/>
    <w:rsid w:val="00AB6726"/>
    <w:rsid w:val="00AC12E7"/>
    <w:rsid w:val="00AC22E3"/>
    <w:rsid w:val="00AC4C19"/>
    <w:rsid w:val="00AD244B"/>
    <w:rsid w:val="00AD497B"/>
    <w:rsid w:val="00AD69B8"/>
    <w:rsid w:val="00AD6A25"/>
    <w:rsid w:val="00AD7C6B"/>
    <w:rsid w:val="00AE1F0B"/>
    <w:rsid w:val="00AE66D2"/>
    <w:rsid w:val="00AF2D17"/>
    <w:rsid w:val="00AF42AA"/>
    <w:rsid w:val="00AF7E93"/>
    <w:rsid w:val="00B118EC"/>
    <w:rsid w:val="00B12AE2"/>
    <w:rsid w:val="00B25DDC"/>
    <w:rsid w:val="00B26A50"/>
    <w:rsid w:val="00B26E9F"/>
    <w:rsid w:val="00B33396"/>
    <w:rsid w:val="00B4195E"/>
    <w:rsid w:val="00B43839"/>
    <w:rsid w:val="00B4493F"/>
    <w:rsid w:val="00B503CF"/>
    <w:rsid w:val="00B53551"/>
    <w:rsid w:val="00B60267"/>
    <w:rsid w:val="00B64A26"/>
    <w:rsid w:val="00B6688C"/>
    <w:rsid w:val="00B6775E"/>
    <w:rsid w:val="00B71412"/>
    <w:rsid w:val="00B72337"/>
    <w:rsid w:val="00B73E4B"/>
    <w:rsid w:val="00B7446F"/>
    <w:rsid w:val="00B74748"/>
    <w:rsid w:val="00B91714"/>
    <w:rsid w:val="00B917DA"/>
    <w:rsid w:val="00B921A1"/>
    <w:rsid w:val="00B974D2"/>
    <w:rsid w:val="00B97C67"/>
    <w:rsid w:val="00BA534A"/>
    <w:rsid w:val="00BA60AC"/>
    <w:rsid w:val="00BA6726"/>
    <w:rsid w:val="00BB0333"/>
    <w:rsid w:val="00BB0608"/>
    <w:rsid w:val="00BC1E69"/>
    <w:rsid w:val="00BC7065"/>
    <w:rsid w:val="00BC7E9A"/>
    <w:rsid w:val="00BD1880"/>
    <w:rsid w:val="00BD1A41"/>
    <w:rsid w:val="00BD38E2"/>
    <w:rsid w:val="00BD4C56"/>
    <w:rsid w:val="00BD54E4"/>
    <w:rsid w:val="00BD5C87"/>
    <w:rsid w:val="00BD6CBC"/>
    <w:rsid w:val="00BD721D"/>
    <w:rsid w:val="00BE02BF"/>
    <w:rsid w:val="00BE377C"/>
    <w:rsid w:val="00BE3D3B"/>
    <w:rsid w:val="00BE71DE"/>
    <w:rsid w:val="00BF2B8A"/>
    <w:rsid w:val="00BF36C7"/>
    <w:rsid w:val="00BF6876"/>
    <w:rsid w:val="00C16418"/>
    <w:rsid w:val="00C17C93"/>
    <w:rsid w:val="00C25BD5"/>
    <w:rsid w:val="00C3471A"/>
    <w:rsid w:val="00C36E39"/>
    <w:rsid w:val="00C374C2"/>
    <w:rsid w:val="00C37A8F"/>
    <w:rsid w:val="00C37E25"/>
    <w:rsid w:val="00C43ACD"/>
    <w:rsid w:val="00C44C0C"/>
    <w:rsid w:val="00C5569D"/>
    <w:rsid w:val="00C55929"/>
    <w:rsid w:val="00C56394"/>
    <w:rsid w:val="00C56BC1"/>
    <w:rsid w:val="00C73BC9"/>
    <w:rsid w:val="00C762FB"/>
    <w:rsid w:val="00C76AD4"/>
    <w:rsid w:val="00C83B73"/>
    <w:rsid w:val="00C845B1"/>
    <w:rsid w:val="00C93A1D"/>
    <w:rsid w:val="00C9500E"/>
    <w:rsid w:val="00C953C5"/>
    <w:rsid w:val="00C95762"/>
    <w:rsid w:val="00C965FE"/>
    <w:rsid w:val="00CA1A8B"/>
    <w:rsid w:val="00CA4446"/>
    <w:rsid w:val="00CB2ACB"/>
    <w:rsid w:val="00CB2D0B"/>
    <w:rsid w:val="00CB7564"/>
    <w:rsid w:val="00CC74AE"/>
    <w:rsid w:val="00CC7854"/>
    <w:rsid w:val="00CD1A35"/>
    <w:rsid w:val="00CD70FA"/>
    <w:rsid w:val="00CE040A"/>
    <w:rsid w:val="00CF0350"/>
    <w:rsid w:val="00CF0720"/>
    <w:rsid w:val="00CF1602"/>
    <w:rsid w:val="00CF558C"/>
    <w:rsid w:val="00CF7C96"/>
    <w:rsid w:val="00D01141"/>
    <w:rsid w:val="00D028C2"/>
    <w:rsid w:val="00D02C92"/>
    <w:rsid w:val="00D03DF0"/>
    <w:rsid w:val="00D07438"/>
    <w:rsid w:val="00D11990"/>
    <w:rsid w:val="00D12DE8"/>
    <w:rsid w:val="00D33BC2"/>
    <w:rsid w:val="00D37507"/>
    <w:rsid w:val="00D43689"/>
    <w:rsid w:val="00D479AA"/>
    <w:rsid w:val="00D509E2"/>
    <w:rsid w:val="00D5721C"/>
    <w:rsid w:val="00D67B61"/>
    <w:rsid w:val="00D708B3"/>
    <w:rsid w:val="00D73DC2"/>
    <w:rsid w:val="00D80AAE"/>
    <w:rsid w:val="00D822A7"/>
    <w:rsid w:val="00D8458B"/>
    <w:rsid w:val="00D862AA"/>
    <w:rsid w:val="00D91B23"/>
    <w:rsid w:val="00D957C4"/>
    <w:rsid w:val="00D95C70"/>
    <w:rsid w:val="00DA1AA6"/>
    <w:rsid w:val="00DA3986"/>
    <w:rsid w:val="00DA4D8E"/>
    <w:rsid w:val="00DC07D6"/>
    <w:rsid w:val="00DC1F31"/>
    <w:rsid w:val="00DC5A06"/>
    <w:rsid w:val="00DD5135"/>
    <w:rsid w:val="00DD52AA"/>
    <w:rsid w:val="00DD5A07"/>
    <w:rsid w:val="00DD5DAB"/>
    <w:rsid w:val="00DE2EBA"/>
    <w:rsid w:val="00DE4C96"/>
    <w:rsid w:val="00DE70F2"/>
    <w:rsid w:val="00DE7165"/>
    <w:rsid w:val="00DF17CF"/>
    <w:rsid w:val="00DF24B2"/>
    <w:rsid w:val="00E01179"/>
    <w:rsid w:val="00E02D65"/>
    <w:rsid w:val="00E05C71"/>
    <w:rsid w:val="00E064EE"/>
    <w:rsid w:val="00E073DF"/>
    <w:rsid w:val="00E12508"/>
    <w:rsid w:val="00E24B1E"/>
    <w:rsid w:val="00E2777E"/>
    <w:rsid w:val="00E347C4"/>
    <w:rsid w:val="00E40BB1"/>
    <w:rsid w:val="00E41845"/>
    <w:rsid w:val="00E506BB"/>
    <w:rsid w:val="00E5099E"/>
    <w:rsid w:val="00E57E0B"/>
    <w:rsid w:val="00E640C6"/>
    <w:rsid w:val="00E64D78"/>
    <w:rsid w:val="00E65FED"/>
    <w:rsid w:val="00E71757"/>
    <w:rsid w:val="00E73D82"/>
    <w:rsid w:val="00E76A86"/>
    <w:rsid w:val="00E82132"/>
    <w:rsid w:val="00E86251"/>
    <w:rsid w:val="00E924B5"/>
    <w:rsid w:val="00E92D8C"/>
    <w:rsid w:val="00EA0342"/>
    <w:rsid w:val="00EA42DB"/>
    <w:rsid w:val="00EA5A7F"/>
    <w:rsid w:val="00EB2C78"/>
    <w:rsid w:val="00EB4C55"/>
    <w:rsid w:val="00EB68E4"/>
    <w:rsid w:val="00EC045E"/>
    <w:rsid w:val="00EC22EC"/>
    <w:rsid w:val="00EC4CA7"/>
    <w:rsid w:val="00EC508A"/>
    <w:rsid w:val="00ED0F02"/>
    <w:rsid w:val="00ED76BF"/>
    <w:rsid w:val="00EE3093"/>
    <w:rsid w:val="00EE7774"/>
    <w:rsid w:val="00EF73BF"/>
    <w:rsid w:val="00F00794"/>
    <w:rsid w:val="00F03716"/>
    <w:rsid w:val="00F0471F"/>
    <w:rsid w:val="00F04E5C"/>
    <w:rsid w:val="00F05843"/>
    <w:rsid w:val="00F05A86"/>
    <w:rsid w:val="00F10D01"/>
    <w:rsid w:val="00F10E46"/>
    <w:rsid w:val="00F1464B"/>
    <w:rsid w:val="00F20335"/>
    <w:rsid w:val="00F208EB"/>
    <w:rsid w:val="00F21C17"/>
    <w:rsid w:val="00F30232"/>
    <w:rsid w:val="00F32317"/>
    <w:rsid w:val="00F33839"/>
    <w:rsid w:val="00F3485A"/>
    <w:rsid w:val="00F4137B"/>
    <w:rsid w:val="00F46F9E"/>
    <w:rsid w:val="00F4759C"/>
    <w:rsid w:val="00F50AA2"/>
    <w:rsid w:val="00F53B6A"/>
    <w:rsid w:val="00F54C3D"/>
    <w:rsid w:val="00F6180E"/>
    <w:rsid w:val="00F65847"/>
    <w:rsid w:val="00F74401"/>
    <w:rsid w:val="00F74BA2"/>
    <w:rsid w:val="00F75B93"/>
    <w:rsid w:val="00F83060"/>
    <w:rsid w:val="00F85A76"/>
    <w:rsid w:val="00F91A40"/>
    <w:rsid w:val="00F95885"/>
    <w:rsid w:val="00FA05CA"/>
    <w:rsid w:val="00FA1FFA"/>
    <w:rsid w:val="00FA2FFB"/>
    <w:rsid w:val="00FA6B10"/>
    <w:rsid w:val="00FA7FDF"/>
    <w:rsid w:val="00FB2D95"/>
    <w:rsid w:val="00FC01D2"/>
    <w:rsid w:val="00FC4736"/>
    <w:rsid w:val="00FC4B31"/>
    <w:rsid w:val="00FC4C51"/>
    <w:rsid w:val="00FC63DC"/>
    <w:rsid w:val="00FD0483"/>
    <w:rsid w:val="00FD1A2C"/>
    <w:rsid w:val="00FD3BF5"/>
    <w:rsid w:val="00FD464C"/>
    <w:rsid w:val="00FD69C6"/>
    <w:rsid w:val="00FE2349"/>
    <w:rsid w:val="00FF4003"/>
    <w:rsid w:val="00FF5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A888C"/>
  <w15:docId w15:val="{730BC603-C45C-438B-8B1F-A9C150F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FF7"/>
  </w:style>
  <w:style w:type="paragraph" w:styleId="Nagwek1">
    <w:name w:val="heading 1"/>
    <w:basedOn w:val="Normalny"/>
    <w:next w:val="Normalny"/>
    <w:link w:val="Nagwek1Znak"/>
    <w:uiPriority w:val="9"/>
    <w:qFormat/>
    <w:rsid w:val="00694A28"/>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A1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A11280"/>
    <w:pPr>
      <w:tabs>
        <w:tab w:val="center" w:pos="4536"/>
        <w:tab w:val="right" w:pos="9072"/>
      </w:tabs>
      <w:spacing w:after="0" w:line="240" w:lineRule="auto"/>
    </w:pPr>
  </w:style>
  <w:style w:type="character" w:customStyle="1" w:styleId="NagwekZnak">
    <w:name w:val="Nagłówek Znak"/>
    <w:basedOn w:val="Domylnaczcionkaakapitu"/>
    <w:link w:val="Nagwek"/>
    <w:rsid w:val="00A11280"/>
  </w:style>
  <w:style w:type="paragraph" w:styleId="Stopka">
    <w:name w:val="footer"/>
    <w:basedOn w:val="Normalny"/>
    <w:link w:val="StopkaZnak"/>
    <w:uiPriority w:val="99"/>
    <w:unhideWhenUsed/>
    <w:rsid w:val="00A1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280"/>
  </w:style>
  <w:style w:type="paragraph" w:styleId="Tekstdymka">
    <w:name w:val="Balloon Text"/>
    <w:basedOn w:val="Normalny"/>
    <w:link w:val="TekstdymkaZnak"/>
    <w:uiPriority w:val="99"/>
    <w:semiHidden/>
    <w:unhideWhenUsed/>
    <w:rsid w:val="008831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127"/>
    <w:rPr>
      <w:rFonts w:ascii="Segoe UI" w:hAnsi="Segoe UI" w:cs="Segoe UI"/>
      <w:sz w:val="18"/>
      <w:szCs w:val="18"/>
    </w:rPr>
  </w:style>
  <w:style w:type="paragraph" w:styleId="Akapitzlist">
    <w:name w:val="List Paragraph"/>
    <w:aliases w:val="Akapit z listą BS,Akapit z listą3,Akapit z listą31,Akapit z listą2"/>
    <w:basedOn w:val="Normalny"/>
    <w:link w:val="AkapitzlistZnak"/>
    <w:uiPriority w:val="34"/>
    <w:qFormat/>
    <w:rsid w:val="00F32317"/>
    <w:pPr>
      <w:ind w:left="720"/>
      <w:contextualSpacing/>
    </w:pPr>
    <w:rPr>
      <w:rFonts w:ascii="Calibri" w:eastAsia="Times New Roman" w:hAnsi="Calibri" w:cs="Times New Roman"/>
      <w:sz w:val="20"/>
      <w:szCs w:val="20"/>
    </w:rPr>
  </w:style>
  <w:style w:type="character" w:customStyle="1" w:styleId="AkapitzlistZnak">
    <w:name w:val="Akapit z listą Znak"/>
    <w:aliases w:val="Akapit z listą BS Znak,Akapit z listą3 Znak,Akapit z listą31 Znak,Akapit z listą2 Znak"/>
    <w:link w:val="Akapitzlist"/>
    <w:uiPriority w:val="34"/>
    <w:locked/>
    <w:rsid w:val="00F32317"/>
    <w:rPr>
      <w:rFonts w:ascii="Calibri" w:eastAsia="Times New Roman" w:hAnsi="Calibri" w:cs="Times New Roman"/>
      <w:sz w:val="20"/>
      <w:szCs w:val="20"/>
    </w:rPr>
  </w:style>
  <w:style w:type="character" w:styleId="Hipercze">
    <w:name w:val="Hyperlink"/>
    <w:uiPriority w:val="99"/>
    <w:unhideWhenUsed/>
    <w:rsid w:val="00790A97"/>
    <w:rPr>
      <w:color w:val="0000FF"/>
      <w:u w:val="single"/>
    </w:rPr>
  </w:style>
  <w:style w:type="character" w:styleId="Odwoaniedokomentarza">
    <w:name w:val="annotation reference"/>
    <w:basedOn w:val="Domylnaczcionkaakapitu"/>
    <w:uiPriority w:val="99"/>
    <w:semiHidden/>
    <w:unhideWhenUsed/>
    <w:rsid w:val="007754AA"/>
    <w:rPr>
      <w:sz w:val="16"/>
      <w:szCs w:val="16"/>
    </w:rPr>
  </w:style>
  <w:style w:type="paragraph" w:styleId="Tekstkomentarza">
    <w:name w:val="annotation text"/>
    <w:basedOn w:val="Normalny"/>
    <w:link w:val="TekstkomentarzaZnak"/>
    <w:uiPriority w:val="99"/>
    <w:unhideWhenUsed/>
    <w:rsid w:val="007754AA"/>
    <w:pPr>
      <w:spacing w:line="240" w:lineRule="auto"/>
    </w:pPr>
    <w:rPr>
      <w:sz w:val="20"/>
      <w:szCs w:val="20"/>
    </w:rPr>
  </w:style>
  <w:style w:type="character" w:customStyle="1" w:styleId="TekstkomentarzaZnak">
    <w:name w:val="Tekst komentarza Znak"/>
    <w:basedOn w:val="Domylnaczcionkaakapitu"/>
    <w:link w:val="Tekstkomentarza"/>
    <w:uiPriority w:val="99"/>
    <w:rsid w:val="007754AA"/>
    <w:rPr>
      <w:sz w:val="20"/>
      <w:szCs w:val="20"/>
    </w:rPr>
  </w:style>
  <w:style w:type="paragraph" w:styleId="Tematkomentarza">
    <w:name w:val="annotation subject"/>
    <w:basedOn w:val="Tekstkomentarza"/>
    <w:next w:val="Tekstkomentarza"/>
    <w:link w:val="TematkomentarzaZnak"/>
    <w:uiPriority w:val="99"/>
    <w:semiHidden/>
    <w:unhideWhenUsed/>
    <w:rsid w:val="007754AA"/>
    <w:rPr>
      <w:b/>
      <w:bCs/>
    </w:rPr>
  </w:style>
  <w:style w:type="character" w:customStyle="1" w:styleId="TematkomentarzaZnak">
    <w:name w:val="Temat komentarza Znak"/>
    <w:basedOn w:val="TekstkomentarzaZnak"/>
    <w:link w:val="Tematkomentarza"/>
    <w:uiPriority w:val="99"/>
    <w:semiHidden/>
    <w:rsid w:val="007754AA"/>
    <w:rPr>
      <w:b/>
      <w:bCs/>
      <w:sz w:val="20"/>
      <w:szCs w:val="20"/>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nhideWhenUsed/>
    <w:rsid w:val="007335D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7335DB"/>
    <w:rPr>
      <w:sz w:val="20"/>
      <w:szCs w:val="20"/>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nhideWhenUsed/>
    <w:rsid w:val="007335DB"/>
    <w:rPr>
      <w:vertAlign w:val="superscript"/>
    </w:rPr>
  </w:style>
  <w:style w:type="paragraph" w:styleId="Poprawka">
    <w:name w:val="Revision"/>
    <w:hidden/>
    <w:uiPriority w:val="99"/>
    <w:semiHidden/>
    <w:rsid w:val="00997070"/>
    <w:pPr>
      <w:spacing w:after="0" w:line="240" w:lineRule="auto"/>
    </w:pPr>
  </w:style>
  <w:style w:type="paragraph" w:customStyle="1" w:styleId="Default">
    <w:name w:val="Default"/>
    <w:rsid w:val="00957E5D"/>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694A2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7666">
      <w:bodyDiv w:val="1"/>
      <w:marLeft w:val="0"/>
      <w:marRight w:val="0"/>
      <w:marTop w:val="0"/>
      <w:marBottom w:val="0"/>
      <w:divBdr>
        <w:top w:val="none" w:sz="0" w:space="0" w:color="auto"/>
        <w:left w:val="none" w:sz="0" w:space="0" w:color="auto"/>
        <w:bottom w:val="none" w:sz="0" w:space="0" w:color="auto"/>
        <w:right w:val="none" w:sz="0" w:space="0" w:color="auto"/>
      </w:divBdr>
    </w:div>
    <w:div w:id="75127388">
      <w:bodyDiv w:val="1"/>
      <w:marLeft w:val="0"/>
      <w:marRight w:val="0"/>
      <w:marTop w:val="0"/>
      <w:marBottom w:val="0"/>
      <w:divBdr>
        <w:top w:val="none" w:sz="0" w:space="0" w:color="auto"/>
        <w:left w:val="none" w:sz="0" w:space="0" w:color="auto"/>
        <w:bottom w:val="none" w:sz="0" w:space="0" w:color="auto"/>
        <w:right w:val="none" w:sz="0" w:space="0" w:color="auto"/>
      </w:divBdr>
    </w:div>
    <w:div w:id="85152873">
      <w:bodyDiv w:val="1"/>
      <w:marLeft w:val="0"/>
      <w:marRight w:val="0"/>
      <w:marTop w:val="0"/>
      <w:marBottom w:val="0"/>
      <w:divBdr>
        <w:top w:val="none" w:sz="0" w:space="0" w:color="auto"/>
        <w:left w:val="none" w:sz="0" w:space="0" w:color="auto"/>
        <w:bottom w:val="none" w:sz="0" w:space="0" w:color="auto"/>
        <w:right w:val="none" w:sz="0" w:space="0" w:color="auto"/>
      </w:divBdr>
    </w:div>
    <w:div w:id="97916815">
      <w:bodyDiv w:val="1"/>
      <w:marLeft w:val="0"/>
      <w:marRight w:val="0"/>
      <w:marTop w:val="0"/>
      <w:marBottom w:val="0"/>
      <w:divBdr>
        <w:top w:val="none" w:sz="0" w:space="0" w:color="auto"/>
        <w:left w:val="none" w:sz="0" w:space="0" w:color="auto"/>
        <w:bottom w:val="none" w:sz="0" w:space="0" w:color="auto"/>
        <w:right w:val="none" w:sz="0" w:space="0" w:color="auto"/>
      </w:divBdr>
    </w:div>
    <w:div w:id="111674754">
      <w:bodyDiv w:val="1"/>
      <w:marLeft w:val="0"/>
      <w:marRight w:val="0"/>
      <w:marTop w:val="0"/>
      <w:marBottom w:val="0"/>
      <w:divBdr>
        <w:top w:val="none" w:sz="0" w:space="0" w:color="auto"/>
        <w:left w:val="none" w:sz="0" w:space="0" w:color="auto"/>
        <w:bottom w:val="none" w:sz="0" w:space="0" w:color="auto"/>
        <w:right w:val="none" w:sz="0" w:space="0" w:color="auto"/>
      </w:divBdr>
    </w:div>
    <w:div w:id="113450022">
      <w:bodyDiv w:val="1"/>
      <w:marLeft w:val="0"/>
      <w:marRight w:val="0"/>
      <w:marTop w:val="0"/>
      <w:marBottom w:val="0"/>
      <w:divBdr>
        <w:top w:val="none" w:sz="0" w:space="0" w:color="auto"/>
        <w:left w:val="none" w:sz="0" w:space="0" w:color="auto"/>
        <w:bottom w:val="none" w:sz="0" w:space="0" w:color="auto"/>
        <w:right w:val="none" w:sz="0" w:space="0" w:color="auto"/>
      </w:divBdr>
    </w:div>
    <w:div w:id="136608831">
      <w:bodyDiv w:val="1"/>
      <w:marLeft w:val="0"/>
      <w:marRight w:val="0"/>
      <w:marTop w:val="0"/>
      <w:marBottom w:val="0"/>
      <w:divBdr>
        <w:top w:val="none" w:sz="0" w:space="0" w:color="auto"/>
        <w:left w:val="none" w:sz="0" w:space="0" w:color="auto"/>
        <w:bottom w:val="none" w:sz="0" w:space="0" w:color="auto"/>
        <w:right w:val="none" w:sz="0" w:space="0" w:color="auto"/>
      </w:divBdr>
    </w:div>
    <w:div w:id="144589201">
      <w:bodyDiv w:val="1"/>
      <w:marLeft w:val="0"/>
      <w:marRight w:val="0"/>
      <w:marTop w:val="0"/>
      <w:marBottom w:val="0"/>
      <w:divBdr>
        <w:top w:val="none" w:sz="0" w:space="0" w:color="auto"/>
        <w:left w:val="none" w:sz="0" w:space="0" w:color="auto"/>
        <w:bottom w:val="none" w:sz="0" w:space="0" w:color="auto"/>
        <w:right w:val="none" w:sz="0" w:space="0" w:color="auto"/>
      </w:divBdr>
    </w:div>
    <w:div w:id="195192080">
      <w:bodyDiv w:val="1"/>
      <w:marLeft w:val="0"/>
      <w:marRight w:val="0"/>
      <w:marTop w:val="0"/>
      <w:marBottom w:val="0"/>
      <w:divBdr>
        <w:top w:val="none" w:sz="0" w:space="0" w:color="auto"/>
        <w:left w:val="none" w:sz="0" w:space="0" w:color="auto"/>
        <w:bottom w:val="none" w:sz="0" w:space="0" w:color="auto"/>
        <w:right w:val="none" w:sz="0" w:space="0" w:color="auto"/>
      </w:divBdr>
    </w:div>
    <w:div w:id="197395986">
      <w:bodyDiv w:val="1"/>
      <w:marLeft w:val="0"/>
      <w:marRight w:val="0"/>
      <w:marTop w:val="0"/>
      <w:marBottom w:val="0"/>
      <w:divBdr>
        <w:top w:val="none" w:sz="0" w:space="0" w:color="auto"/>
        <w:left w:val="none" w:sz="0" w:space="0" w:color="auto"/>
        <w:bottom w:val="none" w:sz="0" w:space="0" w:color="auto"/>
        <w:right w:val="none" w:sz="0" w:space="0" w:color="auto"/>
      </w:divBdr>
    </w:div>
    <w:div w:id="224460971">
      <w:bodyDiv w:val="1"/>
      <w:marLeft w:val="0"/>
      <w:marRight w:val="0"/>
      <w:marTop w:val="0"/>
      <w:marBottom w:val="0"/>
      <w:divBdr>
        <w:top w:val="none" w:sz="0" w:space="0" w:color="auto"/>
        <w:left w:val="none" w:sz="0" w:space="0" w:color="auto"/>
        <w:bottom w:val="none" w:sz="0" w:space="0" w:color="auto"/>
        <w:right w:val="none" w:sz="0" w:space="0" w:color="auto"/>
      </w:divBdr>
    </w:div>
    <w:div w:id="258569433">
      <w:bodyDiv w:val="1"/>
      <w:marLeft w:val="0"/>
      <w:marRight w:val="0"/>
      <w:marTop w:val="0"/>
      <w:marBottom w:val="0"/>
      <w:divBdr>
        <w:top w:val="none" w:sz="0" w:space="0" w:color="auto"/>
        <w:left w:val="none" w:sz="0" w:space="0" w:color="auto"/>
        <w:bottom w:val="none" w:sz="0" w:space="0" w:color="auto"/>
        <w:right w:val="none" w:sz="0" w:space="0" w:color="auto"/>
      </w:divBdr>
    </w:div>
    <w:div w:id="291206553">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417591">
      <w:bodyDiv w:val="1"/>
      <w:marLeft w:val="0"/>
      <w:marRight w:val="0"/>
      <w:marTop w:val="0"/>
      <w:marBottom w:val="0"/>
      <w:divBdr>
        <w:top w:val="none" w:sz="0" w:space="0" w:color="auto"/>
        <w:left w:val="none" w:sz="0" w:space="0" w:color="auto"/>
        <w:bottom w:val="none" w:sz="0" w:space="0" w:color="auto"/>
        <w:right w:val="none" w:sz="0" w:space="0" w:color="auto"/>
      </w:divBdr>
    </w:div>
    <w:div w:id="333537231">
      <w:bodyDiv w:val="1"/>
      <w:marLeft w:val="0"/>
      <w:marRight w:val="0"/>
      <w:marTop w:val="0"/>
      <w:marBottom w:val="0"/>
      <w:divBdr>
        <w:top w:val="none" w:sz="0" w:space="0" w:color="auto"/>
        <w:left w:val="none" w:sz="0" w:space="0" w:color="auto"/>
        <w:bottom w:val="none" w:sz="0" w:space="0" w:color="auto"/>
        <w:right w:val="none" w:sz="0" w:space="0" w:color="auto"/>
      </w:divBdr>
    </w:div>
    <w:div w:id="345984735">
      <w:bodyDiv w:val="1"/>
      <w:marLeft w:val="0"/>
      <w:marRight w:val="0"/>
      <w:marTop w:val="0"/>
      <w:marBottom w:val="0"/>
      <w:divBdr>
        <w:top w:val="none" w:sz="0" w:space="0" w:color="auto"/>
        <w:left w:val="none" w:sz="0" w:space="0" w:color="auto"/>
        <w:bottom w:val="none" w:sz="0" w:space="0" w:color="auto"/>
        <w:right w:val="none" w:sz="0" w:space="0" w:color="auto"/>
      </w:divBdr>
    </w:div>
    <w:div w:id="383910475">
      <w:bodyDiv w:val="1"/>
      <w:marLeft w:val="0"/>
      <w:marRight w:val="0"/>
      <w:marTop w:val="0"/>
      <w:marBottom w:val="0"/>
      <w:divBdr>
        <w:top w:val="none" w:sz="0" w:space="0" w:color="auto"/>
        <w:left w:val="none" w:sz="0" w:space="0" w:color="auto"/>
        <w:bottom w:val="none" w:sz="0" w:space="0" w:color="auto"/>
        <w:right w:val="none" w:sz="0" w:space="0" w:color="auto"/>
      </w:divBdr>
    </w:div>
    <w:div w:id="398794010">
      <w:bodyDiv w:val="1"/>
      <w:marLeft w:val="0"/>
      <w:marRight w:val="0"/>
      <w:marTop w:val="0"/>
      <w:marBottom w:val="0"/>
      <w:divBdr>
        <w:top w:val="none" w:sz="0" w:space="0" w:color="auto"/>
        <w:left w:val="none" w:sz="0" w:space="0" w:color="auto"/>
        <w:bottom w:val="none" w:sz="0" w:space="0" w:color="auto"/>
        <w:right w:val="none" w:sz="0" w:space="0" w:color="auto"/>
      </w:divBdr>
    </w:div>
    <w:div w:id="408036811">
      <w:bodyDiv w:val="1"/>
      <w:marLeft w:val="0"/>
      <w:marRight w:val="0"/>
      <w:marTop w:val="0"/>
      <w:marBottom w:val="0"/>
      <w:divBdr>
        <w:top w:val="none" w:sz="0" w:space="0" w:color="auto"/>
        <w:left w:val="none" w:sz="0" w:space="0" w:color="auto"/>
        <w:bottom w:val="none" w:sz="0" w:space="0" w:color="auto"/>
        <w:right w:val="none" w:sz="0" w:space="0" w:color="auto"/>
      </w:divBdr>
    </w:div>
    <w:div w:id="421604663">
      <w:bodyDiv w:val="1"/>
      <w:marLeft w:val="0"/>
      <w:marRight w:val="0"/>
      <w:marTop w:val="0"/>
      <w:marBottom w:val="0"/>
      <w:divBdr>
        <w:top w:val="none" w:sz="0" w:space="0" w:color="auto"/>
        <w:left w:val="none" w:sz="0" w:space="0" w:color="auto"/>
        <w:bottom w:val="none" w:sz="0" w:space="0" w:color="auto"/>
        <w:right w:val="none" w:sz="0" w:space="0" w:color="auto"/>
      </w:divBdr>
    </w:div>
    <w:div w:id="437214984">
      <w:bodyDiv w:val="1"/>
      <w:marLeft w:val="0"/>
      <w:marRight w:val="0"/>
      <w:marTop w:val="0"/>
      <w:marBottom w:val="0"/>
      <w:divBdr>
        <w:top w:val="none" w:sz="0" w:space="0" w:color="auto"/>
        <w:left w:val="none" w:sz="0" w:space="0" w:color="auto"/>
        <w:bottom w:val="none" w:sz="0" w:space="0" w:color="auto"/>
        <w:right w:val="none" w:sz="0" w:space="0" w:color="auto"/>
      </w:divBdr>
    </w:div>
    <w:div w:id="446774473">
      <w:bodyDiv w:val="1"/>
      <w:marLeft w:val="0"/>
      <w:marRight w:val="0"/>
      <w:marTop w:val="0"/>
      <w:marBottom w:val="0"/>
      <w:divBdr>
        <w:top w:val="none" w:sz="0" w:space="0" w:color="auto"/>
        <w:left w:val="none" w:sz="0" w:space="0" w:color="auto"/>
        <w:bottom w:val="none" w:sz="0" w:space="0" w:color="auto"/>
        <w:right w:val="none" w:sz="0" w:space="0" w:color="auto"/>
      </w:divBdr>
    </w:div>
    <w:div w:id="448742196">
      <w:bodyDiv w:val="1"/>
      <w:marLeft w:val="0"/>
      <w:marRight w:val="0"/>
      <w:marTop w:val="0"/>
      <w:marBottom w:val="0"/>
      <w:divBdr>
        <w:top w:val="none" w:sz="0" w:space="0" w:color="auto"/>
        <w:left w:val="none" w:sz="0" w:space="0" w:color="auto"/>
        <w:bottom w:val="none" w:sz="0" w:space="0" w:color="auto"/>
        <w:right w:val="none" w:sz="0" w:space="0" w:color="auto"/>
      </w:divBdr>
    </w:div>
    <w:div w:id="455638035">
      <w:bodyDiv w:val="1"/>
      <w:marLeft w:val="0"/>
      <w:marRight w:val="0"/>
      <w:marTop w:val="0"/>
      <w:marBottom w:val="0"/>
      <w:divBdr>
        <w:top w:val="none" w:sz="0" w:space="0" w:color="auto"/>
        <w:left w:val="none" w:sz="0" w:space="0" w:color="auto"/>
        <w:bottom w:val="none" w:sz="0" w:space="0" w:color="auto"/>
        <w:right w:val="none" w:sz="0" w:space="0" w:color="auto"/>
      </w:divBdr>
    </w:div>
    <w:div w:id="490026802">
      <w:bodyDiv w:val="1"/>
      <w:marLeft w:val="0"/>
      <w:marRight w:val="0"/>
      <w:marTop w:val="0"/>
      <w:marBottom w:val="0"/>
      <w:divBdr>
        <w:top w:val="none" w:sz="0" w:space="0" w:color="auto"/>
        <w:left w:val="none" w:sz="0" w:space="0" w:color="auto"/>
        <w:bottom w:val="none" w:sz="0" w:space="0" w:color="auto"/>
        <w:right w:val="none" w:sz="0" w:space="0" w:color="auto"/>
      </w:divBdr>
    </w:div>
    <w:div w:id="501238617">
      <w:bodyDiv w:val="1"/>
      <w:marLeft w:val="0"/>
      <w:marRight w:val="0"/>
      <w:marTop w:val="0"/>
      <w:marBottom w:val="0"/>
      <w:divBdr>
        <w:top w:val="none" w:sz="0" w:space="0" w:color="auto"/>
        <w:left w:val="none" w:sz="0" w:space="0" w:color="auto"/>
        <w:bottom w:val="none" w:sz="0" w:space="0" w:color="auto"/>
        <w:right w:val="none" w:sz="0" w:space="0" w:color="auto"/>
      </w:divBdr>
    </w:div>
    <w:div w:id="501700006">
      <w:bodyDiv w:val="1"/>
      <w:marLeft w:val="0"/>
      <w:marRight w:val="0"/>
      <w:marTop w:val="0"/>
      <w:marBottom w:val="0"/>
      <w:divBdr>
        <w:top w:val="none" w:sz="0" w:space="0" w:color="auto"/>
        <w:left w:val="none" w:sz="0" w:space="0" w:color="auto"/>
        <w:bottom w:val="none" w:sz="0" w:space="0" w:color="auto"/>
        <w:right w:val="none" w:sz="0" w:space="0" w:color="auto"/>
      </w:divBdr>
    </w:div>
    <w:div w:id="505554487">
      <w:bodyDiv w:val="1"/>
      <w:marLeft w:val="0"/>
      <w:marRight w:val="0"/>
      <w:marTop w:val="0"/>
      <w:marBottom w:val="0"/>
      <w:divBdr>
        <w:top w:val="none" w:sz="0" w:space="0" w:color="auto"/>
        <w:left w:val="none" w:sz="0" w:space="0" w:color="auto"/>
        <w:bottom w:val="none" w:sz="0" w:space="0" w:color="auto"/>
        <w:right w:val="none" w:sz="0" w:space="0" w:color="auto"/>
      </w:divBdr>
    </w:div>
    <w:div w:id="516385763">
      <w:bodyDiv w:val="1"/>
      <w:marLeft w:val="0"/>
      <w:marRight w:val="0"/>
      <w:marTop w:val="0"/>
      <w:marBottom w:val="0"/>
      <w:divBdr>
        <w:top w:val="none" w:sz="0" w:space="0" w:color="auto"/>
        <w:left w:val="none" w:sz="0" w:space="0" w:color="auto"/>
        <w:bottom w:val="none" w:sz="0" w:space="0" w:color="auto"/>
        <w:right w:val="none" w:sz="0" w:space="0" w:color="auto"/>
      </w:divBdr>
    </w:div>
    <w:div w:id="529269874">
      <w:bodyDiv w:val="1"/>
      <w:marLeft w:val="0"/>
      <w:marRight w:val="0"/>
      <w:marTop w:val="0"/>
      <w:marBottom w:val="0"/>
      <w:divBdr>
        <w:top w:val="none" w:sz="0" w:space="0" w:color="auto"/>
        <w:left w:val="none" w:sz="0" w:space="0" w:color="auto"/>
        <w:bottom w:val="none" w:sz="0" w:space="0" w:color="auto"/>
        <w:right w:val="none" w:sz="0" w:space="0" w:color="auto"/>
      </w:divBdr>
    </w:div>
    <w:div w:id="530580935">
      <w:bodyDiv w:val="1"/>
      <w:marLeft w:val="0"/>
      <w:marRight w:val="0"/>
      <w:marTop w:val="0"/>
      <w:marBottom w:val="0"/>
      <w:divBdr>
        <w:top w:val="none" w:sz="0" w:space="0" w:color="auto"/>
        <w:left w:val="none" w:sz="0" w:space="0" w:color="auto"/>
        <w:bottom w:val="none" w:sz="0" w:space="0" w:color="auto"/>
        <w:right w:val="none" w:sz="0" w:space="0" w:color="auto"/>
      </w:divBdr>
    </w:div>
    <w:div w:id="533856761">
      <w:bodyDiv w:val="1"/>
      <w:marLeft w:val="0"/>
      <w:marRight w:val="0"/>
      <w:marTop w:val="0"/>
      <w:marBottom w:val="0"/>
      <w:divBdr>
        <w:top w:val="none" w:sz="0" w:space="0" w:color="auto"/>
        <w:left w:val="none" w:sz="0" w:space="0" w:color="auto"/>
        <w:bottom w:val="none" w:sz="0" w:space="0" w:color="auto"/>
        <w:right w:val="none" w:sz="0" w:space="0" w:color="auto"/>
      </w:divBdr>
    </w:div>
    <w:div w:id="553274366">
      <w:bodyDiv w:val="1"/>
      <w:marLeft w:val="0"/>
      <w:marRight w:val="0"/>
      <w:marTop w:val="0"/>
      <w:marBottom w:val="0"/>
      <w:divBdr>
        <w:top w:val="none" w:sz="0" w:space="0" w:color="auto"/>
        <w:left w:val="none" w:sz="0" w:space="0" w:color="auto"/>
        <w:bottom w:val="none" w:sz="0" w:space="0" w:color="auto"/>
        <w:right w:val="none" w:sz="0" w:space="0" w:color="auto"/>
      </w:divBdr>
    </w:div>
    <w:div w:id="588659560">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61159314">
      <w:bodyDiv w:val="1"/>
      <w:marLeft w:val="0"/>
      <w:marRight w:val="0"/>
      <w:marTop w:val="0"/>
      <w:marBottom w:val="0"/>
      <w:divBdr>
        <w:top w:val="none" w:sz="0" w:space="0" w:color="auto"/>
        <w:left w:val="none" w:sz="0" w:space="0" w:color="auto"/>
        <w:bottom w:val="none" w:sz="0" w:space="0" w:color="auto"/>
        <w:right w:val="none" w:sz="0" w:space="0" w:color="auto"/>
      </w:divBdr>
    </w:div>
    <w:div w:id="670570145">
      <w:bodyDiv w:val="1"/>
      <w:marLeft w:val="0"/>
      <w:marRight w:val="0"/>
      <w:marTop w:val="0"/>
      <w:marBottom w:val="0"/>
      <w:divBdr>
        <w:top w:val="none" w:sz="0" w:space="0" w:color="auto"/>
        <w:left w:val="none" w:sz="0" w:space="0" w:color="auto"/>
        <w:bottom w:val="none" w:sz="0" w:space="0" w:color="auto"/>
        <w:right w:val="none" w:sz="0" w:space="0" w:color="auto"/>
      </w:divBdr>
    </w:div>
    <w:div w:id="727922196">
      <w:bodyDiv w:val="1"/>
      <w:marLeft w:val="0"/>
      <w:marRight w:val="0"/>
      <w:marTop w:val="0"/>
      <w:marBottom w:val="0"/>
      <w:divBdr>
        <w:top w:val="none" w:sz="0" w:space="0" w:color="auto"/>
        <w:left w:val="none" w:sz="0" w:space="0" w:color="auto"/>
        <w:bottom w:val="none" w:sz="0" w:space="0" w:color="auto"/>
        <w:right w:val="none" w:sz="0" w:space="0" w:color="auto"/>
      </w:divBdr>
    </w:div>
    <w:div w:id="739061422">
      <w:bodyDiv w:val="1"/>
      <w:marLeft w:val="0"/>
      <w:marRight w:val="0"/>
      <w:marTop w:val="0"/>
      <w:marBottom w:val="0"/>
      <w:divBdr>
        <w:top w:val="none" w:sz="0" w:space="0" w:color="auto"/>
        <w:left w:val="none" w:sz="0" w:space="0" w:color="auto"/>
        <w:bottom w:val="none" w:sz="0" w:space="0" w:color="auto"/>
        <w:right w:val="none" w:sz="0" w:space="0" w:color="auto"/>
      </w:divBdr>
    </w:div>
    <w:div w:id="769818395">
      <w:bodyDiv w:val="1"/>
      <w:marLeft w:val="0"/>
      <w:marRight w:val="0"/>
      <w:marTop w:val="0"/>
      <w:marBottom w:val="0"/>
      <w:divBdr>
        <w:top w:val="none" w:sz="0" w:space="0" w:color="auto"/>
        <w:left w:val="none" w:sz="0" w:space="0" w:color="auto"/>
        <w:bottom w:val="none" w:sz="0" w:space="0" w:color="auto"/>
        <w:right w:val="none" w:sz="0" w:space="0" w:color="auto"/>
      </w:divBdr>
    </w:div>
    <w:div w:id="772018607">
      <w:bodyDiv w:val="1"/>
      <w:marLeft w:val="0"/>
      <w:marRight w:val="0"/>
      <w:marTop w:val="0"/>
      <w:marBottom w:val="0"/>
      <w:divBdr>
        <w:top w:val="none" w:sz="0" w:space="0" w:color="auto"/>
        <w:left w:val="none" w:sz="0" w:space="0" w:color="auto"/>
        <w:bottom w:val="none" w:sz="0" w:space="0" w:color="auto"/>
        <w:right w:val="none" w:sz="0" w:space="0" w:color="auto"/>
      </w:divBdr>
    </w:div>
    <w:div w:id="779301350">
      <w:bodyDiv w:val="1"/>
      <w:marLeft w:val="0"/>
      <w:marRight w:val="0"/>
      <w:marTop w:val="0"/>
      <w:marBottom w:val="0"/>
      <w:divBdr>
        <w:top w:val="none" w:sz="0" w:space="0" w:color="auto"/>
        <w:left w:val="none" w:sz="0" w:space="0" w:color="auto"/>
        <w:bottom w:val="none" w:sz="0" w:space="0" w:color="auto"/>
        <w:right w:val="none" w:sz="0" w:space="0" w:color="auto"/>
      </w:divBdr>
    </w:div>
    <w:div w:id="791435276">
      <w:bodyDiv w:val="1"/>
      <w:marLeft w:val="0"/>
      <w:marRight w:val="0"/>
      <w:marTop w:val="0"/>
      <w:marBottom w:val="0"/>
      <w:divBdr>
        <w:top w:val="none" w:sz="0" w:space="0" w:color="auto"/>
        <w:left w:val="none" w:sz="0" w:space="0" w:color="auto"/>
        <w:bottom w:val="none" w:sz="0" w:space="0" w:color="auto"/>
        <w:right w:val="none" w:sz="0" w:space="0" w:color="auto"/>
      </w:divBdr>
    </w:div>
    <w:div w:id="810294082">
      <w:bodyDiv w:val="1"/>
      <w:marLeft w:val="0"/>
      <w:marRight w:val="0"/>
      <w:marTop w:val="0"/>
      <w:marBottom w:val="0"/>
      <w:divBdr>
        <w:top w:val="none" w:sz="0" w:space="0" w:color="auto"/>
        <w:left w:val="none" w:sz="0" w:space="0" w:color="auto"/>
        <w:bottom w:val="none" w:sz="0" w:space="0" w:color="auto"/>
        <w:right w:val="none" w:sz="0" w:space="0" w:color="auto"/>
      </w:divBdr>
    </w:div>
    <w:div w:id="834538980">
      <w:bodyDiv w:val="1"/>
      <w:marLeft w:val="0"/>
      <w:marRight w:val="0"/>
      <w:marTop w:val="0"/>
      <w:marBottom w:val="0"/>
      <w:divBdr>
        <w:top w:val="none" w:sz="0" w:space="0" w:color="auto"/>
        <w:left w:val="none" w:sz="0" w:space="0" w:color="auto"/>
        <w:bottom w:val="none" w:sz="0" w:space="0" w:color="auto"/>
        <w:right w:val="none" w:sz="0" w:space="0" w:color="auto"/>
      </w:divBdr>
    </w:div>
    <w:div w:id="837691885">
      <w:bodyDiv w:val="1"/>
      <w:marLeft w:val="0"/>
      <w:marRight w:val="0"/>
      <w:marTop w:val="0"/>
      <w:marBottom w:val="0"/>
      <w:divBdr>
        <w:top w:val="none" w:sz="0" w:space="0" w:color="auto"/>
        <w:left w:val="none" w:sz="0" w:space="0" w:color="auto"/>
        <w:bottom w:val="none" w:sz="0" w:space="0" w:color="auto"/>
        <w:right w:val="none" w:sz="0" w:space="0" w:color="auto"/>
      </w:divBdr>
    </w:div>
    <w:div w:id="875194464">
      <w:bodyDiv w:val="1"/>
      <w:marLeft w:val="0"/>
      <w:marRight w:val="0"/>
      <w:marTop w:val="0"/>
      <w:marBottom w:val="0"/>
      <w:divBdr>
        <w:top w:val="none" w:sz="0" w:space="0" w:color="auto"/>
        <w:left w:val="none" w:sz="0" w:space="0" w:color="auto"/>
        <w:bottom w:val="none" w:sz="0" w:space="0" w:color="auto"/>
        <w:right w:val="none" w:sz="0" w:space="0" w:color="auto"/>
      </w:divBdr>
    </w:div>
    <w:div w:id="924338104">
      <w:bodyDiv w:val="1"/>
      <w:marLeft w:val="0"/>
      <w:marRight w:val="0"/>
      <w:marTop w:val="0"/>
      <w:marBottom w:val="0"/>
      <w:divBdr>
        <w:top w:val="none" w:sz="0" w:space="0" w:color="auto"/>
        <w:left w:val="none" w:sz="0" w:space="0" w:color="auto"/>
        <w:bottom w:val="none" w:sz="0" w:space="0" w:color="auto"/>
        <w:right w:val="none" w:sz="0" w:space="0" w:color="auto"/>
      </w:divBdr>
    </w:div>
    <w:div w:id="936444943">
      <w:bodyDiv w:val="1"/>
      <w:marLeft w:val="0"/>
      <w:marRight w:val="0"/>
      <w:marTop w:val="0"/>
      <w:marBottom w:val="0"/>
      <w:divBdr>
        <w:top w:val="none" w:sz="0" w:space="0" w:color="auto"/>
        <w:left w:val="none" w:sz="0" w:space="0" w:color="auto"/>
        <w:bottom w:val="none" w:sz="0" w:space="0" w:color="auto"/>
        <w:right w:val="none" w:sz="0" w:space="0" w:color="auto"/>
      </w:divBdr>
    </w:div>
    <w:div w:id="947547314">
      <w:bodyDiv w:val="1"/>
      <w:marLeft w:val="0"/>
      <w:marRight w:val="0"/>
      <w:marTop w:val="0"/>
      <w:marBottom w:val="0"/>
      <w:divBdr>
        <w:top w:val="none" w:sz="0" w:space="0" w:color="auto"/>
        <w:left w:val="none" w:sz="0" w:space="0" w:color="auto"/>
        <w:bottom w:val="none" w:sz="0" w:space="0" w:color="auto"/>
        <w:right w:val="none" w:sz="0" w:space="0" w:color="auto"/>
      </w:divBdr>
    </w:div>
    <w:div w:id="949355287">
      <w:bodyDiv w:val="1"/>
      <w:marLeft w:val="0"/>
      <w:marRight w:val="0"/>
      <w:marTop w:val="0"/>
      <w:marBottom w:val="0"/>
      <w:divBdr>
        <w:top w:val="none" w:sz="0" w:space="0" w:color="auto"/>
        <w:left w:val="none" w:sz="0" w:space="0" w:color="auto"/>
        <w:bottom w:val="none" w:sz="0" w:space="0" w:color="auto"/>
        <w:right w:val="none" w:sz="0" w:space="0" w:color="auto"/>
      </w:divBdr>
    </w:div>
    <w:div w:id="970356521">
      <w:bodyDiv w:val="1"/>
      <w:marLeft w:val="0"/>
      <w:marRight w:val="0"/>
      <w:marTop w:val="0"/>
      <w:marBottom w:val="0"/>
      <w:divBdr>
        <w:top w:val="none" w:sz="0" w:space="0" w:color="auto"/>
        <w:left w:val="none" w:sz="0" w:space="0" w:color="auto"/>
        <w:bottom w:val="none" w:sz="0" w:space="0" w:color="auto"/>
        <w:right w:val="none" w:sz="0" w:space="0" w:color="auto"/>
      </w:divBdr>
    </w:div>
    <w:div w:id="981230921">
      <w:bodyDiv w:val="1"/>
      <w:marLeft w:val="0"/>
      <w:marRight w:val="0"/>
      <w:marTop w:val="0"/>
      <w:marBottom w:val="0"/>
      <w:divBdr>
        <w:top w:val="none" w:sz="0" w:space="0" w:color="auto"/>
        <w:left w:val="none" w:sz="0" w:space="0" w:color="auto"/>
        <w:bottom w:val="none" w:sz="0" w:space="0" w:color="auto"/>
        <w:right w:val="none" w:sz="0" w:space="0" w:color="auto"/>
      </w:divBdr>
    </w:div>
    <w:div w:id="982124062">
      <w:bodyDiv w:val="1"/>
      <w:marLeft w:val="0"/>
      <w:marRight w:val="0"/>
      <w:marTop w:val="0"/>
      <w:marBottom w:val="0"/>
      <w:divBdr>
        <w:top w:val="none" w:sz="0" w:space="0" w:color="auto"/>
        <w:left w:val="none" w:sz="0" w:space="0" w:color="auto"/>
        <w:bottom w:val="none" w:sz="0" w:space="0" w:color="auto"/>
        <w:right w:val="none" w:sz="0" w:space="0" w:color="auto"/>
      </w:divBdr>
    </w:div>
    <w:div w:id="991248920">
      <w:bodyDiv w:val="1"/>
      <w:marLeft w:val="0"/>
      <w:marRight w:val="0"/>
      <w:marTop w:val="0"/>
      <w:marBottom w:val="0"/>
      <w:divBdr>
        <w:top w:val="none" w:sz="0" w:space="0" w:color="auto"/>
        <w:left w:val="none" w:sz="0" w:space="0" w:color="auto"/>
        <w:bottom w:val="none" w:sz="0" w:space="0" w:color="auto"/>
        <w:right w:val="none" w:sz="0" w:space="0" w:color="auto"/>
      </w:divBdr>
    </w:div>
    <w:div w:id="1014846483">
      <w:bodyDiv w:val="1"/>
      <w:marLeft w:val="0"/>
      <w:marRight w:val="0"/>
      <w:marTop w:val="0"/>
      <w:marBottom w:val="0"/>
      <w:divBdr>
        <w:top w:val="none" w:sz="0" w:space="0" w:color="auto"/>
        <w:left w:val="none" w:sz="0" w:space="0" w:color="auto"/>
        <w:bottom w:val="none" w:sz="0" w:space="0" w:color="auto"/>
        <w:right w:val="none" w:sz="0" w:space="0" w:color="auto"/>
      </w:divBdr>
    </w:div>
    <w:div w:id="1041248880">
      <w:bodyDiv w:val="1"/>
      <w:marLeft w:val="0"/>
      <w:marRight w:val="0"/>
      <w:marTop w:val="0"/>
      <w:marBottom w:val="0"/>
      <w:divBdr>
        <w:top w:val="none" w:sz="0" w:space="0" w:color="auto"/>
        <w:left w:val="none" w:sz="0" w:space="0" w:color="auto"/>
        <w:bottom w:val="none" w:sz="0" w:space="0" w:color="auto"/>
        <w:right w:val="none" w:sz="0" w:space="0" w:color="auto"/>
      </w:divBdr>
    </w:div>
    <w:div w:id="1059749588">
      <w:bodyDiv w:val="1"/>
      <w:marLeft w:val="0"/>
      <w:marRight w:val="0"/>
      <w:marTop w:val="0"/>
      <w:marBottom w:val="0"/>
      <w:divBdr>
        <w:top w:val="none" w:sz="0" w:space="0" w:color="auto"/>
        <w:left w:val="none" w:sz="0" w:space="0" w:color="auto"/>
        <w:bottom w:val="none" w:sz="0" w:space="0" w:color="auto"/>
        <w:right w:val="none" w:sz="0" w:space="0" w:color="auto"/>
      </w:divBdr>
    </w:div>
    <w:div w:id="1067650956">
      <w:bodyDiv w:val="1"/>
      <w:marLeft w:val="0"/>
      <w:marRight w:val="0"/>
      <w:marTop w:val="0"/>
      <w:marBottom w:val="0"/>
      <w:divBdr>
        <w:top w:val="none" w:sz="0" w:space="0" w:color="auto"/>
        <w:left w:val="none" w:sz="0" w:space="0" w:color="auto"/>
        <w:bottom w:val="none" w:sz="0" w:space="0" w:color="auto"/>
        <w:right w:val="none" w:sz="0" w:space="0" w:color="auto"/>
      </w:divBdr>
    </w:div>
    <w:div w:id="1075012451">
      <w:bodyDiv w:val="1"/>
      <w:marLeft w:val="0"/>
      <w:marRight w:val="0"/>
      <w:marTop w:val="0"/>
      <w:marBottom w:val="0"/>
      <w:divBdr>
        <w:top w:val="none" w:sz="0" w:space="0" w:color="auto"/>
        <w:left w:val="none" w:sz="0" w:space="0" w:color="auto"/>
        <w:bottom w:val="none" w:sz="0" w:space="0" w:color="auto"/>
        <w:right w:val="none" w:sz="0" w:space="0" w:color="auto"/>
      </w:divBdr>
    </w:div>
    <w:div w:id="1120493375">
      <w:bodyDiv w:val="1"/>
      <w:marLeft w:val="0"/>
      <w:marRight w:val="0"/>
      <w:marTop w:val="0"/>
      <w:marBottom w:val="0"/>
      <w:divBdr>
        <w:top w:val="none" w:sz="0" w:space="0" w:color="auto"/>
        <w:left w:val="none" w:sz="0" w:space="0" w:color="auto"/>
        <w:bottom w:val="none" w:sz="0" w:space="0" w:color="auto"/>
        <w:right w:val="none" w:sz="0" w:space="0" w:color="auto"/>
      </w:divBdr>
    </w:div>
    <w:div w:id="1122649790">
      <w:bodyDiv w:val="1"/>
      <w:marLeft w:val="0"/>
      <w:marRight w:val="0"/>
      <w:marTop w:val="0"/>
      <w:marBottom w:val="0"/>
      <w:divBdr>
        <w:top w:val="none" w:sz="0" w:space="0" w:color="auto"/>
        <w:left w:val="none" w:sz="0" w:space="0" w:color="auto"/>
        <w:bottom w:val="none" w:sz="0" w:space="0" w:color="auto"/>
        <w:right w:val="none" w:sz="0" w:space="0" w:color="auto"/>
      </w:divBdr>
    </w:div>
    <w:div w:id="1129278796">
      <w:bodyDiv w:val="1"/>
      <w:marLeft w:val="0"/>
      <w:marRight w:val="0"/>
      <w:marTop w:val="0"/>
      <w:marBottom w:val="0"/>
      <w:divBdr>
        <w:top w:val="none" w:sz="0" w:space="0" w:color="auto"/>
        <w:left w:val="none" w:sz="0" w:space="0" w:color="auto"/>
        <w:bottom w:val="none" w:sz="0" w:space="0" w:color="auto"/>
        <w:right w:val="none" w:sz="0" w:space="0" w:color="auto"/>
      </w:divBdr>
    </w:div>
    <w:div w:id="1164199024">
      <w:bodyDiv w:val="1"/>
      <w:marLeft w:val="0"/>
      <w:marRight w:val="0"/>
      <w:marTop w:val="0"/>
      <w:marBottom w:val="0"/>
      <w:divBdr>
        <w:top w:val="none" w:sz="0" w:space="0" w:color="auto"/>
        <w:left w:val="none" w:sz="0" w:space="0" w:color="auto"/>
        <w:bottom w:val="none" w:sz="0" w:space="0" w:color="auto"/>
        <w:right w:val="none" w:sz="0" w:space="0" w:color="auto"/>
      </w:divBdr>
    </w:div>
    <w:div w:id="1200625328">
      <w:bodyDiv w:val="1"/>
      <w:marLeft w:val="0"/>
      <w:marRight w:val="0"/>
      <w:marTop w:val="0"/>
      <w:marBottom w:val="0"/>
      <w:divBdr>
        <w:top w:val="none" w:sz="0" w:space="0" w:color="auto"/>
        <w:left w:val="none" w:sz="0" w:space="0" w:color="auto"/>
        <w:bottom w:val="none" w:sz="0" w:space="0" w:color="auto"/>
        <w:right w:val="none" w:sz="0" w:space="0" w:color="auto"/>
      </w:divBdr>
    </w:div>
    <w:div w:id="1237669982">
      <w:bodyDiv w:val="1"/>
      <w:marLeft w:val="0"/>
      <w:marRight w:val="0"/>
      <w:marTop w:val="0"/>
      <w:marBottom w:val="0"/>
      <w:divBdr>
        <w:top w:val="none" w:sz="0" w:space="0" w:color="auto"/>
        <w:left w:val="none" w:sz="0" w:space="0" w:color="auto"/>
        <w:bottom w:val="none" w:sz="0" w:space="0" w:color="auto"/>
        <w:right w:val="none" w:sz="0" w:space="0" w:color="auto"/>
      </w:divBdr>
    </w:div>
    <w:div w:id="1247034319">
      <w:bodyDiv w:val="1"/>
      <w:marLeft w:val="0"/>
      <w:marRight w:val="0"/>
      <w:marTop w:val="0"/>
      <w:marBottom w:val="0"/>
      <w:divBdr>
        <w:top w:val="none" w:sz="0" w:space="0" w:color="auto"/>
        <w:left w:val="none" w:sz="0" w:space="0" w:color="auto"/>
        <w:bottom w:val="none" w:sz="0" w:space="0" w:color="auto"/>
        <w:right w:val="none" w:sz="0" w:space="0" w:color="auto"/>
      </w:divBdr>
    </w:div>
    <w:div w:id="1272279740">
      <w:bodyDiv w:val="1"/>
      <w:marLeft w:val="0"/>
      <w:marRight w:val="0"/>
      <w:marTop w:val="0"/>
      <w:marBottom w:val="0"/>
      <w:divBdr>
        <w:top w:val="none" w:sz="0" w:space="0" w:color="auto"/>
        <w:left w:val="none" w:sz="0" w:space="0" w:color="auto"/>
        <w:bottom w:val="none" w:sz="0" w:space="0" w:color="auto"/>
        <w:right w:val="none" w:sz="0" w:space="0" w:color="auto"/>
      </w:divBdr>
    </w:div>
    <w:div w:id="1302727603">
      <w:bodyDiv w:val="1"/>
      <w:marLeft w:val="0"/>
      <w:marRight w:val="0"/>
      <w:marTop w:val="0"/>
      <w:marBottom w:val="0"/>
      <w:divBdr>
        <w:top w:val="none" w:sz="0" w:space="0" w:color="auto"/>
        <w:left w:val="none" w:sz="0" w:space="0" w:color="auto"/>
        <w:bottom w:val="none" w:sz="0" w:space="0" w:color="auto"/>
        <w:right w:val="none" w:sz="0" w:space="0" w:color="auto"/>
      </w:divBdr>
    </w:div>
    <w:div w:id="1314066695">
      <w:bodyDiv w:val="1"/>
      <w:marLeft w:val="0"/>
      <w:marRight w:val="0"/>
      <w:marTop w:val="0"/>
      <w:marBottom w:val="0"/>
      <w:divBdr>
        <w:top w:val="none" w:sz="0" w:space="0" w:color="auto"/>
        <w:left w:val="none" w:sz="0" w:space="0" w:color="auto"/>
        <w:bottom w:val="none" w:sz="0" w:space="0" w:color="auto"/>
        <w:right w:val="none" w:sz="0" w:space="0" w:color="auto"/>
      </w:divBdr>
    </w:div>
    <w:div w:id="1318604790">
      <w:bodyDiv w:val="1"/>
      <w:marLeft w:val="0"/>
      <w:marRight w:val="0"/>
      <w:marTop w:val="0"/>
      <w:marBottom w:val="0"/>
      <w:divBdr>
        <w:top w:val="none" w:sz="0" w:space="0" w:color="auto"/>
        <w:left w:val="none" w:sz="0" w:space="0" w:color="auto"/>
        <w:bottom w:val="none" w:sz="0" w:space="0" w:color="auto"/>
        <w:right w:val="none" w:sz="0" w:space="0" w:color="auto"/>
      </w:divBdr>
    </w:div>
    <w:div w:id="1340153446">
      <w:bodyDiv w:val="1"/>
      <w:marLeft w:val="0"/>
      <w:marRight w:val="0"/>
      <w:marTop w:val="0"/>
      <w:marBottom w:val="0"/>
      <w:divBdr>
        <w:top w:val="none" w:sz="0" w:space="0" w:color="auto"/>
        <w:left w:val="none" w:sz="0" w:space="0" w:color="auto"/>
        <w:bottom w:val="none" w:sz="0" w:space="0" w:color="auto"/>
        <w:right w:val="none" w:sz="0" w:space="0" w:color="auto"/>
      </w:divBdr>
    </w:div>
    <w:div w:id="1356151388">
      <w:bodyDiv w:val="1"/>
      <w:marLeft w:val="0"/>
      <w:marRight w:val="0"/>
      <w:marTop w:val="0"/>
      <w:marBottom w:val="0"/>
      <w:divBdr>
        <w:top w:val="none" w:sz="0" w:space="0" w:color="auto"/>
        <w:left w:val="none" w:sz="0" w:space="0" w:color="auto"/>
        <w:bottom w:val="none" w:sz="0" w:space="0" w:color="auto"/>
        <w:right w:val="none" w:sz="0" w:space="0" w:color="auto"/>
      </w:divBdr>
    </w:div>
    <w:div w:id="1364018808">
      <w:bodyDiv w:val="1"/>
      <w:marLeft w:val="0"/>
      <w:marRight w:val="0"/>
      <w:marTop w:val="0"/>
      <w:marBottom w:val="0"/>
      <w:divBdr>
        <w:top w:val="none" w:sz="0" w:space="0" w:color="auto"/>
        <w:left w:val="none" w:sz="0" w:space="0" w:color="auto"/>
        <w:bottom w:val="none" w:sz="0" w:space="0" w:color="auto"/>
        <w:right w:val="none" w:sz="0" w:space="0" w:color="auto"/>
      </w:divBdr>
    </w:div>
    <w:div w:id="1373647893">
      <w:bodyDiv w:val="1"/>
      <w:marLeft w:val="0"/>
      <w:marRight w:val="0"/>
      <w:marTop w:val="0"/>
      <w:marBottom w:val="0"/>
      <w:divBdr>
        <w:top w:val="none" w:sz="0" w:space="0" w:color="auto"/>
        <w:left w:val="none" w:sz="0" w:space="0" w:color="auto"/>
        <w:bottom w:val="none" w:sz="0" w:space="0" w:color="auto"/>
        <w:right w:val="none" w:sz="0" w:space="0" w:color="auto"/>
      </w:divBdr>
    </w:div>
    <w:div w:id="1402210558">
      <w:bodyDiv w:val="1"/>
      <w:marLeft w:val="0"/>
      <w:marRight w:val="0"/>
      <w:marTop w:val="0"/>
      <w:marBottom w:val="0"/>
      <w:divBdr>
        <w:top w:val="none" w:sz="0" w:space="0" w:color="auto"/>
        <w:left w:val="none" w:sz="0" w:space="0" w:color="auto"/>
        <w:bottom w:val="none" w:sz="0" w:space="0" w:color="auto"/>
        <w:right w:val="none" w:sz="0" w:space="0" w:color="auto"/>
      </w:divBdr>
    </w:div>
    <w:div w:id="1412386522">
      <w:bodyDiv w:val="1"/>
      <w:marLeft w:val="0"/>
      <w:marRight w:val="0"/>
      <w:marTop w:val="0"/>
      <w:marBottom w:val="0"/>
      <w:divBdr>
        <w:top w:val="none" w:sz="0" w:space="0" w:color="auto"/>
        <w:left w:val="none" w:sz="0" w:space="0" w:color="auto"/>
        <w:bottom w:val="none" w:sz="0" w:space="0" w:color="auto"/>
        <w:right w:val="none" w:sz="0" w:space="0" w:color="auto"/>
      </w:divBdr>
    </w:div>
    <w:div w:id="1429235724">
      <w:bodyDiv w:val="1"/>
      <w:marLeft w:val="0"/>
      <w:marRight w:val="0"/>
      <w:marTop w:val="0"/>
      <w:marBottom w:val="0"/>
      <w:divBdr>
        <w:top w:val="none" w:sz="0" w:space="0" w:color="auto"/>
        <w:left w:val="none" w:sz="0" w:space="0" w:color="auto"/>
        <w:bottom w:val="none" w:sz="0" w:space="0" w:color="auto"/>
        <w:right w:val="none" w:sz="0" w:space="0" w:color="auto"/>
      </w:divBdr>
    </w:div>
    <w:div w:id="1436243497">
      <w:bodyDiv w:val="1"/>
      <w:marLeft w:val="0"/>
      <w:marRight w:val="0"/>
      <w:marTop w:val="0"/>
      <w:marBottom w:val="0"/>
      <w:divBdr>
        <w:top w:val="none" w:sz="0" w:space="0" w:color="auto"/>
        <w:left w:val="none" w:sz="0" w:space="0" w:color="auto"/>
        <w:bottom w:val="none" w:sz="0" w:space="0" w:color="auto"/>
        <w:right w:val="none" w:sz="0" w:space="0" w:color="auto"/>
      </w:divBdr>
    </w:div>
    <w:div w:id="1438481261">
      <w:bodyDiv w:val="1"/>
      <w:marLeft w:val="0"/>
      <w:marRight w:val="0"/>
      <w:marTop w:val="0"/>
      <w:marBottom w:val="0"/>
      <w:divBdr>
        <w:top w:val="none" w:sz="0" w:space="0" w:color="auto"/>
        <w:left w:val="none" w:sz="0" w:space="0" w:color="auto"/>
        <w:bottom w:val="none" w:sz="0" w:space="0" w:color="auto"/>
        <w:right w:val="none" w:sz="0" w:space="0" w:color="auto"/>
      </w:divBdr>
    </w:div>
    <w:div w:id="1465849491">
      <w:bodyDiv w:val="1"/>
      <w:marLeft w:val="0"/>
      <w:marRight w:val="0"/>
      <w:marTop w:val="0"/>
      <w:marBottom w:val="0"/>
      <w:divBdr>
        <w:top w:val="none" w:sz="0" w:space="0" w:color="auto"/>
        <w:left w:val="none" w:sz="0" w:space="0" w:color="auto"/>
        <w:bottom w:val="none" w:sz="0" w:space="0" w:color="auto"/>
        <w:right w:val="none" w:sz="0" w:space="0" w:color="auto"/>
      </w:divBdr>
    </w:div>
    <w:div w:id="1474635002">
      <w:bodyDiv w:val="1"/>
      <w:marLeft w:val="0"/>
      <w:marRight w:val="0"/>
      <w:marTop w:val="0"/>
      <w:marBottom w:val="0"/>
      <w:divBdr>
        <w:top w:val="none" w:sz="0" w:space="0" w:color="auto"/>
        <w:left w:val="none" w:sz="0" w:space="0" w:color="auto"/>
        <w:bottom w:val="none" w:sz="0" w:space="0" w:color="auto"/>
        <w:right w:val="none" w:sz="0" w:space="0" w:color="auto"/>
      </w:divBdr>
    </w:div>
    <w:div w:id="1477332604">
      <w:bodyDiv w:val="1"/>
      <w:marLeft w:val="0"/>
      <w:marRight w:val="0"/>
      <w:marTop w:val="0"/>
      <w:marBottom w:val="0"/>
      <w:divBdr>
        <w:top w:val="none" w:sz="0" w:space="0" w:color="auto"/>
        <w:left w:val="none" w:sz="0" w:space="0" w:color="auto"/>
        <w:bottom w:val="none" w:sz="0" w:space="0" w:color="auto"/>
        <w:right w:val="none" w:sz="0" w:space="0" w:color="auto"/>
      </w:divBdr>
    </w:div>
    <w:div w:id="1512257283">
      <w:bodyDiv w:val="1"/>
      <w:marLeft w:val="0"/>
      <w:marRight w:val="0"/>
      <w:marTop w:val="0"/>
      <w:marBottom w:val="0"/>
      <w:divBdr>
        <w:top w:val="none" w:sz="0" w:space="0" w:color="auto"/>
        <w:left w:val="none" w:sz="0" w:space="0" w:color="auto"/>
        <w:bottom w:val="none" w:sz="0" w:space="0" w:color="auto"/>
        <w:right w:val="none" w:sz="0" w:space="0" w:color="auto"/>
      </w:divBdr>
    </w:div>
    <w:div w:id="1547644731">
      <w:bodyDiv w:val="1"/>
      <w:marLeft w:val="0"/>
      <w:marRight w:val="0"/>
      <w:marTop w:val="0"/>
      <w:marBottom w:val="0"/>
      <w:divBdr>
        <w:top w:val="none" w:sz="0" w:space="0" w:color="auto"/>
        <w:left w:val="none" w:sz="0" w:space="0" w:color="auto"/>
        <w:bottom w:val="none" w:sz="0" w:space="0" w:color="auto"/>
        <w:right w:val="none" w:sz="0" w:space="0" w:color="auto"/>
      </w:divBdr>
    </w:div>
    <w:div w:id="1558206304">
      <w:bodyDiv w:val="1"/>
      <w:marLeft w:val="0"/>
      <w:marRight w:val="0"/>
      <w:marTop w:val="0"/>
      <w:marBottom w:val="0"/>
      <w:divBdr>
        <w:top w:val="none" w:sz="0" w:space="0" w:color="auto"/>
        <w:left w:val="none" w:sz="0" w:space="0" w:color="auto"/>
        <w:bottom w:val="none" w:sz="0" w:space="0" w:color="auto"/>
        <w:right w:val="none" w:sz="0" w:space="0" w:color="auto"/>
      </w:divBdr>
    </w:div>
    <w:div w:id="1566145241">
      <w:bodyDiv w:val="1"/>
      <w:marLeft w:val="0"/>
      <w:marRight w:val="0"/>
      <w:marTop w:val="0"/>
      <w:marBottom w:val="0"/>
      <w:divBdr>
        <w:top w:val="none" w:sz="0" w:space="0" w:color="auto"/>
        <w:left w:val="none" w:sz="0" w:space="0" w:color="auto"/>
        <w:bottom w:val="none" w:sz="0" w:space="0" w:color="auto"/>
        <w:right w:val="none" w:sz="0" w:space="0" w:color="auto"/>
      </w:divBdr>
    </w:div>
    <w:div w:id="1575898822">
      <w:bodyDiv w:val="1"/>
      <w:marLeft w:val="0"/>
      <w:marRight w:val="0"/>
      <w:marTop w:val="0"/>
      <w:marBottom w:val="0"/>
      <w:divBdr>
        <w:top w:val="none" w:sz="0" w:space="0" w:color="auto"/>
        <w:left w:val="none" w:sz="0" w:space="0" w:color="auto"/>
        <w:bottom w:val="none" w:sz="0" w:space="0" w:color="auto"/>
        <w:right w:val="none" w:sz="0" w:space="0" w:color="auto"/>
      </w:divBdr>
    </w:div>
    <w:div w:id="1600867344">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36717680">
      <w:bodyDiv w:val="1"/>
      <w:marLeft w:val="0"/>
      <w:marRight w:val="0"/>
      <w:marTop w:val="0"/>
      <w:marBottom w:val="0"/>
      <w:divBdr>
        <w:top w:val="none" w:sz="0" w:space="0" w:color="auto"/>
        <w:left w:val="none" w:sz="0" w:space="0" w:color="auto"/>
        <w:bottom w:val="none" w:sz="0" w:space="0" w:color="auto"/>
        <w:right w:val="none" w:sz="0" w:space="0" w:color="auto"/>
      </w:divBdr>
    </w:div>
    <w:div w:id="1647582896">
      <w:bodyDiv w:val="1"/>
      <w:marLeft w:val="0"/>
      <w:marRight w:val="0"/>
      <w:marTop w:val="0"/>
      <w:marBottom w:val="0"/>
      <w:divBdr>
        <w:top w:val="none" w:sz="0" w:space="0" w:color="auto"/>
        <w:left w:val="none" w:sz="0" w:space="0" w:color="auto"/>
        <w:bottom w:val="none" w:sz="0" w:space="0" w:color="auto"/>
        <w:right w:val="none" w:sz="0" w:space="0" w:color="auto"/>
      </w:divBdr>
    </w:div>
    <w:div w:id="1659924197">
      <w:bodyDiv w:val="1"/>
      <w:marLeft w:val="0"/>
      <w:marRight w:val="0"/>
      <w:marTop w:val="0"/>
      <w:marBottom w:val="0"/>
      <w:divBdr>
        <w:top w:val="none" w:sz="0" w:space="0" w:color="auto"/>
        <w:left w:val="none" w:sz="0" w:space="0" w:color="auto"/>
        <w:bottom w:val="none" w:sz="0" w:space="0" w:color="auto"/>
        <w:right w:val="none" w:sz="0" w:space="0" w:color="auto"/>
      </w:divBdr>
    </w:div>
    <w:div w:id="1690335075">
      <w:bodyDiv w:val="1"/>
      <w:marLeft w:val="0"/>
      <w:marRight w:val="0"/>
      <w:marTop w:val="0"/>
      <w:marBottom w:val="0"/>
      <w:divBdr>
        <w:top w:val="none" w:sz="0" w:space="0" w:color="auto"/>
        <w:left w:val="none" w:sz="0" w:space="0" w:color="auto"/>
        <w:bottom w:val="none" w:sz="0" w:space="0" w:color="auto"/>
        <w:right w:val="none" w:sz="0" w:space="0" w:color="auto"/>
      </w:divBdr>
    </w:div>
    <w:div w:id="1708749936">
      <w:bodyDiv w:val="1"/>
      <w:marLeft w:val="0"/>
      <w:marRight w:val="0"/>
      <w:marTop w:val="0"/>
      <w:marBottom w:val="0"/>
      <w:divBdr>
        <w:top w:val="none" w:sz="0" w:space="0" w:color="auto"/>
        <w:left w:val="none" w:sz="0" w:space="0" w:color="auto"/>
        <w:bottom w:val="none" w:sz="0" w:space="0" w:color="auto"/>
        <w:right w:val="none" w:sz="0" w:space="0" w:color="auto"/>
      </w:divBdr>
    </w:div>
    <w:div w:id="1753157286">
      <w:bodyDiv w:val="1"/>
      <w:marLeft w:val="0"/>
      <w:marRight w:val="0"/>
      <w:marTop w:val="0"/>
      <w:marBottom w:val="0"/>
      <w:divBdr>
        <w:top w:val="none" w:sz="0" w:space="0" w:color="auto"/>
        <w:left w:val="none" w:sz="0" w:space="0" w:color="auto"/>
        <w:bottom w:val="none" w:sz="0" w:space="0" w:color="auto"/>
        <w:right w:val="none" w:sz="0" w:space="0" w:color="auto"/>
      </w:divBdr>
    </w:div>
    <w:div w:id="1765615332">
      <w:bodyDiv w:val="1"/>
      <w:marLeft w:val="0"/>
      <w:marRight w:val="0"/>
      <w:marTop w:val="0"/>
      <w:marBottom w:val="0"/>
      <w:divBdr>
        <w:top w:val="none" w:sz="0" w:space="0" w:color="auto"/>
        <w:left w:val="none" w:sz="0" w:space="0" w:color="auto"/>
        <w:bottom w:val="none" w:sz="0" w:space="0" w:color="auto"/>
        <w:right w:val="none" w:sz="0" w:space="0" w:color="auto"/>
      </w:divBdr>
    </w:div>
    <w:div w:id="1783376919">
      <w:bodyDiv w:val="1"/>
      <w:marLeft w:val="0"/>
      <w:marRight w:val="0"/>
      <w:marTop w:val="0"/>
      <w:marBottom w:val="0"/>
      <w:divBdr>
        <w:top w:val="none" w:sz="0" w:space="0" w:color="auto"/>
        <w:left w:val="none" w:sz="0" w:space="0" w:color="auto"/>
        <w:bottom w:val="none" w:sz="0" w:space="0" w:color="auto"/>
        <w:right w:val="none" w:sz="0" w:space="0" w:color="auto"/>
      </w:divBdr>
    </w:div>
    <w:div w:id="1829516612">
      <w:bodyDiv w:val="1"/>
      <w:marLeft w:val="0"/>
      <w:marRight w:val="0"/>
      <w:marTop w:val="0"/>
      <w:marBottom w:val="0"/>
      <w:divBdr>
        <w:top w:val="none" w:sz="0" w:space="0" w:color="auto"/>
        <w:left w:val="none" w:sz="0" w:space="0" w:color="auto"/>
        <w:bottom w:val="none" w:sz="0" w:space="0" w:color="auto"/>
        <w:right w:val="none" w:sz="0" w:space="0" w:color="auto"/>
      </w:divBdr>
    </w:div>
    <w:div w:id="1854950419">
      <w:bodyDiv w:val="1"/>
      <w:marLeft w:val="0"/>
      <w:marRight w:val="0"/>
      <w:marTop w:val="0"/>
      <w:marBottom w:val="0"/>
      <w:divBdr>
        <w:top w:val="none" w:sz="0" w:space="0" w:color="auto"/>
        <w:left w:val="none" w:sz="0" w:space="0" w:color="auto"/>
        <w:bottom w:val="none" w:sz="0" w:space="0" w:color="auto"/>
        <w:right w:val="none" w:sz="0" w:space="0" w:color="auto"/>
      </w:divBdr>
    </w:div>
    <w:div w:id="1857303094">
      <w:bodyDiv w:val="1"/>
      <w:marLeft w:val="0"/>
      <w:marRight w:val="0"/>
      <w:marTop w:val="0"/>
      <w:marBottom w:val="0"/>
      <w:divBdr>
        <w:top w:val="none" w:sz="0" w:space="0" w:color="auto"/>
        <w:left w:val="none" w:sz="0" w:space="0" w:color="auto"/>
        <w:bottom w:val="none" w:sz="0" w:space="0" w:color="auto"/>
        <w:right w:val="none" w:sz="0" w:space="0" w:color="auto"/>
      </w:divBdr>
    </w:div>
    <w:div w:id="1876111725">
      <w:bodyDiv w:val="1"/>
      <w:marLeft w:val="0"/>
      <w:marRight w:val="0"/>
      <w:marTop w:val="0"/>
      <w:marBottom w:val="0"/>
      <w:divBdr>
        <w:top w:val="none" w:sz="0" w:space="0" w:color="auto"/>
        <w:left w:val="none" w:sz="0" w:space="0" w:color="auto"/>
        <w:bottom w:val="none" w:sz="0" w:space="0" w:color="auto"/>
        <w:right w:val="none" w:sz="0" w:space="0" w:color="auto"/>
      </w:divBdr>
    </w:div>
    <w:div w:id="1913274451">
      <w:bodyDiv w:val="1"/>
      <w:marLeft w:val="0"/>
      <w:marRight w:val="0"/>
      <w:marTop w:val="0"/>
      <w:marBottom w:val="0"/>
      <w:divBdr>
        <w:top w:val="none" w:sz="0" w:space="0" w:color="auto"/>
        <w:left w:val="none" w:sz="0" w:space="0" w:color="auto"/>
        <w:bottom w:val="none" w:sz="0" w:space="0" w:color="auto"/>
        <w:right w:val="none" w:sz="0" w:space="0" w:color="auto"/>
      </w:divBdr>
    </w:div>
    <w:div w:id="1928423695">
      <w:bodyDiv w:val="1"/>
      <w:marLeft w:val="0"/>
      <w:marRight w:val="0"/>
      <w:marTop w:val="0"/>
      <w:marBottom w:val="0"/>
      <w:divBdr>
        <w:top w:val="none" w:sz="0" w:space="0" w:color="auto"/>
        <w:left w:val="none" w:sz="0" w:space="0" w:color="auto"/>
        <w:bottom w:val="none" w:sz="0" w:space="0" w:color="auto"/>
        <w:right w:val="none" w:sz="0" w:space="0" w:color="auto"/>
      </w:divBdr>
    </w:div>
    <w:div w:id="1950771264">
      <w:bodyDiv w:val="1"/>
      <w:marLeft w:val="0"/>
      <w:marRight w:val="0"/>
      <w:marTop w:val="0"/>
      <w:marBottom w:val="0"/>
      <w:divBdr>
        <w:top w:val="none" w:sz="0" w:space="0" w:color="auto"/>
        <w:left w:val="none" w:sz="0" w:space="0" w:color="auto"/>
        <w:bottom w:val="none" w:sz="0" w:space="0" w:color="auto"/>
        <w:right w:val="none" w:sz="0" w:space="0" w:color="auto"/>
      </w:divBdr>
    </w:div>
    <w:div w:id="1994335390">
      <w:bodyDiv w:val="1"/>
      <w:marLeft w:val="0"/>
      <w:marRight w:val="0"/>
      <w:marTop w:val="0"/>
      <w:marBottom w:val="0"/>
      <w:divBdr>
        <w:top w:val="none" w:sz="0" w:space="0" w:color="auto"/>
        <w:left w:val="none" w:sz="0" w:space="0" w:color="auto"/>
        <w:bottom w:val="none" w:sz="0" w:space="0" w:color="auto"/>
        <w:right w:val="none" w:sz="0" w:space="0" w:color="auto"/>
      </w:divBdr>
    </w:div>
    <w:div w:id="1997881731">
      <w:bodyDiv w:val="1"/>
      <w:marLeft w:val="0"/>
      <w:marRight w:val="0"/>
      <w:marTop w:val="0"/>
      <w:marBottom w:val="0"/>
      <w:divBdr>
        <w:top w:val="none" w:sz="0" w:space="0" w:color="auto"/>
        <w:left w:val="none" w:sz="0" w:space="0" w:color="auto"/>
        <w:bottom w:val="none" w:sz="0" w:space="0" w:color="auto"/>
        <w:right w:val="none" w:sz="0" w:space="0" w:color="auto"/>
      </w:divBdr>
    </w:div>
    <w:div w:id="2000839818">
      <w:bodyDiv w:val="1"/>
      <w:marLeft w:val="0"/>
      <w:marRight w:val="0"/>
      <w:marTop w:val="0"/>
      <w:marBottom w:val="0"/>
      <w:divBdr>
        <w:top w:val="none" w:sz="0" w:space="0" w:color="auto"/>
        <w:left w:val="none" w:sz="0" w:space="0" w:color="auto"/>
        <w:bottom w:val="none" w:sz="0" w:space="0" w:color="auto"/>
        <w:right w:val="none" w:sz="0" w:space="0" w:color="auto"/>
      </w:divBdr>
    </w:div>
    <w:div w:id="2010597650">
      <w:bodyDiv w:val="1"/>
      <w:marLeft w:val="0"/>
      <w:marRight w:val="0"/>
      <w:marTop w:val="0"/>
      <w:marBottom w:val="0"/>
      <w:divBdr>
        <w:top w:val="none" w:sz="0" w:space="0" w:color="auto"/>
        <w:left w:val="none" w:sz="0" w:space="0" w:color="auto"/>
        <w:bottom w:val="none" w:sz="0" w:space="0" w:color="auto"/>
        <w:right w:val="none" w:sz="0" w:space="0" w:color="auto"/>
      </w:divBdr>
    </w:div>
    <w:div w:id="2080135374">
      <w:bodyDiv w:val="1"/>
      <w:marLeft w:val="0"/>
      <w:marRight w:val="0"/>
      <w:marTop w:val="0"/>
      <w:marBottom w:val="0"/>
      <w:divBdr>
        <w:top w:val="none" w:sz="0" w:space="0" w:color="auto"/>
        <w:left w:val="none" w:sz="0" w:space="0" w:color="auto"/>
        <w:bottom w:val="none" w:sz="0" w:space="0" w:color="auto"/>
        <w:right w:val="none" w:sz="0" w:space="0" w:color="auto"/>
      </w:divBdr>
    </w:div>
    <w:div w:id="2105372951">
      <w:bodyDiv w:val="1"/>
      <w:marLeft w:val="0"/>
      <w:marRight w:val="0"/>
      <w:marTop w:val="0"/>
      <w:marBottom w:val="0"/>
      <w:divBdr>
        <w:top w:val="none" w:sz="0" w:space="0" w:color="auto"/>
        <w:left w:val="none" w:sz="0" w:space="0" w:color="auto"/>
        <w:bottom w:val="none" w:sz="0" w:space="0" w:color="auto"/>
        <w:right w:val="none" w:sz="0" w:space="0" w:color="auto"/>
      </w:divBdr>
    </w:div>
    <w:div w:id="211342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CF4B6-ABF2-483A-AB5B-41DD19A5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1443</Words>
  <Characters>8660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BARCZ</dc:creator>
  <cp:lastModifiedBy>Andżelika Błaszczyk-Knop</cp:lastModifiedBy>
  <cp:revision>2</cp:revision>
  <cp:lastPrinted>2015-08-13T07:51:00Z</cp:lastPrinted>
  <dcterms:created xsi:type="dcterms:W3CDTF">2025-08-19T06:45:00Z</dcterms:created>
  <dcterms:modified xsi:type="dcterms:W3CDTF">2025-08-19T06:45:00Z</dcterms:modified>
</cp:coreProperties>
</file>