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02" w:rsidRPr="002E3F02" w:rsidRDefault="002E3F02" w:rsidP="002E3F02">
      <w:pPr>
        <w:pStyle w:val="Akapitzlist"/>
        <w:ind w:left="0"/>
        <w:jc w:val="center"/>
        <w:rPr>
          <w:rFonts w:ascii="Calibri" w:hAnsi="Calibri" w:cs="Calibri"/>
          <w:b/>
          <w:sz w:val="32"/>
          <w:szCs w:val="32"/>
        </w:rPr>
      </w:pPr>
      <w:r w:rsidRPr="002E3F02">
        <w:rPr>
          <w:rFonts w:ascii="Calibri" w:hAnsi="Calibri" w:cs="Calibri"/>
          <w:b/>
          <w:sz w:val="32"/>
          <w:szCs w:val="32"/>
        </w:rPr>
        <w:t>Pytania i odpowiedzi – Działanie 5.6</w:t>
      </w:r>
      <w:r>
        <w:rPr>
          <w:rFonts w:ascii="Calibri" w:hAnsi="Calibri" w:cs="Calibri"/>
          <w:b/>
          <w:sz w:val="32"/>
          <w:szCs w:val="32"/>
        </w:rPr>
        <w:t xml:space="preserve"> Edukacja przedszkolna</w:t>
      </w:r>
    </w:p>
    <w:p w:rsidR="00B416FA" w:rsidRDefault="00B416FA" w:rsidP="00B416FA">
      <w:pPr>
        <w:pStyle w:val="Akapitzlist"/>
        <w:ind w:left="738"/>
        <w:rPr>
          <w:b/>
        </w:rPr>
      </w:pPr>
    </w:p>
    <w:p w:rsidR="009B2C00" w:rsidRPr="009B2C00" w:rsidRDefault="009B2C00" w:rsidP="008743D5">
      <w:pPr>
        <w:pStyle w:val="Akapitzlist"/>
        <w:numPr>
          <w:ilvl w:val="0"/>
          <w:numId w:val="1"/>
        </w:numPr>
        <w:tabs>
          <w:tab w:val="num" w:pos="567"/>
        </w:tabs>
        <w:ind w:left="284" w:hanging="284"/>
        <w:rPr>
          <w:b/>
        </w:rPr>
      </w:pPr>
      <w:r w:rsidRPr="009B2C00">
        <w:rPr>
          <w:b/>
        </w:rPr>
        <w:t>Proszę o informację czy w ramach konkursu z dz</w:t>
      </w:r>
      <w:r w:rsidR="00B416FA">
        <w:rPr>
          <w:b/>
        </w:rPr>
        <w:t>iałania</w:t>
      </w:r>
      <w:r w:rsidRPr="009B2C00">
        <w:rPr>
          <w:b/>
        </w:rPr>
        <w:t xml:space="preserve"> 5.6 Edukac</w:t>
      </w:r>
      <w:r w:rsidR="00B416FA">
        <w:rPr>
          <w:b/>
        </w:rPr>
        <w:t>ja przedszkolna aby spełnić pkt</w:t>
      </w:r>
      <w:r w:rsidRPr="009B2C00">
        <w:rPr>
          <w:b/>
        </w:rPr>
        <w:t xml:space="preserve"> nr 10 Regulaminu konkursu odnośnie 30 miesięcy realizacji projektu dotyczy wyłącznie okresu rzeczowego realizacji. Czy do tego okresu należy wliczyć również okres zakończenia finansowego projektu? Czy jednak zakończenie finansowe (maksymalnie 60 dni) może</w:t>
      </w:r>
      <w:r w:rsidR="008743D5">
        <w:rPr>
          <w:b/>
        </w:rPr>
        <w:t xml:space="preserve"> "biec" po </w:t>
      </w:r>
      <w:r w:rsidRPr="009B2C00">
        <w:rPr>
          <w:b/>
        </w:rPr>
        <w:t>okresie rzeczowej realizacji projektu i w tym przypadku okres realizacji będzie dłuższy niż 30 miesięcy.</w:t>
      </w:r>
    </w:p>
    <w:p w:rsidR="00291578" w:rsidRPr="009B2C00" w:rsidRDefault="009B2C00" w:rsidP="009B2C00">
      <w:r w:rsidRPr="009B2C00">
        <w:t xml:space="preserve">Chociaż nie jest to uregulowane w regulaminie wyboru projektów, należy przyjąć, że okres pomiędzy rozpoczęciem realizacji projektu a jego zakończeniem rzeczowym nie może przekraczać 30 miesięcy. </w:t>
      </w:r>
      <w:r w:rsidRPr="009B2C00">
        <w:br/>
        <w:t>Ponadto zalecamy aby okres zakończenia rzeczowej i finansowej realizacji projektu był taki sam, gdyż w przypadku projektów współfinansowanych ze środków EFS + nie jest zasadne rozróżnianie zakończenia rzeczowego i finansowego realizacji projektu.</w:t>
      </w:r>
    </w:p>
    <w:p w:rsidR="002F6912" w:rsidRPr="002F6912" w:rsidRDefault="002F6912" w:rsidP="008743D5">
      <w:pPr>
        <w:pStyle w:val="Akapitzlist"/>
        <w:numPr>
          <w:ilvl w:val="0"/>
          <w:numId w:val="1"/>
        </w:numPr>
        <w:tabs>
          <w:tab w:val="num" w:pos="567"/>
        </w:tabs>
        <w:ind w:left="284" w:hanging="284"/>
        <w:rPr>
          <w:b/>
        </w:rPr>
      </w:pPr>
      <w:r w:rsidRPr="002F6912">
        <w:rPr>
          <w:b/>
        </w:rPr>
        <w:t xml:space="preserve">Proszę o uściślenie, w jaki sposób należy odróżnić pomoce do </w:t>
      </w:r>
      <w:r w:rsidR="008743D5">
        <w:rPr>
          <w:b/>
        </w:rPr>
        <w:t>zajęć od sprzętów wchodzących w </w:t>
      </w:r>
      <w:r w:rsidRPr="002F6912">
        <w:rPr>
          <w:b/>
        </w:rPr>
        <w:t>limit zakupów poza cross-</w:t>
      </w:r>
      <w:proofErr w:type="spellStart"/>
      <w:r w:rsidRPr="002F6912">
        <w:rPr>
          <w:b/>
        </w:rPr>
        <w:t>financingiem</w:t>
      </w:r>
      <w:proofErr w:type="spellEnd"/>
      <w:r w:rsidRPr="002F6912">
        <w:rPr>
          <w:b/>
        </w:rPr>
        <w:t xml:space="preserve"> (np. 30% dla typu projek</w:t>
      </w:r>
      <w:r w:rsidR="008743D5">
        <w:rPr>
          <w:b/>
        </w:rPr>
        <w:t>tu dot. edukacji włączającej) i </w:t>
      </w:r>
      <w:r w:rsidRPr="002F6912">
        <w:rPr>
          <w:b/>
        </w:rPr>
        <w:t>czy limity się sumują. Tzn. zakup sprzętów do zajęć (np. tablice interaktywne, sprzęty terapeutyczne) do 30% wartości projektu zgodnie z punktem 21 regulaminu plus do 30% wartości danego typu projektu na inne sprzęty (np. terapeutyczne, muzyczne) - zgodnie z pkt.</w:t>
      </w:r>
      <w:r w:rsidR="008743D5">
        <w:rPr>
          <w:b/>
        </w:rPr>
        <w:t xml:space="preserve"> </w:t>
      </w:r>
      <w:r w:rsidRPr="002F6912">
        <w:rPr>
          <w:b/>
        </w:rPr>
        <w:t>7 regulaminu.</w:t>
      </w:r>
    </w:p>
    <w:p w:rsidR="002F6912" w:rsidRPr="002F6912" w:rsidRDefault="002F6912" w:rsidP="002F6912">
      <w:r w:rsidRPr="002F6912">
        <w:t>Zakup mebli, sprzętów i pojazdów może być wliczony do limitu cross-</w:t>
      </w:r>
      <w:proofErr w:type="spellStart"/>
      <w:r w:rsidRPr="002F6912">
        <w:t>financingu</w:t>
      </w:r>
      <w:proofErr w:type="spellEnd"/>
      <w:r w:rsidRPr="002F6912">
        <w:t xml:space="preserve"> lub może być kwalifikowalny w ramach EFS+ poza cross-</w:t>
      </w:r>
      <w:proofErr w:type="spellStart"/>
      <w:r w:rsidRPr="002F6912">
        <w:t>financingiem</w:t>
      </w:r>
      <w:proofErr w:type="spellEnd"/>
      <w:r w:rsidRPr="002F6912">
        <w:t>. Zasady kwalifikowania ww. wydatków do limitu cross-</w:t>
      </w:r>
      <w:proofErr w:type="spellStart"/>
      <w:r w:rsidRPr="002F6912">
        <w:t>financingu</w:t>
      </w:r>
      <w:proofErr w:type="spellEnd"/>
      <w:r w:rsidRPr="002F6912">
        <w:t xml:space="preserve"> regulują zapisy podrozdziału 2.4 pkt 6 lit. c) Wytycznych dotyczących kwalifikowalności wydatków na lata 2021-2027. Zgodnie z ww. z</w:t>
      </w:r>
      <w:r>
        <w:t>apisami zakup mebli, sprzętów i </w:t>
      </w:r>
      <w:r w:rsidRPr="002F6912">
        <w:t>pojazdów jest objęty cross-</w:t>
      </w:r>
      <w:proofErr w:type="spellStart"/>
      <w:r w:rsidRPr="002F6912">
        <w:t>financingiem</w:t>
      </w:r>
      <w:proofErr w:type="spellEnd"/>
      <w:r w:rsidRPr="002F6912">
        <w:t xml:space="preserve"> </w:t>
      </w:r>
      <w:r w:rsidRPr="002F6912">
        <w:rPr>
          <w:u w:val="single"/>
        </w:rPr>
        <w:t>z wyjątkiem sytuacji</w:t>
      </w:r>
      <w:r w:rsidRPr="002F6912">
        <w:t>, gdy:</w:t>
      </w:r>
    </w:p>
    <w:p w:rsidR="002F6912" w:rsidRPr="002F6912" w:rsidRDefault="002F6912" w:rsidP="008743D5">
      <w:pPr>
        <w:numPr>
          <w:ilvl w:val="0"/>
          <w:numId w:val="5"/>
        </w:numPr>
        <w:ind w:left="567" w:hanging="283"/>
      </w:pPr>
      <w:r w:rsidRPr="002F6912">
        <w:t>zakupy te zostaną zamortyzowane w całości w okresie realizacji projektu, z zastrzeżeniem podrozdziału 3.7, lub</w:t>
      </w:r>
    </w:p>
    <w:p w:rsidR="002F6912" w:rsidRPr="002F6912" w:rsidRDefault="002F6912" w:rsidP="008743D5">
      <w:pPr>
        <w:numPr>
          <w:ilvl w:val="0"/>
          <w:numId w:val="5"/>
        </w:numPr>
        <w:ind w:left="567" w:hanging="283"/>
      </w:pPr>
      <w:r w:rsidRPr="002F6912">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 uzasadnienie zakupu jako najbardziej opłacalnej opcji powinno wyn</w:t>
      </w:r>
      <w:r w:rsidR="008743D5">
        <w:t>ikać z zatwierdzonego wniosku o </w:t>
      </w:r>
      <w:r w:rsidRPr="002F6912">
        <w:t>dofinansowanie projektu, lub</w:t>
      </w:r>
    </w:p>
    <w:p w:rsidR="002F6912" w:rsidRPr="002F6912" w:rsidRDefault="002F6912" w:rsidP="008743D5">
      <w:pPr>
        <w:numPr>
          <w:ilvl w:val="0"/>
          <w:numId w:val="5"/>
        </w:numPr>
        <w:ind w:left="567" w:hanging="283"/>
      </w:pPr>
      <w:r w:rsidRPr="002F6912">
        <w:t>zakupy te są konieczne dla osiągniecia celów projektu (np. doposażenie pracowni naukowych); uzasadnienie konieczności tych zakupów powinno wynikać z zatwierdzonego wniosku o dofinansowanie projektu (za niezasadny należy uznać zakup sprzętu dokonanego w celu wspomagania procesu wdrażania projektu, np. zakup komputerów na potrzeby szkolenia osób bezrobotnych).</w:t>
      </w:r>
    </w:p>
    <w:p w:rsidR="002F6912" w:rsidRPr="002F6912" w:rsidRDefault="002F6912" w:rsidP="002F6912">
      <w:r w:rsidRPr="002F6912">
        <w:t xml:space="preserve">Warunki z </w:t>
      </w:r>
      <w:proofErr w:type="spellStart"/>
      <w:r w:rsidRPr="002F6912">
        <w:t>tiretów</w:t>
      </w:r>
      <w:proofErr w:type="spellEnd"/>
      <w:r w:rsidRPr="002F6912">
        <w:t xml:space="preserve"> i-iii są rozłączne, co oznacza, że w przypadku spełnienia któregokolwiek z nich, zakup mebli, sprzętu i pojazdów może być kwalifikowalny w ramach EFS+ poza cross-</w:t>
      </w:r>
      <w:proofErr w:type="spellStart"/>
      <w:r w:rsidRPr="002F6912">
        <w:t>financingiem</w:t>
      </w:r>
      <w:proofErr w:type="spellEnd"/>
      <w:r w:rsidRPr="002F6912">
        <w:t xml:space="preserve">. </w:t>
      </w:r>
      <w:r w:rsidRPr="002F6912">
        <w:lastRenderedPageBreak/>
        <w:t>Podkreślam, że zakup mebli, sprzętu i pojazdów niespełniający żadnego z ww. warunków stanowi cross-</w:t>
      </w:r>
      <w:proofErr w:type="spellStart"/>
      <w:r w:rsidRPr="002F6912">
        <w:t>financing</w:t>
      </w:r>
      <w:proofErr w:type="spellEnd"/>
      <w:r w:rsidRPr="002F6912">
        <w:t>.</w:t>
      </w:r>
    </w:p>
    <w:p w:rsidR="002F6912" w:rsidRPr="002F6912" w:rsidRDefault="002F6912" w:rsidP="002F6912">
      <w:pPr>
        <w:rPr>
          <w:u w:val="single"/>
        </w:rPr>
      </w:pPr>
      <w:r w:rsidRPr="002F6912">
        <w:rPr>
          <w:u w:val="single"/>
        </w:rPr>
        <w:t>W opinii IP, katalog ww. warunków jest tak szeroki, że w zasadzie rzadko zakup mebli, sprzętu lub pojazdów będzie stanowił cross-</w:t>
      </w:r>
      <w:proofErr w:type="spellStart"/>
      <w:r w:rsidRPr="002F6912">
        <w:rPr>
          <w:u w:val="single"/>
        </w:rPr>
        <w:t>financing</w:t>
      </w:r>
      <w:proofErr w:type="spellEnd"/>
      <w:r w:rsidRPr="002F6912">
        <w:rPr>
          <w:u w:val="single"/>
        </w:rPr>
        <w:t>.</w:t>
      </w:r>
    </w:p>
    <w:p w:rsidR="002F6912" w:rsidRPr="002F6912" w:rsidRDefault="002F6912" w:rsidP="002F6912">
      <w:pPr>
        <w:rPr>
          <w:bCs/>
        </w:rPr>
      </w:pPr>
      <w:r w:rsidRPr="002F6912">
        <w:rPr>
          <w:bCs/>
        </w:rPr>
        <w:t>Jednocześnie wyjaśniam, że wyznaczony w ramach 3, 4 i 5 typu projektu limit na</w:t>
      </w:r>
      <w:r w:rsidRPr="002F6912">
        <w:t xml:space="preserve"> </w:t>
      </w:r>
      <w:r w:rsidRPr="002F6912">
        <w:rPr>
          <w:bCs/>
        </w:rPr>
        <w:t>zakup mebli, sprzętu i pojazdów nie może przekraczać 30% wartości środków w ramach k</w:t>
      </w:r>
      <w:r>
        <w:rPr>
          <w:bCs/>
        </w:rPr>
        <w:t>ażdego z ww. typów projektu tj. </w:t>
      </w:r>
      <w:r w:rsidRPr="002F6912">
        <w:rPr>
          <w:bCs/>
        </w:rPr>
        <w:t xml:space="preserve">30% w ramach 3, 30% w ramach 4 i 30% w ramach 5 typu projektu. Przykład: jeśli w projekcie zaplanowano realizację wszystkich ww. typów projektu, przy czym wydatki w ramach </w:t>
      </w:r>
      <w:bookmarkStart w:id="0" w:name="_Hlk140607607"/>
      <w:r w:rsidRPr="002F6912">
        <w:rPr>
          <w:bCs/>
        </w:rPr>
        <w:t>3 typu projektu wynoszą 100 000 PLN, w ramach 4 typu projektu - 150 000 PLN</w:t>
      </w:r>
      <w:bookmarkEnd w:id="0"/>
      <w:r w:rsidRPr="002F6912">
        <w:rPr>
          <w:bCs/>
        </w:rPr>
        <w:t>, a w ramach 5 typu projektu - 90 000 PLN, wówczas na zakup mebli, sprzętu i pojazdów można wykor</w:t>
      </w:r>
      <w:r>
        <w:rPr>
          <w:bCs/>
        </w:rPr>
        <w:t>zystać maksymalnie 30 000 PLN z </w:t>
      </w:r>
      <w:r w:rsidRPr="002F6912">
        <w:rPr>
          <w:bCs/>
        </w:rPr>
        <w:t>kwoty 100 000 PLN w ramach 3 typu projektu, 45 000 PLN z kwoty 150 000 PLN w ramach 4 typu projektu oraz 27 000 PLN z kwoty 90 000 PLN w ramach 5 typu projektu. Ogółem, w ramach przykładowego projektu, na zakup mebli, sprzętu i pojazdów może zostać wykorzystane maksymalnie 102 000 PLN.</w:t>
      </w:r>
    </w:p>
    <w:p w:rsidR="002F6912" w:rsidRPr="002F6912" w:rsidRDefault="002F6912" w:rsidP="002F6912">
      <w:r w:rsidRPr="002F6912">
        <w:t xml:space="preserve">W związku z tym, że w dokumentacji konkursowej nie wskazano co należy rozumieć pod pojęciem „sprzęt”, na potrzeby przygotowania, oceny, realizacji, rozliczenia i kontroli projektów zastosowanie będzie miała powszechnie przyjęta jego definicja, zgodnie z którą do sprzętów zaliczymy  co do zasady urządzenia elektryczne i elektroniczne. W ramach działania 5.6 </w:t>
      </w:r>
      <w:r w:rsidRPr="002F6912">
        <w:rPr>
          <w:i/>
        </w:rPr>
        <w:t xml:space="preserve">Edukacja przedszkolna </w:t>
      </w:r>
      <w:r w:rsidRPr="002F6912">
        <w:t xml:space="preserve">będą to np. podłoga interaktywna, mobilna podłoga interaktywna z aplikacją do kodowania, monitor interaktywny, magiczna ściana interaktywna, tablica interaktywna, projektor, laptop z systemem operacyjnym, tablet, urządzenie wielofunkcyjne, </w:t>
      </w:r>
      <w:proofErr w:type="spellStart"/>
      <w:r w:rsidRPr="002F6912">
        <w:t>wizualizer</w:t>
      </w:r>
      <w:proofErr w:type="spellEnd"/>
      <w:r w:rsidRPr="002F6912">
        <w:t xml:space="preserve">, drukarka, telewizor, rzutnik, radioodtwarzacz, sprzęt nagłaśniający,  mikroskop, roboty do kodowania itp. </w:t>
      </w:r>
    </w:p>
    <w:p w:rsidR="002F6912" w:rsidRPr="002F6912" w:rsidRDefault="002F6912" w:rsidP="002F6912">
      <w:r w:rsidRPr="002F6912">
        <w:t xml:space="preserve">Jeśli chodzi o pomoce dydaktyczne zaliczymy do nich: materiały plastyczne, artykuły papierowe, instrumenty muzyczne (za wyjątkiem elektrycznych), rekwizyty, tkaniny, maski, zestawy klocków, dywan edukacyjny, zabawki sensoryczne, pomoce do ćwiczeń sensorycznych oraz ćwiczeń korekcyjno-ruchowych, globus, lupa, kompas, trampolina z poręczą, płotek składany do zabaw ruchowych, kładka równoważna, puzzle, karty do kodowania, krążki, maty, programy multimedialne dla dzieci z wadami wymowy, chusta animacyjna itp. </w:t>
      </w:r>
    </w:p>
    <w:p w:rsidR="002F6912" w:rsidRPr="002F6912" w:rsidRDefault="002F6912" w:rsidP="008743D5">
      <w:pPr>
        <w:pStyle w:val="Akapitzlist"/>
        <w:numPr>
          <w:ilvl w:val="0"/>
          <w:numId w:val="1"/>
        </w:numPr>
        <w:tabs>
          <w:tab w:val="num" w:pos="567"/>
        </w:tabs>
        <w:ind w:left="284" w:hanging="284"/>
        <w:rPr>
          <w:b/>
        </w:rPr>
      </w:pPr>
      <w:r w:rsidRPr="002F6912">
        <w:rPr>
          <w:b/>
        </w:rPr>
        <w:t>Mam również pytanie o współpracę transgraniczna (ponadnarodową) – w dokumentacji nie mogłam znaleźć jakiejkolwiek informacji o dopuszczalności lub niedopuszczalności takich działań. W wytycznych dot. realizacji EFS+ termin „tran</w:t>
      </w:r>
      <w:r w:rsidR="008743D5">
        <w:rPr>
          <w:b/>
        </w:rPr>
        <w:t>sgraniczny” pojawia się tylko w </w:t>
      </w:r>
      <w:r w:rsidRPr="002F6912">
        <w:rPr>
          <w:b/>
        </w:rPr>
        <w:t>kontekście Projekty EURES dla PSZ, a „ponadnarodowy” w ustawie wdrożeniowej tylko</w:t>
      </w:r>
      <w:r>
        <w:rPr>
          <w:b/>
        </w:rPr>
        <w:t xml:space="preserve"> w </w:t>
      </w:r>
      <w:r w:rsidRPr="002F6912">
        <w:rPr>
          <w:b/>
        </w:rPr>
        <w:t>kontekście wyboru partnera. W Szopie jest przy celu 2. 1.5.4 (f) podpunkt Działania międzyregionalne, transgraniczne i transnarodowe, ale wskazuje się tam tylko na synergię działań i naukę języków obcych. Praktycznie pytanie jest takie, czy w ramach planowanego projektu możemy przeprowadzić działania związane ze</w:t>
      </w:r>
      <w:r>
        <w:rPr>
          <w:b/>
        </w:rPr>
        <w:t xml:space="preserve"> współpracą kadry przedszkola z </w:t>
      </w:r>
      <w:r w:rsidRPr="002F6912">
        <w:rPr>
          <w:b/>
        </w:rPr>
        <w:t>terenów przygranicznych z przedszkolem w Czechach. Cho</w:t>
      </w:r>
      <w:r>
        <w:rPr>
          <w:b/>
        </w:rPr>
        <w:t>dziłoby o wymianę doświadczeń w </w:t>
      </w:r>
      <w:r w:rsidRPr="002F6912">
        <w:rPr>
          <w:b/>
        </w:rPr>
        <w:t>obszarze związanym z edukacją włączającą. Ponadto chcielibyśmy umożliwić naszy</w:t>
      </w:r>
      <w:r w:rsidR="008743D5">
        <w:rPr>
          <w:b/>
        </w:rPr>
        <w:t>m dzieciom kontakt z </w:t>
      </w:r>
      <w:r w:rsidRPr="002F6912">
        <w:rPr>
          <w:b/>
        </w:rPr>
        <w:t>dziećmi z przedszkola z Czech, np. w po</w:t>
      </w:r>
      <w:r>
        <w:rPr>
          <w:b/>
        </w:rPr>
        <w:t>staci wycieczki krajoznawczej w </w:t>
      </w:r>
      <w:r w:rsidRPr="002F6912">
        <w:rPr>
          <w:b/>
        </w:rPr>
        <w:t>grupie mieszanej oraz zorganizowania dnia współpra</w:t>
      </w:r>
      <w:r>
        <w:rPr>
          <w:b/>
        </w:rPr>
        <w:t>cy w formie zabaw i konkursów w </w:t>
      </w:r>
      <w:r w:rsidRPr="002F6912">
        <w:rPr>
          <w:b/>
        </w:rPr>
        <w:t>naszym przedszkolu. Zakładamy, że udział dzieci z Czech wiązałby się tylko z koszt</w:t>
      </w:r>
      <w:r>
        <w:rPr>
          <w:b/>
        </w:rPr>
        <w:t>ami w </w:t>
      </w:r>
      <w:r w:rsidRPr="002F6912">
        <w:rPr>
          <w:b/>
        </w:rPr>
        <w:t>rodzaju poczęstunku, natomiast przewóz i opieka nad dziećmi z Czech zostałyby sfinansowane przez gminę czeską.</w:t>
      </w:r>
    </w:p>
    <w:p w:rsidR="002F6912" w:rsidRPr="002F6912" w:rsidRDefault="002F6912" w:rsidP="002F6912">
      <w:r w:rsidRPr="002F6912">
        <w:lastRenderedPageBreak/>
        <w:t xml:space="preserve">Jeśli chodzi o współpracę z zagraniczną placówką wychowania przedszkolnego, to należy zaznaczyć, że projekty w ramach działania 5.6 FEO 2021-2027 nie są projektami współpracy ponadnarodowej.  Możliwość współpracy z zagraniczną placówką wychowania przedszkolnego będzie możliwa jeżeli będzie stanowiła wyłącznie element realizowanego projektu </w:t>
      </w:r>
      <w:r w:rsidR="00EE639C">
        <w:t>oraz o ile będzie uzasadniona w </w:t>
      </w:r>
      <w:bookmarkStart w:id="1" w:name="_GoBack"/>
      <w:bookmarkEnd w:id="1"/>
      <w:r w:rsidRPr="002F6912">
        <w:t>szczególności w kontekście celu projektu. Zaznaczam przy tym, że dzieci spoza przedszkola obejmowanego wsparciem (dzieci uczęszczające do przedszkola z Czech) nie stanową grupy docelowej w projekcie i mogą brać udział wyłącznie w działaniach ogólnodostępnych.</w:t>
      </w:r>
    </w:p>
    <w:p w:rsidR="002F6912" w:rsidRPr="002F6912" w:rsidRDefault="002F6912" w:rsidP="008743D5">
      <w:pPr>
        <w:pStyle w:val="Akapitzlist"/>
        <w:numPr>
          <w:ilvl w:val="0"/>
          <w:numId w:val="1"/>
        </w:numPr>
        <w:tabs>
          <w:tab w:val="num" w:pos="567"/>
        </w:tabs>
        <w:ind w:left="284" w:hanging="284"/>
        <w:rPr>
          <w:b/>
        </w:rPr>
      </w:pPr>
      <w:r w:rsidRPr="002F6912">
        <w:rPr>
          <w:b/>
        </w:rPr>
        <w:t>Czy jednostka ochotniczej straży pożarnej spełnia kr</w:t>
      </w:r>
      <w:r>
        <w:rPr>
          <w:b/>
        </w:rPr>
        <w:t>yteria odpowiednie do udziału w </w:t>
      </w:r>
      <w:r w:rsidRPr="002F6912">
        <w:rPr>
          <w:b/>
        </w:rPr>
        <w:t>projekcie jako partner. Planowane jest zorganizowanie przez nich zajęć dotyczących pomocy przedmedycznej (dostosowanych do możliwości percepcji starszaków).</w:t>
      </w:r>
    </w:p>
    <w:p w:rsidR="002F6912" w:rsidRPr="002F6912" w:rsidRDefault="002F6912" w:rsidP="002F6912">
      <w:r w:rsidRPr="002F6912">
        <w:t xml:space="preserve">Rodzaj potencjalnych Beneficjentów dla działania 5.6 </w:t>
      </w:r>
      <w:r w:rsidRPr="002F6912">
        <w:rPr>
          <w:i/>
        </w:rPr>
        <w:t>Edukacja przedszkolna</w:t>
      </w:r>
      <w:r w:rsidRPr="002F6912">
        <w:t xml:space="preserve"> (</w:t>
      </w:r>
      <w:r w:rsidRPr="002F6912">
        <w:rPr>
          <w:u w:val="single"/>
        </w:rPr>
        <w:t>za których należy rozumieć zarówno Wnioskodawcę jak i Partnerów</w:t>
      </w:r>
      <w:r w:rsidRPr="002F6912">
        <w:t xml:space="preserve">) został wskazany w Szczegółowym Opisie Priorytetów Programu Fundusze Europejskie dla Opolskiego 2021-2027 (wersja SZOP.FEOP.004) oraz regulaminie wyboru projektów. Zgodnie z zapisami ww. dokumentów Beneficjentem i Partnerem  mogą być </w:t>
      </w:r>
      <w:r w:rsidRPr="002F6912">
        <w:rPr>
          <w:u w:val="single"/>
        </w:rPr>
        <w:t>organizacje pozarządowe</w:t>
      </w:r>
      <w:r w:rsidRPr="002F6912">
        <w:t xml:space="preserve"> (pkt 8 Regulaminu wyboru projektów, Typ beneficjenta szczegółowy- organizacje pozarządowe).</w:t>
      </w:r>
      <w:r w:rsidRPr="002F6912">
        <w:rPr>
          <w:b/>
        </w:rPr>
        <w:t xml:space="preserve"> </w:t>
      </w:r>
      <w:r w:rsidRPr="002F6912">
        <w:t xml:space="preserve">Jednostka ochotniczej straży pożarnej jest organizacją pozarządową działającą na podstawie ustawy z dnia 17 grudnia 2021 r. o </w:t>
      </w:r>
      <w:r w:rsidRPr="002F6912">
        <w:rPr>
          <w:i/>
          <w:iCs/>
        </w:rPr>
        <w:t>ochotniczych strażach pożarnych</w:t>
      </w:r>
      <w:r w:rsidRPr="002F6912">
        <w:t xml:space="preserve"> (</w:t>
      </w:r>
      <w:proofErr w:type="spellStart"/>
      <w:r w:rsidRPr="002F6912">
        <w:t>t.j</w:t>
      </w:r>
      <w:proofErr w:type="spellEnd"/>
      <w:r w:rsidRPr="002F6912">
        <w:t>. Dz.U. 2023 poz. 194 ze zm.), która w art. 1 ust.1 wskazuje, że ochotnicze straże pożarne to jednostki ochrony przeciwpożarowej będące stowarzysze</w:t>
      </w:r>
      <w:r>
        <w:t>niami w rozumieniu ustawy z </w:t>
      </w:r>
      <w:r w:rsidRPr="002F6912">
        <w:t>dnia 7 kwietnia 1989 r. – Prawo o stowarzyszeniach (Dz. U. z 2020 r. poz. 2261).</w:t>
      </w:r>
    </w:p>
    <w:p w:rsidR="002F6912" w:rsidRPr="002F6912" w:rsidRDefault="002F6912" w:rsidP="002F6912">
      <w:pPr>
        <w:rPr>
          <w:i/>
          <w:iCs/>
        </w:rPr>
      </w:pPr>
      <w:r w:rsidRPr="002F6912">
        <w:t xml:space="preserve">Zaznaczam jednocześnie, że zasadność zawarcia partnerstwa będzie podlegała ocenie przez członków Komisji Oceny Projektów m.in. w ramach kryterium merytorycznego uniwersalnego punktowanego nr 3 pn. </w:t>
      </w:r>
      <w:r w:rsidRPr="002F6912">
        <w:rPr>
          <w:i/>
          <w:iCs/>
        </w:rPr>
        <w:t>Trafność doboru i opisu zadań  przewidzianych do realizacji w ramach projektu.</w:t>
      </w:r>
    </w:p>
    <w:p w:rsidR="00003014" w:rsidRPr="00DA56E3" w:rsidRDefault="00DA56E3" w:rsidP="00DA56E3">
      <w:pPr>
        <w:pStyle w:val="Akapitzlist"/>
        <w:numPr>
          <w:ilvl w:val="0"/>
          <w:numId w:val="1"/>
        </w:numPr>
        <w:tabs>
          <w:tab w:val="num" w:pos="567"/>
        </w:tabs>
        <w:ind w:left="284" w:hanging="284"/>
        <w:rPr>
          <w:rFonts w:cstheme="minorHAnsi"/>
          <w:b/>
        </w:rPr>
      </w:pPr>
      <w:r w:rsidRPr="00DA56E3">
        <w:rPr>
          <w:rFonts w:cstheme="minorHAnsi"/>
          <w:b/>
        </w:rPr>
        <w:t>Proszę o ustosunkowanie się do zapisu:</w:t>
      </w:r>
    </w:p>
    <w:p w:rsidR="00DA56E3" w:rsidRPr="00DA56E3" w:rsidRDefault="00DA56E3" w:rsidP="00DA56E3">
      <w:pPr>
        <w:spacing w:before="100" w:beforeAutospacing="1" w:after="100" w:afterAutospacing="1"/>
        <w:ind w:left="284"/>
        <w:rPr>
          <w:rFonts w:eastAsia="Times New Roman" w:cstheme="minorHAnsi"/>
          <w:b/>
          <w:lang w:eastAsia="pl-PL"/>
        </w:rPr>
      </w:pPr>
      <w:r w:rsidRPr="00DA56E3">
        <w:rPr>
          <w:rFonts w:cstheme="minorHAnsi"/>
          <w:b/>
        </w:rPr>
        <w:t xml:space="preserve">Projekt zakłada współpracę ze specjalistami w celu wspierania rodziców/opiekunów </w:t>
      </w:r>
      <w:r>
        <w:rPr>
          <w:rFonts w:cstheme="minorHAnsi"/>
          <w:b/>
        </w:rPr>
        <w:t>i nauczycieli –</w:t>
      </w:r>
      <w:r w:rsidRPr="00DA56E3">
        <w:rPr>
          <w:rFonts w:cstheme="minorHAnsi"/>
          <w:b/>
        </w:rPr>
        <w:t xml:space="preserve"> </w:t>
      </w:r>
      <w:r w:rsidRPr="00DA56E3">
        <w:rPr>
          <w:rFonts w:eastAsia="Times New Roman" w:cstheme="minorHAnsi"/>
          <w:b/>
          <w:lang w:eastAsia="pl-PL"/>
        </w:rPr>
        <w:t>W prawidłowym kształtowaniu i wspomaganiu rozwoju psychicznego, emocjonalnego oraz społecznego dziecka w wieku przedszkolnym ważną rolę odgrywają rodzina oraz środowisko przedszkolne. Wspomaganie rozwoju dziecka w wieku przedszkolnym niejednokrotnie wymaga wsparcia jego otoczenia zwłaszcza rodziców/opiekunów i nauczycieli poprzez wdrożenie pomocy z zewnątrz. Dlatego też premiowane będą projekty zakładające zaangażowanie specjalistów np. psychologów, pedagogów, terapeutów do współpracy nauczycieli z rodzicami/ opiekunami, poprzez realizację m. in. spotkań indywidualnych, grupowych warsztatów. Wsparcie to ma służyć radzeniu sobie w sytuacjach problemowych, właściwemu re</w:t>
      </w:r>
      <w:r>
        <w:rPr>
          <w:rFonts w:eastAsia="Times New Roman" w:cstheme="minorHAnsi"/>
          <w:b/>
          <w:lang w:eastAsia="pl-PL"/>
        </w:rPr>
        <w:t>agowaniu na przejawy trudnych i </w:t>
      </w:r>
      <w:r w:rsidRPr="00DA56E3">
        <w:rPr>
          <w:rFonts w:eastAsia="Times New Roman" w:cstheme="minorHAnsi"/>
          <w:b/>
          <w:lang w:eastAsia="pl-PL"/>
        </w:rPr>
        <w:t xml:space="preserve">niepożądanych </w:t>
      </w:r>
      <w:proofErr w:type="spellStart"/>
      <w:r w:rsidRPr="00DA56E3">
        <w:rPr>
          <w:rFonts w:eastAsia="Times New Roman" w:cstheme="minorHAnsi"/>
          <w:b/>
          <w:lang w:eastAsia="pl-PL"/>
        </w:rPr>
        <w:t>zachowań</w:t>
      </w:r>
      <w:proofErr w:type="spellEnd"/>
      <w:r w:rsidRPr="00DA56E3">
        <w:rPr>
          <w:rFonts w:eastAsia="Times New Roman" w:cstheme="minorHAnsi"/>
          <w:b/>
          <w:lang w:eastAsia="pl-PL"/>
        </w:rPr>
        <w:t xml:space="preserve"> u dzieci oraz skutecznej komunikacji po</w:t>
      </w:r>
      <w:r>
        <w:rPr>
          <w:rFonts w:eastAsia="Times New Roman" w:cstheme="minorHAnsi"/>
          <w:b/>
          <w:lang w:eastAsia="pl-PL"/>
        </w:rPr>
        <w:t>między nauczycielem, rodzicem i </w:t>
      </w:r>
      <w:r w:rsidRPr="00DA56E3">
        <w:rPr>
          <w:rFonts w:eastAsia="Times New Roman" w:cstheme="minorHAnsi"/>
          <w:b/>
          <w:lang w:eastAsia="pl-PL"/>
        </w:rPr>
        <w:t xml:space="preserve">dzieckiem. </w:t>
      </w:r>
    </w:p>
    <w:p w:rsidR="00DA56E3" w:rsidRPr="00DA56E3" w:rsidRDefault="00DA56E3" w:rsidP="00DA56E3">
      <w:pPr>
        <w:spacing w:after="0"/>
        <w:ind w:left="284"/>
        <w:rPr>
          <w:rFonts w:eastAsia="Times New Roman" w:cstheme="minorHAnsi"/>
          <w:b/>
          <w:lang w:eastAsia="pl-PL"/>
        </w:rPr>
      </w:pPr>
      <w:r w:rsidRPr="00DA56E3">
        <w:rPr>
          <w:rFonts w:eastAsia="Times New Roman" w:cstheme="minorHAnsi"/>
          <w:b/>
          <w:lang w:eastAsia="pl-PL"/>
        </w:rPr>
        <w:t>Warunkiem spełnienia kryterium na etapie oceny projektu jest ujęcie we wnios</w:t>
      </w:r>
      <w:r>
        <w:rPr>
          <w:rFonts w:eastAsia="Times New Roman" w:cstheme="minorHAnsi"/>
          <w:b/>
          <w:lang w:eastAsia="pl-PL"/>
        </w:rPr>
        <w:t>ku o </w:t>
      </w:r>
      <w:r w:rsidRPr="00DA56E3">
        <w:rPr>
          <w:rFonts w:eastAsia="Times New Roman" w:cstheme="minorHAnsi"/>
          <w:b/>
          <w:lang w:eastAsia="pl-PL"/>
        </w:rPr>
        <w:t xml:space="preserve">dofinansowanie zapisów wskazujących na podjęcie współpracy w zakresie opisanym powyżej.  </w:t>
      </w:r>
    </w:p>
    <w:p w:rsidR="00DA56E3" w:rsidRPr="00DA56E3" w:rsidRDefault="00DA56E3" w:rsidP="00DA56E3">
      <w:pPr>
        <w:spacing w:after="0"/>
        <w:ind w:left="284"/>
        <w:rPr>
          <w:rFonts w:eastAsia="Times New Roman" w:cstheme="minorHAnsi"/>
          <w:b/>
          <w:lang w:eastAsia="pl-PL"/>
        </w:rPr>
      </w:pPr>
      <w:r w:rsidRPr="00DA56E3">
        <w:rPr>
          <w:rFonts w:eastAsia="Times New Roman" w:cstheme="minorHAnsi"/>
          <w:b/>
          <w:lang w:eastAsia="pl-PL"/>
        </w:rPr>
        <w:t>0 pkt -  projekt nie zakłada działań służących współpracy OWP ze specjalistami.</w:t>
      </w:r>
    </w:p>
    <w:p w:rsidR="00DA56E3" w:rsidRPr="00DA56E3" w:rsidRDefault="00DA56E3" w:rsidP="00DA56E3">
      <w:pPr>
        <w:spacing w:after="0"/>
        <w:ind w:left="284"/>
        <w:rPr>
          <w:rFonts w:eastAsia="Times New Roman" w:cstheme="minorHAnsi"/>
          <w:b/>
          <w:lang w:eastAsia="pl-PL"/>
        </w:rPr>
      </w:pPr>
      <w:r w:rsidRPr="00DA56E3">
        <w:rPr>
          <w:rFonts w:eastAsia="Times New Roman" w:cstheme="minorHAnsi"/>
          <w:b/>
          <w:lang w:eastAsia="pl-PL"/>
        </w:rPr>
        <w:t>5 pkt - projekt zakłada działania służące współpracy OWP ze specjalistami.</w:t>
      </w:r>
    </w:p>
    <w:p w:rsidR="00DA56E3" w:rsidRDefault="00DA56E3" w:rsidP="00DA56E3">
      <w:pPr>
        <w:spacing w:after="0"/>
        <w:ind w:left="284"/>
        <w:rPr>
          <w:rFonts w:eastAsia="Times New Roman" w:cstheme="minorHAnsi"/>
          <w:b/>
          <w:lang w:eastAsia="pl-PL"/>
        </w:rPr>
      </w:pPr>
      <w:r w:rsidRPr="00DA56E3">
        <w:rPr>
          <w:rFonts w:eastAsia="Times New Roman" w:cstheme="minorHAnsi"/>
          <w:b/>
          <w:lang w:eastAsia="pl-PL"/>
        </w:rPr>
        <w:t>Kryterium jest weryfikowane na podstawie zapisów wniosku o dofinansowanie projektu.</w:t>
      </w:r>
    </w:p>
    <w:p w:rsidR="00DA56E3" w:rsidRDefault="00DA56E3" w:rsidP="00DA56E3">
      <w:pPr>
        <w:spacing w:after="0"/>
        <w:rPr>
          <w:rFonts w:eastAsia="Times New Roman" w:cstheme="minorHAnsi"/>
          <w:b/>
          <w:lang w:eastAsia="pl-PL"/>
        </w:rPr>
      </w:pPr>
    </w:p>
    <w:p w:rsidR="00DA56E3" w:rsidRDefault="007F6D3D" w:rsidP="00DA56E3">
      <w:pPr>
        <w:spacing w:after="0"/>
        <w:ind w:left="284"/>
        <w:rPr>
          <w:rFonts w:eastAsia="Times New Roman" w:cstheme="minorHAnsi"/>
          <w:b/>
          <w:lang w:eastAsia="pl-PL"/>
        </w:rPr>
      </w:pPr>
      <w:r>
        <w:rPr>
          <w:rFonts w:eastAsia="Times New Roman" w:cstheme="minorHAnsi"/>
          <w:b/>
          <w:lang w:eastAsia="pl-PL"/>
        </w:rPr>
        <w:t>C</w:t>
      </w:r>
      <w:r w:rsidR="00DA56E3" w:rsidRPr="00DA56E3">
        <w:rPr>
          <w:rFonts w:eastAsia="Times New Roman" w:cstheme="minorHAnsi"/>
          <w:b/>
          <w:lang w:eastAsia="pl-PL"/>
        </w:rPr>
        <w:t>zy rodzice/opiekunowie będą uczestnikami projektu – wg opisu z regulaminu konkursu wynika, że tak –</w:t>
      </w:r>
      <w:r w:rsidR="00DA56E3">
        <w:rPr>
          <w:rFonts w:eastAsia="Times New Roman" w:cstheme="minorHAnsi"/>
          <w:b/>
          <w:lang w:eastAsia="pl-PL"/>
        </w:rPr>
        <w:t xml:space="preserve"> </w:t>
      </w:r>
      <w:bookmarkStart w:id="2" w:name="_Toc136337853"/>
      <w:r w:rsidR="00DA56E3" w:rsidRPr="00DA56E3">
        <w:rPr>
          <w:rFonts w:eastAsia="Times New Roman" w:cstheme="minorHAnsi"/>
          <w:b/>
          <w:lang w:eastAsia="pl-PL"/>
        </w:rPr>
        <w:t>Grupa docelowa</w:t>
      </w:r>
      <w:bookmarkEnd w:id="2"/>
      <w:r w:rsidR="00DA56E3" w:rsidRPr="00DA56E3">
        <w:rPr>
          <w:rFonts w:eastAsia="Times New Roman" w:cstheme="minorHAnsi"/>
          <w:b/>
          <w:lang w:eastAsia="pl-PL"/>
        </w:rPr>
        <w:t xml:space="preserve"> - Dzieci w wieku przedszkolnym (zgodnie z ustawą – Prawo Oświatowe) i ich opiekunowie,</w:t>
      </w:r>
      <w:r w:rsidR="00DA56E3">
        <w:rPr>
          <w:rFonts w:eastAsia="Times New Roman" w:cstheme="minorHAnsi"/>
          <w:b/>
          <w:lang w:eastAsia="pl-PL"/>
        </w:rPr>
        <w:t xml:space="preserve"> </w:t>
      </w:r>
      <w:r w:rsidR="00DA56E3" w:rsidRPr="00DA56E3">
        <w:rPr>
          <w:rFonts w:eastAsia="Times New Roman" w:cstheme="minorHAnsi"/>
          <w:b/>
          <w:lang w:eastAsia="pl-PL"/>
        </w:rPr>
        <w:t>ale nie widzę możliwości wprowadzenia planowanej ich liczby do wniosku (brak wskaźnika); czy wskazujemy ogólnie, że odbędą się warsztaty w takiej i takiej liczbie, ale nie przypisujemy ich do konkretnej liczby rodziców/opiekunów. Czy w związku z tym wydatki związane z prowadzeniem warsztatów dla rodziców będą kwalifikowalne?</w:t>
      </w:r>
    </w:p>
    <w:p w:rsidR="00DA56E3" w:rsidRPr="00DA56E3" w:rsidRDefault="00DA56E3" w:rsidP="00DA56E3">
      <w:pPr>
        <w:pStyle w:val="NormalnyWeb"/>
        <w:rPr>
          <w:rFonts w:asciiTheme="minorHAnsi" w:hAnsiTheme="minorHAnsi" w:cstheme="minorHAnsi"/>
          <w:sz w:val="22"/>
          <w:szCs w:val="22"/>
        </w:rPr>
      </w:pPr>
      <w:r w:rsidRPr="00DA56E3">
        <w:rPr>
          <w:rFonts w:asciiTheme="minorHAnsi" w:hAnsiTheme="minorHAnsi" w:cstheme="minorHAnsi"/>
          <w:sz w:val="22"/>
          <w:szCs w:val="22"/>
        </w:rPr>
        <w:t>Zgodnie z  pkt. 9 Regulaminu rodzice/opiekunowie dzieci w wieku przedszkolnym stanowią grupę docelową projektu.</w:t>
      </w:r>
      <w:r>
        <w:rPr>
          <w:rFonts w:asciiTheme="minorHAnsi" w:hAnsiTheme="minorHAnsi" w:cstheme="minorHAnsi"/>
          <w:sz w:val="22"/>
          <w:szCs w:val="22"/>
        </w:rPr>
        <w:t xml:space="preserve"> </w:t>
      </w:r>
      <w:r w:rsidRPr="00DA56E3">
        <w:rPr>
          <w:rFonts w:asciiTheme="minorHAnsi" w:hAnsiTheme="minorHAnsi" w:cstheme="minorHAnsi"/>
          <w:sz w:val="22"/>
          <w:szCs w:val="22"/>
        </w:rPr>
        <w:t>Zgodnie z pkt. 7 Regulaminu wsparcie d</w:t>
      </w:r>
      <w:r>
        <w:rPr>
          <w:rFonts w:asciiTheme="minorHAnsi" w:hAnsiTheme="minorHAnsi" w:cstheme="minorHAnsi"/>
          <w:sz w:val="22"/>
          <w:szCs w:val="22"/>
        </w:rPr>
        <w:t>o rodziców może być kierowane w </w:t>
      </w:r>
      <w:r w:rsidRPr="00DA56E3">
        <w:rPr>
          <w:rFonts w:asciiTheme="minorHAnsi" w:hAnsiTheme="minorHAnsi" w:cstheme="minorHAnsi"/>
          <w:sz w:val="22"/>
          <w:szCs w:val="22"/>
        </w:rPr>
        <w:t>ramach 4 i 7 typu projektu.</w:t>
      </w:r>
      <w:r>
        <w:rPr>
          <w:rFonts w:asciiTheme="minorHAnsi" w:hAnsiTheme="minorHAnsi" w:cstheme="minorHAnsi"/>
          <w:sz w:val="22"/>
          <w:szCs w:val="22"/>
        </w:rPr>
        <w:t xml:space="preserve"> </w:t>
      </w:r>
      <w:r w:rsidRPr="00DA56E3">
        <w:rPr>
          <w:rFonts w:asciiTheme="minorHAnsi" w:hAnsiTheme="minorHAnsi" w:cstheme="minorHAnsi"/>
          <w:sz w:val="22"/>
          <w:szCs w:val="22"/>
        </w:rPr>
        <w:t>Wybierając rodziców jako grupę docelow</w:t>
      </w:r>
      <w:r>
        <w:rPr>
          <w:rFonts w:asciiTheme="minorHAnsi" w:hAnsiTheme="minorHAnsi" w:cstheme="minorHAnsi"/>
          <w:sz w:val="22"/>
          <w:szCs w:val="22"/>
        </w:rPr>
        <w:t>ą należy opisać ją we wniosku o </w:t>
      </w:r>
      <w:r w:rsidRPr="00DA56E3">
        <w:rPr>
          <w:rFonts w:asciiTheme="minorHAnsi" w:hAnsiTheme="minorHAnsi" w:cstheme="minorHAnsi"/>
          <w:sz w:val="22"/>
          <w:szCs w:val="22"/>
        </w:rPr>
        <w:t>dofinansowanie w części 3.7 Informacje dodatkowe - Grupy docelowe.</w:t>
      </w:r>
      <w:r>
        <w:rPr>
          <w:rFonts w:asciiTheme="minorHAnsi" w:hAnsiTheme="minorHAnsi" w:cstheme="minorHAnsi"/>
          <w:sz w:val="22"/>
          <w:szCs w:val="22"/>
        </w:rPr>
        <w:t xml:space="preserve"> </w:t>
      </w:r>
      <w:r w:rsidRPr="00DA56E3">
        <w:rPr>
          <w:rFonts w:asciiTheme="minorHAnsi" w:hAnsiTheme="minorHAnsi" w:cstheme="minorHAnsi"/>
          <w:sz w:val="22"/>
          <w:szCs w:val="22"/>
        </w:rPr>
        <w:t>Ze względu na br</w:t>
      </w:r>
      <w:r>
        <w:rPr>
          <w:rFonts w:asciiTheme="minorHAnsi" w:hAnsiTheme="minorHAnsi" w:cstheme="minorHAnsi"/>
          <w:sz w:val="22"/>
          <w:szCs w:val="22"/>
        </w:rPr>
        <w:t>ak w </w:t>
      </w:r>
      <w:r w:rsidRPr="00DA56E3">
        <w:rPr>
          <w:rFonts w:asciiTheme="minorHAnsi" w:hAnsiTheme="minorHAnsi" w:cstheme="minorHAnsi"/>
          <w:sz w:val="22"/>
          <w:szCs w:val="22"/>
        </w:rPr>
        <w:t xml:space="preserve">działaniu 5.6 wskaźnika dot. powyższej grupy zaplanowane do osiągnięcia rezultaty należy opisać we </w:t>
      </w:r>
      <w:r>
        <w:rPr>
          <w:rFonts w:asciiTheme="minorHAnsi" w:hAnsiTheme="minorHAnsi" w:cstheme="minorHAnsi"/>
          <w:sz w:val="22"/>
          <w:szCs w:val="22"/>
        </w:rPr>
        <w:t>w</w:t>
      </w:r>
      <w:r w:rsidRPr="00DA56E3">
        <w:rPr>
          <w:rFonts w:asciiTheme="minorHAnsi" w:hAnsiTheme="minorHAnsi" w:cstheme="minorHAnsi"/>
          <w:sz w:val="22"/>
          <w:szCs w:val="22"/>
        </w:rPr>
        <w:t xml:space="preserve">niosku o dofinansowanie w części </w:t>
      </w:r>
      <w:r>
        <w:rPr>
          <w:rFonts w:asciiTheme="minorHAnsi" w:hAnsiTheme="minorHAnsi" w:cstheme="minorHAnsi"/>
          <w:sz w:val="22"/>
          <w:szCs w:val="22"/>
        </w:rPr>
        <w:t xml:space="preserve"> </w:t>
      </w:r>
      <w:r w:rsidRPr="00DA56E3">
        <w:rPr>
          <w:rFonts w:asciiTheme="minorHAnsi" w:hAnsiTheme="minorHAnsi" w:cstheme="minorHAnsi"/>
          <w:sz w:val="22"/>
          <w:szCs w:val="22"/>
        </w:rPr>
        <w:t>5.1 Zakres rz</w:t>
      </w:r>
      <w:r>
        <w:rPr>
          <w:rFonts w:asciiTheme="minorHAnsi" w:hAnsiTheme="minorHAnsi" w:cstheme="minorHAnsi"/>
          <w:sz w:val="22"/>
          <w:szCs w:val="22"/>
        </w:rPr>
        <w:t>eczowo-finansowy w polu „Opis i </w:t>
      </w:r>
      <w:r w:rsidRPr="00DA56E3">
        <w:rPr>
          <w:rFonts w:asciiTheme="minorHAnsi" w:hAnsiTheme="minorHAnsi" w:cstheme="minorHAnsi"/>
          <w:sz w:val="22"/>
          <w:szCs w:val="22"/>
        </w:rPr>
        <w:t>uzasadnienie zadania”.</w:t>
      </w:r>
      <w:r>
        <w:rPr>
          <w:rFonts w:asciiTheme="minorHAnsi" w:hAnsiTheme="minorHAnsi" w:cstheme="minorHAnsi"/>
          <w:sz w:val="22"/>
          <w:szCs w:val="22"/>
        </w:rPr>
        <w:t xml:space="preserve"> </w:t>
      </w:r>
      <w:r w:rsidRPr="00DA56E3">
        <w:rPr>
          <w:rFonts w:asciiTheme="minorHAnsi" w:hAnsiTheme="minorHAnsi" w:cstheme="minorHAnsi"/>
          <w:sz w:val="22"/>
          <w:szCs w:val="22"/>
        </w:rPr>
        <w:t xml:space="preserve">W związku z powyższym warsztaty dla rodziców będą kwalifikowalne jeżeli dot. wsparcia wskazanego w ramach 4 lub 7 typu projektu. </w:t>
      </w:r>
    </w:p>
    <w:p w:rsidR="00DA56E3" w:rsidRPr="00DA56E3" w:rsidRDefault="00DA56E3" w:rsidP="00DA56E3">
      <w:pPr>
        <w:spacing w:after="0"/>
        <w:rPr>
          <w:rFonts w:eastAsia="Times New Roman" w:cstheme="minorHAnsi"/>
          <w:lang w:eastAsia="pl-PL"/>
        </w:rPr>
      </w:pPr>
    </w:p>
    <w:p w:rsidR="00DA56E3" w:rsidRPr="00DA56E3" w:rsidRDefault="00DA56E3" w:rsidP="00DA56E3">
      <w:pPr>
        <w:spacing w:after="0"/>
        <w:rPr>
          <w:rFonts w:eastAsia="Times New Roman" w:cstheme="minorHAnsi"/>
          <w:b/>
          <w:lang w:eastAsia="pl-PL"/>
        </w:rPr>
      </w:pPr>
    </w:p>
    <w:p w:rsidR="00DA56E3" w:rsidRPr="00DA56E3" w:rsidRDefault="00DA56E3" w:rsidP="00DA56E3">
      <w:pPr>
        <w:rPr>
          <w:b/>
        </w:rPr>
      </w:pPr>
    </w:p>
    <w:p w:rsidR="00B55F0C" w:rsidRDefault="00B55F0C" w:rsidP="003F126A"/>
    <w:sectPr w:rsidR="00B55F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7E" w:rsidRDefault="00A2217E" w:rsidP="005F4160">
      <w:pPr>
        <w:spacing w:after="0" w:line="240" w:lineRule="auto"/>
      </w:pPr>
      <w:r>
        <w:separator/>
      </w:r>
    </w:p>
  </w:endnote>
  <w:endnote w:type="continuationSeparator" w:id="0">
    <w:p w:rsidR="00A2217E" w:rsidRDefault="00A2217E" w:rsidP="005F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7E" w:rsidRDefault="00A2217E" w:rsidP="005F4160">
      <w:pPr>
        <w:spacing w:after="0" w:line="240" w:lineRule="auto"/>
      </w:pPr>
      <w:r>
        <w:separator/>
      </w:r>
    </w:p>
  </w:footnote>
  <w:footnote w:type="continuationSeparator" w:id="0">
    <w:p w:rsidR="00A2217E" w:rsidRDefault="00A2217E" w:rsidP="005F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21"/>
    <w:multiLevelType w:val="hybridMultilevel"/>
    <w:tmpl w:val="FDC87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D43A2A"/>
    <w:multiLevelType w:val="multilevel"/>
    <w:tmpl w:val="5E962736"/>
    <w:lvl w:ilvl="0">
      <w:start w:val="1"/>
      <w:numFmt w:val="decimal"/>
      <w:lvlText w:val="%1."/>
      <w:lvlJc w:val="left"/>
      <w:pPr>
        <w:tabs>
          <w:tab w:val="num" w:pos="748"/>
        </w:tabs>
        <w:ind w:left="748" w:hanging="360"/>
      </w:pPr>
    </w:lvl>
    <w:lvl w:ilvl="1" w:tentative="1">
      <w:start w:val="1"/>
      <w:numFmt w:val="decimal"/>
      <w:lvlText w:val="%2."/>
      <w:lvlJc w:val="left"/>
      <w:pPr>
        <w:tabs>
          <w:tab w:val="num" w:pos="1468"/>
        </w:tabs>
        <w:ind w:left="1468" w:hanging="360"/>
      </w:pPr>
    </w:lvl>
    <w:lvl w:ilvl="2" w:tentative="1">
      <w:start w:val="1"/>
      <w:numFmt w:val="decimal"/>
      <w:lvlText w:val="%3."/>
      <w:lvlJc w:val="left"/>
      <w:pPr>
        <w:tabs>
          <w:tab w:val="num" w:pos="2188"/>
        </w:tabs>
        <w:ind w:left="2188" w:hanging="360"/>
      </w:pPr>
    </w:lvl>
    <w:lvl w:ilvl="3" w:tentative="1">
      <w:start w:val="1"/>
      <w:numFmt w:val="decimal"/>
      <w:lvlText w:val="%4."/>
      <w:lvlJc w:val="left"/>
      <w:pPr>
        <w:tabs>
          <w:tab w:val="num" w:pos="2908"/>
        </w:tabs>
        <w:ind w:left="2908" w:hanging="360"/>
      </w:pPr>
    </w:lvl>
    <w:lvl w:ilvl="4" w:tentative="1">
      <w:start w:val="1"/>
      <w:numFmt w:val="decimal"/>
      <w:lvlText w:val="%5."/>
      <w:lvlJc w:val="left"/>
      <w:pPr>
        <w:tabs>
          <w:tab w:val="num" w:pos="3628"/>
        </w:tabs>
        <w:ind w:left="3628" w:hanging="360"/>
      </w:pPr>
    </w:lvl>
    <w:lvl w:ilvl="5" w:tentative="1">
      <w:start w:val="1"/>
      <w:numFmt w:val="decimal"/>
      <w:lvlText w:val="%6."/>
      <w:lvlJc w:val="left"/>
      <w:pPr>
        <w:tabs>
          <w:tab w:val="num" w:pos="4348"/>
        </w:tabs>
        <w:ind w:left="4348" w:hanging="360"/>
      </w:pPr>
    </w:lvl>
    <w:lvl w:ilvl="6" w:tentative="1">
      <w:start w:val="1"/>
      <w:numFmt w:val="decimal"/>
      <w:lvlText w:val="%7."/>
      <w:lvlJc w:val="left"/>
      <w:pPr>
        <w:tabs>
          <w:tab w:val="num" w:pos="5068"/>
        </w:tabs>
        <w:ind w:left="5068" w:hanging="360"/>
      </w:pPr>
    </w:lvl>
    <w:lvl w:ilvl="7" w:tentative="1">
      <w:start w:val="1"/>
      <w:numFmt w:val="decimal"/>
      <w:lvlText w:val="%8."/>
      <w:lvlJc w:val="left"/>
      <w:pPr>
        <w:tabs>
          <w:tab w:val="num" w:pos="5788"/>
        </w:tabs>
        <w:ind w:left="5788" w:hanging="360"/>
      </w:pPr>
    </w:lvl>
    <w:lvl w:ilvl="8" w:tentative="1">
      <w:start w:val="1"/>
      <w:numFmt w:val="decimal"/>
      <w:lvlText w:val="%9."/>
      <w:lvlJc w:val="left"/>
      <w:pPr>
        <w:tabs>
          <w:tab w:val="num" w:pos="6508"/>
        </w:tabs>
        <w:ind w:left="6508" w:hanging="360"/>
      </w:pPr>
    </w:lvl>
  </w:abstractNum>
  <w:abstractNum w:abstractNumId="2">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588A7226"/>
    <w:multiLevelType w:val="hybridMultilevel"/>
    <w:tmpl w:val="4EB84ED0"/>
    <w:lvl w:ilvl="0" w:tplc="4E1E4FCA">
      <w:start w:val="1"/>
      <w:numFmt w:val="lowerRoman"/>
      <w:lvlText w:val="%1)"/>
      <w:lvlJc w:val="left"/>
      <w:pPr>
        <w:ind w:left="1117" w:hanging="72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
    <w:nsid w:val="6ACE29D0"/>
    <w:multiLevelType w:val="hybridMultilevel"/>
    <w:tmpl w:val="A41EB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8732165"/>
    <w:multiLevelType w:val="hybridMultilevel"/>
    <w:tmpl w:val="63C2A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A0"/>
    <w:rsid w:val="00003014"/>
    <w:rsid w:val="000447D2"/>
    <w:rsid w:val="0009189C"/>
    <w:rsid w:val="000A3CE1"/>
    <w:rsid w:val="000B20BD"/>
    <w:rsid w:val="000E200D"/>
    <w:rsid w:val="001423D0"/>
    <w:rsid w:val="0014441B"/>
    <w:rsid w:val="00196392"/>
    <w:rsid w:val="002157CE"/>
    <w:rsid w:val="002535E2"/>
    <w:rsid w:val="00277AC4"/>
    <w:rsid w:val="0028753D"/>
    <w:rsid w:val="002A7AE4"/>
    <w:rsid w:val="002B1A46"/>
    <w:rsid w:val="002C5D4B"/>
    <w:rsid w:val="002E3F02"/>
    <w:rsid w:val="002F6912"/>
    <w:rsid w:val="0032138E"/>
    <w:rsid w:val="00330A65"/>
    <w:rsid w:val="00330DB2"/>
    <w:rsid w:val="00351615"/>
    <w:rsid w:val="003F126A"/>
    <w:rsid w:val="004250ED"/>
    <w:rsid w:val="004554DD"/>
    <w:rsid w:val="004644A4"/>
    <w:rsid w:val="00470C46"/>
    <w:rsid w:val="004B027C"/>
    <w:rsid w:val="004D0126"/>
    <w:rsid w:val="004F1AF2"/>
    <w:rsid w:val="005338CA"/>
    <w:rsid w:val="00554A41"/>
    <w:rsid w:val="00564E5A"/>
    <w:rsid w:val="00586647"/>
    <w:rsid w:val="005F4160"/>
    <w:rsid w:val="00643D64"/>
    <w:rsid w:val="00664CE3"/>
    <w:rsid w:val="00694CBD"/>
    <w:rsid w:val="00723C84"/>
    <w:rsid w:val="00772CC6"/>
    <w:rsid w:val="00797080"/>
    <w:rsid w:val="007B6C9C"/>
    <w:rsid w:val="007F6D3D"/>
    <w:rsid w:val="00810D77"/>
    <w:rsid w:val="008705B3"/>
    <w:rsid w:val="008743D5"/>
    <w:rsid w:val="008A46CB"/>
    <w:rsid w:val="008B6FAA"/>
    <w:rsid w:val="008D0A0F"/>
    <w:rsid w:val="00921372"/>
    <w:rsid w:val="00976BE5"/>
    <w:rsid w:val="009B2C00"/>
    <w:rsid w:val="00A10222"/>
    <w:rsid w:val="00A2217E"/>
    <w:rsid w:val="00A24255"/>
    <w:rsid w:val="00AB07C1"/>
    <w:rsid w:val="00AF436A"/>
    <w:rsid w:val="00B059FB"/>
    <w:rsid w:val="00B16FF5"/>
    <w:rsid w:val="00B416FA"/>
    <w:rsid w:val="00B55F0C"/>
    <w:rsid w:val="00B5605C"/>
    <w:rsid w:val="00B74989"/>
    <w:rsid w:val="00B8620B"/>
    <w:rsid w:val="00BC67A0"/>
    <w:rsid w:val="00C403BF"/>
    <w:rsid w:val="00CF3CAF"/>
    <w:rsid w:val="00D1310C"/>
    <w:rsid w:val="00D42BF8"/>
    <w:rsid w:val="00D96A06"/>
    <w:rsid w:val="00DA56E3"/>
    <w:rsid w:val="00DB38FA"/>
    <w:rsid w:val="00E47784"/>
    <w:rsid w:val="00E655CC"/>
    <w:rsid w:val="00E91390"/>
    <w:rsid w:val="00EB12CC"/>
    <w:rsid w:val="00EC0DF2"/>
    <w:rsid w:val="00ED628E"/>
    <w:rsid w:val="00EE639C"/>
    <w:rsid w:val="00F121E6"/>
    <w:rsid w:val="00F17533"/>
    <w:rsid w:val="00F27C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A56E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B416FA"/>
    <w:pPr>
      <w:ind w:left="720"/>
      <w:contextualSpacing/>
    </w:p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664CE3"/>
  </w:style>
  <w:style w:type="paragraph" w:styleId="Tekstprzypisukocowego">
    <w:name w:val="endnote text"/>
    <w:basedOn w:val="Normalny"/>
    <w:link w:val="TekstprzypisukocowegoZnak"/>
    <w:uiPriority w:val="99"/>
    <w:semiHidden/>
    <w:unhideWhenUsed/>
    <w:rsid w:val="005F41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4160"/>
    <w:rPr>
      <w:sz w:val="20"/>
      <w:szCs w:val="20"/>
    </w:rPr>
  </w:style>
  <w:style w:type="character" w:styleId="Odwoanieprzypisukocowego">
    <w:name w:val="endnote reference"/>
    <w:basedOn w:val="Domylnaczcionkaakapitu"/>
    <w:uiPriority w:val="99"/>
    <w:semiHidden/>
    <w:unhideWhenUsed/>
    <w:rsid w:val="005F4160"/>
    <w:rPr>
      <w:vertAlign w:val="superscript"/>
    </w:rPr>
  </w:style>
  <w:style w:type="character" w:styleId="Odwoaniedokomentarza">
    <w:name w:val="annotation reference"/>
    <w:basedOn w:val="Domylnaczcionkaakapitu"/>
    <w:uiPriority w:val="99"/>
    <w:semiHidden/>
    <w:unhideWhenUsed/>
    <w:rsid w:val="00976BE5"/>
    <w:rPr>
      <w:sz w:val="16"/>
      <w:szCs w:val="16"/>
    </w:rPr>
  </w:style>
  <w:style w:type="paragraph" w:styleId="Tekstkomentarza">
    <w:name w:val="annotation text"/>
    <w:basedOn w:val="Normalny"/>
    <w:link w:val="TekstkomentarzaZnak"/>
    <w:uiPriority w:val="99"/>
    <w:semiHidden/>
    <w:unhideWhenUsed/>
    <w:rsid w:val="00976B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6BE5"/>
    <w:rPr>
      <w:sz w:val="20"/>
      <w:szCs w:val="20"/>
    </w:rPr>
  </w:style>
  <w:style w:type="paragraph" w:styleId="Tematkomentarza">
    <w:name w:val="annotation subject"/>
    <w:basedOn w:val="Tekstkomentarza"/>
    <w:next w:val="Tekstkomentarza"/>
    <w:link w:val="TematkomentarzaZnak"/>
    <w:uiPriority w:val="99"/>
    <w:semiHidden/>
    <w:unhideWhenUsed/>
    <w:rsid w:val="00976BE5"/>
    <w:rPr>
      <w:b/>
      <w:bCs/>
    </w:rPr>
  </w:style>
  <w:style w:type="character" w:customStyle="1" w:styleId="TematkomentarzaZnak">
    <w:name w:val="Temat komentarza Znak"/>
    <w:basedOn w:val="TekstkomentarzaZnak"/>
    <w:link w:val="Tematkomentarza"/>
    <w:uiPriority w:val="99"/>
    <w:semiHidden/>
    <w:rsid w:val="00976BE5"/>
    <w:rPr>
      <w:b/>
      <w:bCs/>
      <w:sz w:val="20"/>
      <w:szCs w:val="20"/>
    </w:rPr>
  </w:style>
  <w:style w:type="paragraph" w:styleId="Tekstdymka">
    <w:name w:val="Balloon Text"/>
    <w:basedOn w:val="Normalny"/>
    <w:link w:val="TekstdymkaZnak"/>
    <w:uiPriority w:val="99"/>
    <w:semiHidden/>
    <w:unhideWhenUsed/>
    <w:rsid w:val="00976B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6BE5"/>
    <w:rPr>
      <w:rFonts w:ascii="Segoe UI" w:hAnsi="Segoe UI" w:cs="Segoe UI"/>
      <w:sz w:val="18"/>
      <w:szCs w:val="18"/>
    </w:rPr>
  </w:style>
  <w:style w:type="character" w:customStyle="1" w:styleId="Nagwek2Znak">
    <w:name w:val="Nagłówek 2 Znak"/>
    <w:basedOn w:val="Domylnaczcionkaakapitu"/>
    <w:link w:val="Nagwek2"/>
    <w:uiPriority w:val="9"/>
    <w:rsid w:val="00DA56E3"/>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DA56E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A56E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B416FA"/>
    <w:pPr>
      <w:ind w:left="720"/>
      <w:contextualSpacing/>
    </w:p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664CE3"/>
  </w:style>
  <w:style w:type="paragraph" w:styleId="Tekstprzypisukocowego">
    <w:name w:val="endnote text"/>
    <w:basedOn w:val="Normalny"/>
    <w:link w:val="TekstprzypisukocowegoZnak"/>
    <w:uiPriority w:val="99"/>
    <w:semiHidden/>
    <w:unhideWhenUsed/>
    <w:rsid w:val="005F41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4160"/>
    <w:rPr>
      <w:sz w:val="20"/>
      <w:szCs w:val="20"/>
    </w:rPr>
  </w:style>
  <w:style w:type="character" w:styleId="Odwoanieprzypisukocowego">
    <w:name w:val="endnote reference"/>
    <w:basedOn w:val="Domylnaczcionkaakapitu"/>
    <w:uiPriority w:val="99"/>
    <w:semiHidden/>
    <w:unhideWhenUsed/>
    <w:rsid w:val="005F4160"/>
    <w:rPr>
      <w:vertAlign w:val="superscript"/>
    </w:rPr>
  </w:style>
  <w:style w:type="character" w:styleId="Odwoaniedokomentarza">
    <w:name w:val="annotation reference"/>
    <w:basedOn w:val="Domylnaczcionkaakapitu"/>
    <w:uiPriority w:val="99"/>
    <w:semiHidden/>
    <w:unhideWhenUsed/>
    <w:rsid w:val="00976BE5"/>
    <w:rPr>
      <w:sz w:val="16"/>
      <w:szCs w:val="16"/>
    </w:rPr>
  </w:style>
  <w:style w:type="paragraph" w:styleId="Tekstkomentarza">
    <w:name w:val="annotation text"/>
    <w:basedOn w:val="Normalny"/>
    <w:link w:val="TekstkomentarzaZnak"/>
    <w:uiPriority w:val="99"/>
    <w:semiHidden/>
    <w:unhideWhenUsed/>
    <w:rsid w:val="00976B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6BE5"/>
    <w:rPr>
      <w:sz w:val="20"/>
      <w:szCs w:val="20"/>
    </w:rPr>
  </w:style>
  <w:style w:type="paragraph" w:styleId="Tematkomentarza">
    <w:name w:val="annotation subject"/>
    <w:basedOn w:val="Tekstkomentarza"/>
    <w:next w:val="Tekstkomentarza"/>
    <w:link w:val="TematkomentarzaZnak"/>
    <w:uiPriority w:val="99"/>
    <w:semiHidden/>
    <w:unhideWhenUsed/>
    <w:rsid w:val="00976BE5"/>
    <w:rPr>
      <w:b/>
      <w:bCs/>
    </w:rPr>
  </w:style>
  <w:style w:type="character" w:customStyle="1" w:styleId="TematkomentarzaZnak">
    <w:name w:val="Temat komentarza Znak"/>
    <w:basedOn w:val="TekstkomentarzaZnak"/>
    <w:link w:val="Tematkomentarza"/>
    <w:uiPriority w:val="99"/>
    <w:semiHidden/>
    <w:rsid w:val="00976BE5"/>
    <w:rPr>
      <w:b/>
      <w:bCs/>
      <w:sz w:val="20"/>
      <w:szCs w:val="20"/>
    </w:rPr>
  </w:style>
  <w:style w:type="paragraph" w:styleId="Tekstdymka">
    <w:name w:val="Balloon Text"/>
    <w:basedOn w:val="Normalny"/>
    <w:link w:val="TekstdymkaZnak"/>
    <w:uiPriority w:val="99"/>
    <w:semiHidden/>
    <w:unhideWhenUsed/>
    <w:rsid w:val="00976B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6BE5"/>
    <w:rPr>
      <w:rFonts w:ascii="Segoe UI" w:hAnsi="Segoe UI" w:cs="Segoe UI"/>
      <w:sz w:val="18"/>
      <w:szCs w:val="18"/>
    </w:rPr>
  </w:style>
  <w:style w:type="character" w:customStyle="1" w:styleId="Nagwek2Znak">
    <w:name w:val="Nagłówek 2 Znak"/>
    <w:basedOn w:val="Domylnaczcionkaakapitu"/>
    <w:link w:val="Nagwek2"/>
    <w:uiPriority w:val="9"/>
    <w:rsid w:val="00DA56E3"/>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DA56E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0473">
      <w:bodyDiv w:val="1"/>
      <w:marLeft w:val="0"/>
      <w:marRight w:val="0"/>
      <w:marTop w:val="0"/>
      <w:marBottom w:val="0"/>
      <w:divBdr>
        <w:top w:val="none" w:sz="0" w:space="0" w:color="auto"/>
        <w:left w:val="none" w:sz="0" w:space="0" w:color="auto"/>
        <w:bottom w:val="none" w:sz="0" w:space="0" w:color="auto"/>
        <w:right w:val="none" w:sz="0" w:space="0" w:color="auto"/>
      </w:divBdr>
    </w:div>
    <w:div w:id="247858458">
      <w:bodyDiv w:val="1"/>
      <w:marLeft w:val="0"/>
      <w:marRight w:val="0"/>
      <w:marTop w:val="0"/>
      <w:marBottom w:val="0"/>
      <w:divBdr>
        <w:top w:val="none" w:sz="0" w:space="0" w:color="auto"/>
        <w:left w:val="none" w:sz="0" w:space="0" w:color="auto"/>
        <w:bottom w:val="none" w:sz="0" w:space="0" w:color="auto"/>
        <w:right w:val="none" w:sz="0" w:space="0" w:color="auto"/>
      </w:divBdr>
    </w:div>
    <w:div w:id="433404477">
      <w:bodyDiv w:val="1"/>
      <w:marLeft w:val="0"/>
      <w:marRight w:val="0"/>
      <w:marTop w:val="0"/>
      <w:marBottom w:val="0"/>
      <w:divBdr>
        <w:top w:val="none" w:sz="0" w:space="0" w:color="auto"/>
        <w:left w:val="none" w:sz="0" w:space="0" w:color="auto"/>
        <w:bottom w:val="none" w:sz="0" w:space="0" w:color="auto"/>
        <w:right w:val="none" w:sz="0" w:space="0" w:color="auto"/>
      </w:divBdr>
    </w:div>
    <w:div w:id="504631313">
      <w:bodyDiv w:val="1"/>
      <w:marLeft w:val="0"/>
      <w:marRight w:val="0"/>
      <w:marTop w:val="0"/>
      <w:marBottom w:val="0"/>
      <w:divBdr>
        <w:top w:val="none" w:sz="0" w:space="0" w:color="auto"/>
        <w:left w:val="none" w:sz="0" w:space="0" w:color="auto"/>
        <w:bottom w:val="none" w:sz="0" w:space="0" w:color="auto"/>
        <w:right w:val="none" w:sz="0" w:space="0" w:color="auto"/>
      </w:divBdr>
    </w:div>
    <w:div w:id="725761061">
      <w:bodyDiv w:val="1"/>
      <w:marLeft w:val="0"/>
      <w:marRight w:val="0"/>
      <w:marTop w:val="0"/>
      <w:marBottom w:val="0"/>
      <w:divBdr>
        <w:top w:val="none" w:sz="0" w:space="0" w:color="auto"/>
        <w:left w:val="none" w:sz="0" w:space="0" w:color="auto"/>
        <w:bottom w:val="none" w:sz="0" w:space="0" w:color="auto"/>
        <w:right w:val="none" w:sz="0" w:space="0" w:color="auto"/>
      </w:divBdr>
    </w:div>
    <w:div w:id="211840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1606</Words>
  <Characters>9641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Firlej</dc:creator>
  <cp:lastModifiedBy>Anna Firlej</cp:lastModifiedBy>
  <cp:revision>13</cp:revision>
  <dcterms:created xsi:type="dcterms:W3CDTF">2023-07-19T07:20:00Z</dcterms:created>
  <dcterms:modified xsi:type="dcterms:W3CDTF">2023-08-02T11:05:00Z</dcterms:modified>
</cp:coreProperties>
</file>