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60035D00" w:rsidR="00911FE1" w:rsidRPr="00AF67A7" w:rsidRDefault="00911FE1" w:rsidP="00AF67A7">
      <w:pPr>
        <w:widowControl w:val="0"/>
        <w:spacing w:before="37" w:after="0" w:line="240" w:lineRule="auto"/>
        <w:ind w:left="229" w:hanging="229"/>
        <w:rPr>
          <w:rFonts w:eastAsia="Times New Roman" w:cs="Calibri"/>
          <w:b/>
          <w:bCs/>
          <w:sz w:val="24"/>
          <w:szCs w:val="24"/>
          <w:lang w:eastAsia="pl-PL"/>
        </w:rPr>
      </w:pPr>
      <w:r w:rsidRPr="00AF67A7">
        <w:rPr>
          <w:rFonts w:cs="Calibri"/>
          <w:b/>
          <w:bCs/>
          <w:sz w:val="24"/>
          <w:szCs w:val="24"/>
        </w:rPr>
        <w:t xml:space="preserve">Załącznik nr </w:t>
      </w:r>
      <w:r w:rsidR="00FA51B4" w:rsidRPr="00AF67A7">
        <w:rPr>
          <w:rFonts w:cs="Calibri"/>
          <w:b/>
          <w:bCs/>
          <w:sz w:val="24"/>
          <w:szCs w:val="24"/>
        </w:rPr>
        <w:t>10</w:t>
      </w:r>
      <w:r w:rsidR="0059596B" w:rsidRPr="00AF67A7">
        <w:rPr>
          <w:b/>
          <w:bCs/>
          <w:noProof/>
          <w:sz w:val="24"/>
          <w:szCs w:val="24"/>
        </w:rPr>
        <w:t xml:space="preserve"> do 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71D5061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CF8127E" w14:textId="77777777" w:rsidR="0013546C" w:rsidRPr="006D27F3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77777777" w:rsidR="00A926BA" w:rsidRPr="006D27F3" w:rsidRDefault="000B0E74" w:rsidP="00A926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3F4FB307" wp14:editId="6F93F8FE">
            <wp:extent cx="4629150" cy="2312023"/>
            <wp:effectExtent l="0" t="0" r="0" b="0"/>
            <wp:docPr id="9" name="Obraz 9" descr="Wzór tablicy składający się ze: znaku FE, znaku UE, oficjalnego logo promocyjnego województwa opolskiego, miejsca na wpisanie nazwy beneficjenta, tytułu projektu oraz adresu portalu www.mapadotacji.gov.pl" title="Wzór tablicy dla programu regionalne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ica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0172" cy="231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7A2D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77777777" w:rsidR="00A926BA" w:rsidRPr="006D27F3" w:rsidRDefault="000B0E74" w:rsidP="0053233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AC4263B" wp14:editId="71FB65F2">
            <wp:extent cx="5760720" cy="4086860"/>
            <wp:effectExtent l="0" t="0" r="0" b="8890"/>
            <wp:docPr id="10" name="Obraz 10" descr="Wzór plakatuskładający się ze: znaku FE, znaku UE, oficjalnego logo promocyjnego województwa opolskiego, miejsca na wpisanie nazwy beneficjenta, tytułu projektu, wysokości dofinansowania projektu z Unii Europejskiej oraz adresu portalu www.mapadotacji.gov.pl" title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ka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8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099B1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proofErr w:type="gramStart"/>
      <w:r w:rsidRPr="006D27F3">
        <w:rPr>
          <w:rFonts w:ascii="Arial" w:hAnsi="Arial" w:cs="Arial"/>
          <w:sz w:val="24"/>
          <w:szCs w:val="24"/>
          <w:lang w:val="pl-PL"/>
        </w:rPr>
        <w:t>Kiedy  umieścić</w:t>
      </w:r>
      <w:proofErr w:type="gramEnd"/>
      <w:r w:rsidRPr="006D27F3">
        <w:rPr>
          <w:rFonts w:ascii="Arial" w:hAnsi="Arial" w:cs="Arial"/>
          <w:sz w:val="24"/>
          <w:szCs w:val="24"/>
          <w:lang w:val="pl-PL"/>
        </w:rPr>
        <w:t xml:space="preserve">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77777777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6F50AD3C" w14:textId="599E777E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 xml:space="preserve">ficjalne logo promocyjne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6A403559" w14:textId="77777777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muszą znaleźć się na samej górze strony </w:t>
      </w: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lastRenderedPageBreak/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AF67A7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1845D" w14:textId="77777777" w:rsidR="00BF5971" w:rsidRDefault="00BF5971" w:rsidP="005E067D">
      <w:pPr>
        <w:spacing w:after="0" w:line="240" w:lineRule="auto"/>
      </w:pPr>
      <w:r>
        <w:separator/>
      </w:r>
    </w:p>
  </w:endnote>
  <w:endnote w:type="continuationSeparator" w:id="0">
    <w:p w14:paraId="15EFDD85" w14:textId="77777777" w:rsidR="00BF5971" w:rsidRDefault="00BF597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4801" w14:textId="77777777" w:rsidR="004464AE" w:rsidRDefault="004464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9FA4" w14:textId="77777777" w:rsidR="004464AE" w:rsidRDefault="0044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E7A53" w14:textId="77777777" w:rsidR="00BF5971" w:rsidRDefault="00BF5971" w:rsidP="005E067D">
      <w:pPr>
        <w:spacing w:after="0" w:line="240" w:lineRule="auto"/>
      </w:pPr>
      <w:r>
        <w:separator/>
      </w:r>
    </w:p>
  </w:footnote>
  <w:footnote w:type="continuationSeparator" w:id="0">
    <w:p w14:paraId="188CC658" w14:textId="77777777" w:rsidR="00BF5971" w:rsidRDefault="00BF5971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DECC" w14:textId="77777777" w:rsidR="004464AE" w:rsidRDefault="004464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9E76" w14:textId="77777777" w:rsidR="004464AE" w:rsidRPr="00D46A35" w:rsidRDefault="004464AE" w:rsidP="004464AE"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  <w:jc w:val="right"/>
      <w:rPr>
        <w:rFonts w:eastAsia="Arial" w:cs="Calibri"/>
      </w:rPr>
    </w:pPr>
    <w:r w:rsidRPr="00D46A35">
      <w:rPr>
        <w:rFonts w:eastAsia="Arial" w:cs="Calibri"/>
        <w:b/>
      </w:rPr>
      <w:t xml:space="preserve">Załącznik nr 7 </w:t>
    </w:r>
    <w:r w:rsidRPr="00D46A35">
      <w:rPr>
        <w:rFonts w:eastAsia="Arial" w:cs="Calibri"/>
        <w:iCs/>
        <w:szCs w:val="24"/>
      </w:rPr>
      <w:t xml:space="preserve">do Regulaminu wyboru projektów </w:t>
    </w:r>
    <w:r w:rsidRPr="00D46A35">
      <w:rPr>
        <w:rFonts w:eastAsia="Arial" w:cs="Calibri"/>
        <w:iCs/>
        <w:szCs w:val="24"/>
      </w:rPr>
      <w:br/>
      <w:t xml:space="preserve">Działanie </w:t>
    </w:r>
    <w:bookmarkStart w:id="154" w:name="_Hlk147399282"/>
    <w:r w:rsidRPr="00D46A35">
      <w:rPr>
        <w:rFonts w:eastAsia="Arial" w:cs="Calibri"/>
        <w:i/>
        <w:szCs w:val="24"/>
      </w:rPr>
      <w:t>2.3 Zapobieganie zagrożeniom związanym ze zmiana klimatu</w:t>
    </w:r>
    <w:r w:rsidRPr="00D46A35">
      <w:rPr>
        <w:rFonts w:eastAsia="Arial" w:cs="Calibri"/>
        <w:iCs/>
        <w:szCs w:val="24"/>
      </w:rPr>
      <w:t xml:space="preserve"> </w:t>
    </w:r>
    <w:bookmarkEnd w:id="154"/>
    <w:r w:rsidRPr="00D46A35">
      <w:rPr>
        <w:rFonts w:eastAsia="Arial" w:cs="Calibri"/>
        <w:iCs/>
        <w:szCs w:val="24"/>
      </w:rPr>
      <w:t xml:space="preserve">FEO 2021-2027 </w:t>
    </w:r>
    <w:r w:rsidRPr="00D46A35">
      <w:rPr>
        <w:rFonts w:eastAsia="Arial" w:cs="Calibri"/>
        <w:iCs/>
        <w:szCs w:val="24"/>
      </w:rPr>
      <w:br/>
      <w:t>Wersja nr 1, luty 2024 r</w:t>
    </w:r>
    <w:r>
      <w:rPr>
        <w:rFonts w:eastAsia="Arial" w:cs="Calibri"/>
        <w:iCs/>
        <w:szCs w:val="24"/>
      </w:rPr>
      <w:t>.</w:t>
    </w:r>
    <w:r w:rsidRPr="00D46A35">
      <w:rPr>
        <w:rFonts w:eastAsia="Arial" w:cs="Calibri"/>
      </w:rPr>
      <w:t xml:space="preserve"> </w:t>
    </w:r>
  </w:p>
  <w:p w14:paraId="40FC552E" w14:textId="77777777" w:rsidR="004464AE" w:rsidRDefault="004464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A4F7" w14:textId="77777777" w:rsidR="004464AE" w:rsidRDefault="004464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0.5pt;height:10.5pt" o:bullet="t">
        <v:imagedata r:id="rId1" o:title="BD10267_"/>
      </v:shape>
    </w:pict>
  </w:numPicBullet>
  <w:numPicBullet w:numPicBulletId="1">
    <w:pict>
      <v:shape id="_x0000_i1078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6615"/>
    <w:rsid w:val="002E008B"/>
    <w:rsid w:val="002F2E31"/>
    <w:rsid w:val="002F368E"/>
    <w:rsid w:val="003057CC"/>
    <w:rsid w:val="003306F5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64AE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71AC4"/>
    <w:rsid w:val="005744C3"/>
    <w:rsid w:val="005777D0"/>
    <w:rsid w:val="00577C62"/>
    <w:rsid w:val="0059596B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40DD"/>
    <w:rsid w:val="007C7279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836F7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67A7"/>
    <w:rsid w:val="00AF7ED3"/>
    <w:rsid w:val="00B31337"/>
    <w:rsid w:val="00B340D8"/>
    <w:rsid w:val="00B640BE"/>
    <w:rsid w:val="00B66278"/>
    <w:rsid w:val="00B92A02"/>
    <w:rsid w:val="00BF5971"/>
    <w:rsid w:val="00C075B7"/>
    <w:rsid w:val="00C13E49"/>
    <w:rsid w:val="00C147DA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72707"/>
    <w:rsid w:val="00D732D2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1657</Words>
  <Characters>9943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11577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Przemysław Kosik</cp:lastModifiedBy>
  <cp:revision>16</cp:revision>
  <dcterms:created xsi:type="dcterms:W3CDTF">2023-03-02T13:52:00Z</dcterms:created>
  <dcterms:modified xsi:type="dcterms:W3CDTF">2024-02-08T08:03:00Z</dcterms:modified>
</cp:coreProperties>
</file>