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44EA0891" w:rsidR="00C3161E" w:rsidRPr="001F1281" w:rsidRDefault="001F1281" w:rsidP="0070676F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F1281">
        <w:rPr>
          <w:rFonts w:asciiTheme="minorHAnsi" w:hAnsiTheme="minorHAnsi" w:cstheme="minorHAnsi"/>
          <w:b/>
        </w:rPr>
        <w:t>Z</w:t>
      </w:r>
      <w:r w:rsidR="002226FA" w:rsidRPr="001F1281">
        <w:rPr>
          <w:rFonts w:asciiTheme="minorHAnsi" w:hAnsiTheme="minorHAnsi" w:cstheme="minorHAnsi"/>
          <w:b/>
        </w:rPr>
        <w:t>ałącznik nr 5 do Umowy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054440">
        <w:rPr>
          <w:rFonts w:ascii="Calibri" w:hAnsi="Calibri" w:cs="Calibri"/>
        </w:rPr>
        <w:t>umowy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>
              <w:rPr>
                <w:rFonts w:cs="Calibri"/>
                <w:sz w:val="24"/>
                <w:szCs w:val="24"/>
              </w:rPr>
              <w:t>umowy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nie wprowadza danych do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aktualnym wniosku 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5C46BA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lastRenderedPageBreak/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766C7"/>
    <w:rsid w:val="00182AAF"/>
    <w:rsid w:val="00197A9E"/>
    <w:rsid w:val="001F1281"/>
    <w:rsid w:val="002226FA"/>
    <w:rsid w:val="00227258"/>
    <w:rsid w:val="002640B8"/>
    <w:rsid w:val="00324D99"/>
    <w:rsid w:val="003533AB"/>
    <w:rsid w:val="00371FA5"/>
    <w:rsid w:val="003809B4"/>
    <w:rsid w:val="003D28F6"/>
    <w:rsid w:val="003F0588"/>
    <w:rsid w:val="00424C3A"/>
    <w:rsid w:val="004A0B67"/>
    <w:rsid w:val="005B2851"/>
    <w:rsid w:val="005C46BA"/>
    <w:rsid w:val="005E3050"/>
    <w:rsid w:val="00604DDE"/>
    <w:rsid w:val="0061671C"/>
    <w:rsid w:val="00696EEF"/>
    <w:rsid w:val="006E571A"/>
    <w:rsid w:val="006F169C"/>
    <w:rsid w:val="0070676F"/>
    <w:rsid w:val="0075124D"/>
    <w:rsid w:val="007B2546"/>
    <w:rsid w:val="007B776E"/>
    <w:rsid w:val="008B4E92"/>
    <w:rsid w:val="008B5A00"/>
    <w:rsid w:val="009A10AE"/>
    <w:rsid w:val="009D50FB"/>
    <w:rsid w:val="009F1310"/>
    <w:rsid w:val="00A71733"/>
    <w:rsid w:val="00B247A0"/>
    <w:rsid w:val="00BA1C41"/>
    <w:rsid w:val="00C3161E"/>
    <w:rsid w:val="00D01ED9"/>
    <w:rsid w:val="00D479C0"/>
    <w:rsid w:val="00D82C5B"/>
    <w:rsid w:val="00DA1DA3"/>
    <w:rsid w:val="00DE613F"/>
    <w:rsid w:val="00E41E71"/>
    <w:rsid w:val="00EE4D0F"/>
    <w:rsid w:val="00EF5E9E"/>
    <w:rsid w:val="00F245A2"/>
    <w:rsid w:val="00F35784"/>
    <w:rsid w:val="00F548C6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10A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10A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a.wawrow</cp:lastModifiedBy>
  <cp:revision>6</cp:revision>
  <dcterms:created xsi:type="dcterms:W3CDTF">2025-03-06T09:38:00Z</dcterms:created>
  <dcterms:modified xsi:type="dcterms:W3CDTF">2025-05-05T08:44:00Z</dcterms:modified>
</cp:coreProperties>
</file>