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8D016" w14:textId="77777777" w:rsidR="00C93DCB" w:rsidRDefault="00DE7863" w:rsidP="00706A70">
      <w:pPr>
        <w:pStyle w:val="Tekstpodstawowy"/>
        <w:ind w:right="283"/>
        <w:jc w:val="center"/>
        <w:rPr>
          <w:rFonts w:ascii="Calibri" w:hAnsi="Calibri" w:cs="Calibri"/>
        </w:rPr>
      </w:pPr>
      <w:r w:rsidRPr="00D0742A">
        <w:rPr>
          <w:noProof/>
        </w:rPr>
        <w:drawing>
          <wp:inline distT="0" distB="0" distL="0" distR="0" wp14:anchorId="35A740D8" wp14:editId="6C6F6187">
            <wp:extent cx="5762625" cy="590550"/>
            <wp:effectExtent l="0" t="0" r="9525" b="0"/>
            <wp:docPr id="1"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90550"/>
                    </a:xfrm>
                    <a:prstGeom prst="rect">
                      <a:avLst/>
                    </a:prstGeom>
                    <a:noFill/>
                    <a:ln>
                      <a:noFill/>
                    </a:ln>
                  </pic:spPr>
                </pic:pic>
              </a:graphicData>
            </a:graphic>
          </wp:inline>
        </w:drawing>
      </w:r>
    </w:p>
    <w:p w14:paraId="4BC39BAE" w14:textId="44F49B5A" w:rsidR="00C93DCB" w:rsidRDefault="00706A70" w:rsidP="00706A70">
      <w:pPr>
        <w:pStyle w:val="Tekstpodstawowy"/>
        <w:ind w:right="141"/>
        <w:jc w:val="left"/>
        <w:rPr>
          <w:rFonts w:ascii="Calibri" w:hAnsi="Calibri" w:cs="Calibri"/>
        </w:rPr>
      </w:pPr>
      <w:r>
        <w:rPr>
          <w:rFonts w:ascii="Calibri" w:hAnsi="Calibri" w:cs="Calibri"/>
        </w:rPr>
        <w:t>Załącznik nr 1</w:t>
      </w:r>
      <w:r w:rsidR="00DA6EF8">
        <w:rPr>
          <w:rFonts w:ascii="Calibri" w:hAnsi="Calibri" w:cs="Calibri"/>
        </w:rPr>
        <w:t>4</w:t>
      </w:r>
    </w:p>
    <w:p w14:paraId="2A384B30" w14:textId="77777777" w:rsidR="00C93DCB" w:rsidRPr="00B502E9" w:rsidRDefault="00C93DCB" w:rsidP="00C93DCB">
      <w:pPr>
        <w:pStyle w:val="Tekstpodstawowy"/>
        <w:rPr>
          <w:rFonts w:ascii="Calibri" w:hAnsi="Calibri" w:cs="Calibri"/>
          <w:noProof/>
        </w:rPr>
      </w:pPr>
    </w:p>
    <w:p w14:paraId="4CA93645" w14:textId="77777777" w:rsidR="00C93DCB" w:rsidRPr="00357FC3" w:rsidRDefault="00C93DCB" w:rsidP="00357FC3">
      <w:pPr>
        <w:pStyle w:val="Tekstpodstawowy"/>
        <w:spacing w:line="360" w:lineRule="auto"/>
        <w:jc w:val="center"/>
        <w:rPr>
          <w:rFonts w:asciiTheme="minorHAnsi" w:hAnsiTheme="minorHAnsi" w:cstheme="minorHAnsi"/>
          <w:b/>
          <w:bCs/>
        </w:rPr>
      </w:pPr>
    </w:p>
    <w:p w14:paraId="1A77A8ED" w14:textId="702B3E42" w:rsidR="00DA6EF8" w:rsidRPr="00B632AC" w:rsidRDefault="00DA6EF8" w:rsidP="00357FC3">
      <w:pPr>
        <w:pStyle w:val="Tekstpodstawowy"/>
        <w:spacing w:line="360" w:lineRule="auto"/>
        <w:jc w:val="center"/>
        <w:rPr>
          <w:rFonts w:asciiTheme="minorHAnsi" w:hAnsiTheme="minorHAnsi" w:cstheme="minorHAnsi"/>
          <w:b/>
          <w:bCs/>
          <w:i/>
          <w:iCs/>
        </w:rPr>
      </w:pPr>
      <w:r w:rsidRPr="00B632AC">
        <w:rPr>
          <w:rFonts w:asciiTheme="minorHAnsi" w:hAnsiTheme="minorHAnsi" w:cstheme="minorHAnsi"/>
          <w:b/>
          <w:bCs/>
          <w:i/>
          <w:iCs/>
        </w:rPr>
        <w:t>Mechanizm wycofania w przypadku pomocy wyznaczonej w oparciu o różnicę między kosztami kwalifikowalnymi a zyskiem operacyjnym</w:t>
      </w:r>
    </w:p>
    <w:p w14:paraId="5D3F9F2C" w14:textId="77777777" w:rsidR="00DA6EF8" w:rsidRPr="00B632AC" w:rsidRDefault="00DA6EF8" w:rsidP="00357FC3">
      <w:pPr>
        <w:pStyle w:val="Tekstpodstawowy"/>
        <w:spacing w:line="360" w:lineRule="auto"/>
        <w:rPr>
          <w:rFonts w:asciiTheme="minorHAnsi" w:hAnsiTheme="minorHAnsi" w:cstheme="minorHAnsi"/>
        </w:rPr>
      </w:pPr>
    </w:p>
    <w:p w14:paraId="7B9850E1" w14:textId="72EADD03" w:rsidR="00DA6EF8" w:rsidRPr="00B632AC" w:rsidRDefault="00DA6EF8" w:rsidP="00B32383">
      <w:pPr>
        <w:pStyle w:val="Tekstpodstawowy"/>
        <w:numPr>
          <w:ilvl w:val="0"/>
          <w:numId w:val="1"/>
        </w:numPr>
        <w:spacing w:line="360" w:lineRule="auto"/>
        <w:jc w:val="left"/>
        <w:rPr>
          <w:rFonts w:asciiTheme="minorHAnsi" w:hAnsiTheme="minorHAnsi" w:cstheme="minorHAnsi"/>
        </w:rPr>
      </w:pPr>
      <w:r w:rsidRPr="00B632AC">
        <w:rPr>
          <w:rFonts w:asciiTheme="minorHAnsi" w:hAnsiTheme="minorHAnsi" w:cstheme="minorHAnsi"/>
        </w:rPr>
        <w:t>Obowiązek stosowania mechanizmu wycofania został zawarty w art 56 ust. 6</w:t>
      </w:r>
      <w:r w:rsidR="00322B80" w:rsidRPr="00B632AC">
        <w:rPr>
          <w:rFonts w:asciiTheme="minorHAnsi" w:hAnsiTheme="minorHAnsi" w:cstheme="minorHAnsi"/>
        </w:rPr>
        <w:t xml:space="preserve"> </w:t>
      </w:r>
      <w:r w:rsidRPr="00B632AC">
        <w:rPr>
          <w:rFonts w:asciiTheme="minorHAnsi" w:hAnsiTheme="minorHAnsi" w:cstheme="minorHAnsi"/>
          <w:i/>
          <w:iCs/>
        </w:rPr>
        <w:t>Rozporządzenia Komisji (UE) nr 651/2014 z dnia 17 czerwca 2014 r. uznającego niektóre rodzaje pomocy za zgodne z rynkiem wewnętrznym w zastosowaniu art. 107 i 108 Traktatu/GBER</w:t>
      </w:r>
      <w:r w:rsidRPr="00B632AC">
        <w:rPr>
          <w:rFonts w:asciiTheme="minorHAnsi" w:hAnsiTheme="minorHAnsi" w:cstheme="minorHAnsi"/>
        </w:rPr>
        <w:t xml:space="preserve">. </w:t>
      </w:r>
    </w:p>
    <w:p w14:paraId="1A48539E" w14:textId="1A841983" w:rsidR="00A141E5" w:rsidRPr="00B632AC" w:rsidRDefault="004C040C" w:rsidP="00B32383">
      <w:pPr>
        <w:pStyle w:val="Tekstpodstawowy"/>
        <w:numPr>
          <w:ilvl w:val="0"/>
          <w:numId w:val="1"/>
        </w:numPr>
        <w:spacing w:line="360" w:lineRule="auto"/>
        <w:jc w:val="left"/>
        <w:rPr>
          <w:rFonts w:asciiTheme="minorHAnsi" w:hAnsiTheme="minorHAnsi" w:cstheme="minorHAnsi"/>
        </w:rPr>
      </w:pPr>
      <w:r w:rsidRPr="00B632AC">
        <w:rPr>
          <w:rFonts w:ascii="Calibri" w:hAnsi="Calibri" w:cs="Calibri"/>
        </w:rPr>
        <w:t>Zgodnie z treścią ww. rozporządzenia, w przypadku infrastruktury lokalnej kwota pomocy musi zostać ograniczona maksymalnie do różnicy pomiędzy kosztami kwalifikowalnymi,</w:t>
      </w:r>
      <w:r w:rsidRPr="00B632AC">
        <w:rPr>
          <w:rFonts w:ascii="Calibri" w:hAnsi="Calibri" w:cs="Calibri"/>
        </w:rPr>
        <w:br/>
        <w:t xml:space="preserve"> a zyskiem operacyjnym z inwestycji</w:t>
      </w:r>
      <w:r w:rsidR="00E30CDB">
        <w:rPr>
          <w:rFonts w:ascii="Calibri" w:hAnsi="Calibri" w:cs="Calibri"/>
        </w:rPr>
        <w:t xml:space="preserve"> (</w:t>
      </w:r>
      <w:r w:rsidR="00E30CDB" w:rsidRPr="0047565C">
        <w:rPr>
          <w:rFonts w:ascii="Calibri" w:hAnsi="Calibri" w:cs="Calibri"/>
        </w:rPr>
        <w:t>poziom dofinansowania nie może przekroczyć 85% kosztów kwalifikowalnych</w:t>
      </w:r>
      <w:r w:rsidR="00E30CDB">
        <w:rPr>
          <w:rFonts w:ascii="Calibri" w:hAnsi="Calibri" w:cs="Calibri"/>
        </w:rPr>
        <w:t>)</w:t>
      </w:r>
      <w:r w:rsidRPr="00B632AC">
        <w:rPr>
          <w:rFonts w:ascii="Calibri" w:hAnsi="Calibri" w:cs="Calibri"/>
        </w:rPr>
        <w:t>. Przy czym za koszty kwalifikowalne można uznać całkowity koszt wspieranych inwestycji (</w:t>
      </w:r>
      <w:r w:rsidR="005C0FA2">
        <w:rPr>
          <w:rFonts w:ascii="Calibri" w:hAnsi="Calibri" w:cs="Calibri"/>
        </w:rPr>
        <w:t xml:space="preserve">inwestycje w </w:t>
      </w:r>
      <w:r w:rsidRPr="00B632AC">
        <w:rPr>
          <w:rFonts w:ascii="Calibri" w:hAnsi="Calibri" w:cs="Calibri"/>
        </w:rPr>
        <w:t xml:space="preserve">aktywa trwałe oraz wartości niematerialne i prawne), natomiast zysk operacyjny jest definiowany w art. 2 pkt 39 rozporządzenia </w:t>
      </w:r>
      <w:r w:rsidR="00B632AC">
        <w:rPr>
          <w:rFonts w:ascii="Calibri" w:hAnsi="Calibri" w:cs="Calibri"/>
        </w:rPr>
        <w:br/>
      </w:r>
      <w:r w:rsidRPr="00B632AC">
        <w:rPr>
          <w:rFonts w:ascii="Calibri" w:hAnsi="Calibri" w:cs="Calibri"/>
        </w:rPr>
        <w:t>nr 651/2014, jako: różnica między zdyskontowanymi dochodami</w:t>
      </w:r>
      <w:r w:rsidR="00A141E5" w:rsidRPr="00B632AC">
        <w:rPr>
          <w:rFonts w:ascii="Calibri" w:hAnsi="Calibri" w:cs="Calibri"/>
        </w:rPr>
        <w:t>,</w:t>
      </w:r>
      <w:r w:rsidRPr="00B632AC">
        <w:rPr>
          <w:rFonts w:ascii="Calibri" w:hAnsi="Calibri" w:cs="Calibri"/>
        </w:rPr>
        <w:t xml:space="preserve"> a zdyskontowanymi kosztami operacyjnymi w ekonomicznym cyklu życia inwestycji, gdy różnica ta jest wartością dodatnią. Koszty operacyjne obejmują koszty, takie jak koszty personelu, materiałów, zakontraktowanych usług, komunikacji, energii, konserwacji, czynszu, administracji, lecz nie uwzględniają, (…) kosztów amortyzacji i kosztów finansowania, jeśli zostały one objęte zakresem pomocy inwestycyjnej.</w:t>
      </w:r>
      <w:r w:rsidR="00A141E5" w:rsidRPr="00B632AC">
        <w:rPr>
          <w:rFonts w:ascii="Calibri" w:hAnsi="Calibri" w:cs="Calibri"/>
        </w:rPr>
        <w:t xml:space="preserve"> </w:t>
      </w:r>
      <w:r w:rsidR="00A141E5" w:rsidRPr="00B632AC">
        <w:rPr>
          <w:rFonts w:asciiTheme="minorHAnsi" w:hAnsiTheme="minorHAnsi" w:cstheme="minorHAnsi"/>
          <w:color w:val="000000"/>
        </w:rPr>
        <w:t>Dyskontowanie przychodów i kosztów operacyjnych przy zastosowaniu odpowiedniej stopy dyskontowej pozwala na osiągnięcie rozsądnego zysku;</w:t>
      </w:r>
    </w:p>
    <w:p w14:paraId="1D63BE34" w14:textId="58D37F7E" w:rsidR="00DA6EF8" w:rsidRPr="00375C93" w:rsidRDefault="00DA6EF8" w:rsidP="00B32383">
      <w:pPr>
        <w:pStyle w:val="Tekstpodstawowy"/>
        <w:numPr>
          <w:ilvl w:val="0"/>
          <w:numId w:val="1"/>
        </w:numPr>
        <w:spacing w:line="360" w:lineRule="auto"/>
        <w:jc w:val="left"/>
        <w:rPr>
          <w:rFonts w:asciiTheme="minorHAnsi" w:hAnsiTheme="minorHAnsi" w:cstheme="minorHAnsi"/>
        </w:rPr>
      </w:pPr>
      <w:r w:rsidRPr="00B632AC">
        <w:rPr>
          <w:rFonts w:asciiTheme="minorHAnsi" w:hAnsiTheme="minorHAnsi" w:cstheme="minorHAnsi"/>
        </w:rPr>
        <w:t xml:space="preserve">Mechanizm wycofania jest stosowany w całym ekonomicznym cyklu życia inwestycji, niezależnie od tego, że okres trwałości projektu wynikający z Umowy o dofinansowanie może być krótszy. </w:t>
      </w:r>
      <w:r w:rsidR="00D30DB1" w:rsidRPr="00B632AC">
        <w:rPr>
          <w:rFonts w:asciiTheme="minorHAnsi" w:hAnsiTheme="minorHAnsi" w:cstheme="minorHAnsi"/>
        </w:rPr>
        <w:t>Ekonomiczny c</w:t>
      </w:r>
      <w:r w:rsidRPr="00B632AC">
        <w:rPr>
          <w:rFonts w:asciiTheme="minorHAnsi" w:hAnsiTheme="minorHAnsi" w:cstheme="minorHAnsi"/>
        </w:rPr>
        <w:t xml:space="preserve">ykl życia inwestycji </w:t>
      </w:r>
      <w:r w:rsidR="00375C93" w:rsidRPr="005D1A63">
        <w:rPr>
          <w:rFonts w:asciiTheme="minorHAnsi" w:hAnsiTheme="minorHAnsi" w:cstheme="minorHAnsi"/>
        </w:rPr>
        <w:t>definiuje się jako przewidywany okres czasu, w którym przedmiot inwestycji (projekt) pozostaje użyteczny, tj. jest zdolny do dostarczania dóbr i/lub usług. Okres odniesienia powinien zatem kończyć się w momencie przewidywanego zakończenia okresu ekonomicznej użyte</w:t>
      </w:r>
      <w:r w:rsidR="00375C93">
        <w:rPr>
          <w:rFonts w:asciiTheme="minorHAnsi" w:hAnsiTheme="minorHAnsi" w:cstheme="minorHAnsi"/>
        </w:rPr>
        <w:t>czności</w:t>
      </w:r>
      <w:r w:rsidR="00375C93" w:rsidRPr="005D1A63">
        <w:rPr>
          <w:rFonts w:asciiTheme="minorHAnsi" w:hAnsiTheme="minorHAnsi" w:cstheme="minorHAnsi"/>
        </w:rPr>
        <w:t xml:space="preserve"> projektu. </w:t>
      </w:r>
      <w:r w:rsidR="00375C93" w:rsidRPr="005D1A63">
        <w:rPr>
          <w:rFonts w:asciiTheme="minorHAnsi" w:hAnsiTheme="minorHAnsi" w:cstheme="minorHAnsi"/>
        </w:rPr>
        <w:lastRenderedPageBreak/>
        <w:t xml:space="preserve">Okres odniesienia obejmuje zarówno lata inwestycji, jak i eksploatacji (oraz likwidacji, </w:t>
      </w:r>
      <w:r w:rsidR="00375C93">
        <w:rPr>
          <w:rFonts w:asciiTheme="minorHAnsi" w:hAnsiTheme="minorHAnsi" w:cstheme="minorHAnsi"/>
        </w:rPr>
        <w:br/>
      </w:r>
      <w:r w:rsidR="00375C93" w:rsidRPr="005D1A63">
        <w:rPr>
          <w:rFonts w:asciiTheme="minorHAnsi" w:hAnsiTheme="minorHAnsi" w:cstheme="minorHAnsi"/>
        </w:rPr>
        <w:t xml:space="preserve">w przypadku gdy jest ona istotna). </w:t>
      </w:r>
    </w:p>
    <w:p w14:paraId="16848B1D" w14:textId="38683825" w:rsidR="00DA6EF8" w:rsidRPr="00B632AC" w:rsidRDefault="00DA6EF8" w:rsidP="00B32383">
      <w:pPr>
        <w:pStyle w:val="Tekstpodstawowy"/>
        <w:numPr>
          <w:ilvl w:val="0"/>
          <w:numId w:val="1"/>
        </w:numPr>
        <w:spacing w:line="360" w:lineRule="auto"/>
        <w:jc w:val="left"/>
        <w:rPr>
          <w:rFonts w:asciiTheme="minorHAnsi" w:hAnsiTheme="minorHAnsi" w:cstheme="minorHAnsi"/>
        </w:rPr>
      </w:pPr>
      <w:r w:rsidRPr="00B632AC">
        <w:rPr>
          <w:rFonts w:asciiTheme="minorHAnsi" w:hAnsiTheme="minorHAnsi" w:cstheme="minorHAnsi"/>
        </w:rPr>
        <w:t>Beneficjent jest zobowiązany do monitorowania</w:t>
      </w:r>
      <w:r w:rsidR="00C01BFD" w:rsidRPr="00B632AC">
        <w:rPr>
          <w:rFonts w:asciiTheme="minorHAnsi" w:hAnsiTheme="minorHAnsi" w:cstheme="minorHAnsi"/>
        </w:rPr>
        <w:t xml:space="preserve"> poziomu</w:t>
      </w:r>
      <w:r w:rsidRPr="00B632AC">
        <w:rPr>
          <w:rFonts w:asciiTheme="minorHAnsi" w:hAnsiTheme="minorHAnsi" w:cstheme="minorHAnsi"/>
        </w:rPr>
        <w:t xml:space="preserve"> </w:t>
      </w:r>
      <w:r w:rsidR="00C01BFD" w:rsidRPr="00B632AC">
        <w:rPr>
          <w:rFonts w:asciiTheme="minorHAnsi" w:hAnsiTheme="minorHAnsi" w:cstheme="minorHAnsi"/>
        </w:rPr>
        <w:t>osiągniętego</w:t>
      </w:r>
      <w:r w:rsidRPr="00B632AC">
        <w:rPr>
          <w:rFonts w:asciiTheme="minorHAnsi" w:hAnsiTheme="minorHAnsi" w:cstheme="minorHAnsi"/>
        </w:rPr>
        <w:t xml:space="preserve"> zysk</w:t>
      </w:r>
      <w:r w:rsidR="00C01BFD" w:rsidRPr="00B632AC">
        <w:rPr>
          <w:rFonts w:asciiTheme="minorHAnsi" w:hAnsiTheme="minorHAnsi" w:cstheme="minorHAnsi"/>
        </w:rPr>
        <w:t>u</w:t>
      </w:r>
      <w:r w:rsidRPr="00B632AC">
        <w:rPr>
          <w:rFonts w:asciiTheme="minorHAnsi" w:hAnsiTheme="minorHAnsi" w:cstheme="minorHAnsi"/>
        </w:rPr>
        <w:t xml:space="preserve"> </w:t>
      </w:r>
      <w:r w:rsidR="00C01BFD" w:rsidRPr="00B632AC">
        <w:rPr>
          <w:rFonts w:asciiTheme="minorHAnsi" w:hAnsiTheme="minorHAnsi" w:cstheme="minorHAnsi"/>
        </w:rPr>
        <w:t>operacyjnego</w:t>
      </w:r>
      <w:r w:rsidRPr="00B632AC">
        <w:rPr>
          <w:rFonts w:asciiTheme="minorHAnsi" w:hAnsiTheme="minorHAnsi" w:cstheme="minorHAnsi"/>
        </w:rPr>
        <w:t xml:space="preserve">. </w:t>
      </w:r>
      <w:r w:rsidR="00C01BFD" w:rsidRPr="00B632AC">
        <w:rPr>
          <w:rFonts w:asciiTheme="minorHAnsi" w:hAnsiTheme="minorHAnsi" w:cstheme="minorHAnsi"/>
        </w:rPr>
        <w:t xml:space="preserve">Ponadto </w:t>
      </w:r>
      <w:r w:rsidRPr="00B632AC">
        <w:rPr>
          <w:rFonts w:asciiTheme="minorHAnsi" w:hAnsiTheme="minorHAnsi" w:cstheme="minorHAnsi"/>
        </w:rPr>
        <w:t>Beneficjent zobowiązany jest do przedstawiania I</w:t>
      </w:r>
      <w:r w:rsidR="00B632AC" w:rsidRPr="00B632AC">
        <w:rPr>
          <w:rFonts w:asciiTheme="minorHAnsi" w:hAnsiTheme="minorHAnsi" w:cstheme="minorHAnsi"/>
        </w:rPr>
        <w:t>ns</w:t>
      </w:r>
      <w:r w:rsidR="00B632AC">
        <w:rPr>
          <w:rFonts w:asciiTheme="minorHAnsi" w:hAnsiTheme="minorHAnsi" w:cstheme="minorHAnsi"/>
        </w:rPr>
        <w:t>t</w:t>
      </w:r>
      <w:r w:rsidR="00B632AC" w:rsidRPr="00B632AC">
        <w:rPr>
          <w:rFonts w:asciiTheme="minorHAnsi" w:hAnsiTheme="minorHAnsi" w:cstheme="minorHAnsi"/>
        </w:rPr>
        <w:t xml:space="preserve">ytucji </w:t>
      </w:r>
      <w:r w:rsidRPr="00B632AC">
        <w:rPr>
          <w:rFonts w:asciiTheme="minorHAnsi" w:hAnsiTheme="minorHAnsi" w:cstheme="minorHAnsi"/>
        </w:rPr>
        <w:t>P</w:t>
      </w:r>
      <w:r w:rsidR="00B632AC" w:rsidRPr="00B632AC">
        <w:rPr>
          <w:rFonts w:asciiTheme="minorHAnsi" w:hAnsiTheme="minorHAnsi" w:cstheme="minorHAnsi"/>
        </w:rPr>
        <w:t xml:space="preserve">ośredniczącej </w:t>
      </w:r>
      <w:r w:rsidRPr="00B632AC">
        <w:rPr>
          <w:rFonts w:asciiTheme="minorHAnsi" w:hAnsiTheme="minorHAnsi" w:cstheme="minorHAnsi"/>
        </w:rPr>
        <w:t xml:space="preserve">informacji </w:t>
      </w:r>
      <w:r w:rsidR="00B632AC" w:rsidRPr="00B632AC">
        <w:rPr>
          <w:rFonts w:asciiTheme="minorHAnsi" w:hAnsiTheme="minorHAnsi" w:cstheme="minorHAnsi"/>
        </w:rPr>
        <w:t xml:space="preserve"> </w:t>
      </w:r>
      <w:r w:rsidRPr="00B632AC">
        <w:rPr>
          <w:rFonts w:asciiTheme="minorHAnsi" w:hAnsiTheme="minorHAnsi" w:cstheme="minorHAnsi"/>
        </w:rPr>
        <w:t>w</w:t>
      </w:r>
      <w:r w:rsidR="00C01BFD" w:rsidRPr="00B632AC">
        <w:rPr>
          <w:rFonts w:asciiTheme="minorHAnsi" w:hAnsiTheme="minorHAnsi" w:cstheme="minorHAnsi"/>
        </w:rPr>
        <w:t xml:space="preserve"> powyższym</w:t>
      </w:r>
      <w:r w:rsidRPr="00B632AC">
        <w:rPr>
          <w:rFonts w:asciiTheme="minorHAnsi" w:hAnsiTheme="minorHAnsi" w:cstheme="minorHAnsi"/>
        </w:rPr>
        <w:t xml:space="preserve"> zakresie w terminie do 31 marca </w:t>
      </w:r>
      <w:r w:rsidR="00357FC3" w:rsidRPr="00B632AC">
        <w:rPr>
          <w:rFonts w:asciiTheme="minorHAnsi" w:hAnsiTheme="minorHAnsi" w:cstheme="minorHAnsi"/>
        </w:rPr>
        <w:t>każdego roku, aż do zakończenia ekonomicznego cyklu życia projektu.</w:t>
      </w:r>
      <w:r w:rsidR="00735AE7">
        <w:rPr>
          <w:rFonts w:asciiTheme="minorHAnsi" w:hAnsiTheme="minorHAnsi" w:cstheme="minorHAnsi"/>
        </w:rPr>
        <w:t xml:space="preserve"> Instytucja Pośrednicząca, </w:t>
      </w:r>
      <w:r w:rsidR="00735AE7">
        <w:rPr>
          <w:rFonts w:asciiTheme="minorHAnsi" w:hAnsiTheme="minorHAnsi" w:cstheme="minorHAnsi"/>
        </w:rPr>
        <w:br/>
        <w:t>w każdym momencie może wezwać Beneficjenta do przedłożenia dokumentów źródłowych potwierdzających wyliczenia przedstawione przez Beneficjenta.</w:t>
      </w:r>
    </w:p>
    <w:p w14:paraId="75D9902E" w14:textId="38DB1D02" w:rsidR="00DA6EF8" w:rsidRPr="00B632AC" w:rsidRDefault="00DA6EF8" w:rsidP="00B32383">
      <w:pPr>
        <w:pStyle w:val="Tekstpodstawowy"/>
        <w:numPr>
          <w:ilvl w:val="0"/>
          <w:numId w:val="1"/>
        </w:numPr>
        <w:spacing w:line="360" w:lineRule="auto"/>
        <w:jc w:val="left"/>
        <w:rPr>
          <w:rFonts w:asciiTheme="minorHAnsi" w:hAnsiTheme="minorHAnsi" w:cstheme="minorHAnsi"/>
        </w:rPr>
      </w:pPr>
      <w:r w:rsidRPr="00B632AC">
        <w:rPr>
          <w:rFonts w:asciiTheme="minorHAnsi" w:hAnsiTheme="minorHAnsi" w:cstheme="minorHAnsi"/>
        </w:rPr>
        <w:t xml:space="preserve">Beneficjent jest zobowiązany na koniec ekonomicznego cyklu życia inwestycji </w:t>
      </w:r>
      <w:r w:rsidR="00B632AC" w:rsidRPr="00B632AC">
        <w:rPr>
          <w:rFonts w:asciiTheme="minorHAnsi" w:hAnsiTheme="minorHAnsi" w:cstheme="minorHAnsi"/>
        </w:rPr>
        <w:br/>
      </w:r>
      <w:r w:rsidRPr="00B632AC">
        <w:rPr>
          <w:rFonts w:asciiTheme="minorHAnsi" w:hAnsiTheme="minorHAnsi" w:cstheme="minorHAnsi"/>
        </w:rPr>
        <w:t>do przedstawienia I</w:t>
      </w:r>
      <w:r w:rsidR="00B632AC" w:rsidRPr="00B632AC">
        <w:rPr>
          <w:rFonts w:asciiTheme="minorHAnsi" w:hAnsiTheme="minorHAnsi" w:cstheme="minorHAnsi"/>
        </w:rPr>
        <w:t xml:space="preserve">nstytucji </w:t>
      </w:r>
      <w:r w:rsidRPr="00B632AC">
        <w:rPr>
          <w:rFonts w:asciiTheme="minorHAnsi" w:hAnsiTheme="minorHAnsi" w:cstheme="minorHAnsi"/>
        </w:rPr>
        <w:t>P</w:t>
      </w:r>
      <w:r w:rsidR="00B632AC" w:rsidRPr="00B632AC">
        <w:rPr>
          <w:rFonts w:asciiTheme="minorHAnsi" w:hAnsiTheme="minorHAnsi" w:cstheme="minorHAnsi"/>
        </w:rPr>
        <w:t>ośredniczącej</w:t>
      </w:r>
      <w:r w:rsidRPr="00B632AC">
        <w:rPr>
          <w:rFonts w:asciiTheme="minorHAnsi" w:hAnsiTheme="minorHAnsi" w:cstheme="minorHAnsi"/>
        </w:rPr>
        <w:t xml:space="preserve"> całościowej informacji, czy nie wystąpił </w:t>
      </w:r>
      <w:bookmarkStart w:id="0" w:name="_Hlk203545084"/>
      <w:r w:rsidRPr="00B632AC">
        <w:rPr>
          <w:rFonts w:asciiTheme="minorHAnsi" w:hAnsiTheme="minorHAnsi" w:cstheme="minorHAnsi"/>
        </w:rPr>
        <w:t xml:space="preserve">nadmierny skumulowany zysk </w:t>
      </w:r>
      <w:r w:rsidR="00C01BFD" w:rsidRPr="00B632AC">
        <w:rPr>
          <w:rFonts w:asciiTheme="minorHAnsi" w:hAnsiTheme="minorHAnsi" w:cstheme="minorHAnsi"/>
        </w:rPr>
        <w:t xml:space="preserve">operacyjny </w:t>
      </w:r>
      <w:r w:rsidRPr="00B632AC">
        <w:rPr>
          <w:rFonts w:asciiTheme="minorHAnsi" w:hAnsiTheme="minorHAnsi" w:cstheme="minorHAnsi"/>
        </w:rPr>
        <w:t xml:space="preserve">w projekcie ponad wartość </w:t>
      </w:r>
      <w:r w:rsidR="008A772C" w:rsidRPr="00B632AC">
        <w:rPr>
          <w:rFonts w:asciiTheme="minorHAnsi" w:hAnsiTheme="minorHAnsi" w:cstheme="minorHAnsi"/>
        </w:rPr>
        <w:t>wy</w:t>
      </w:r>
      <w:r w:rsidR="00CA3486" w:rsidRPr="00B632AC">
        <w:rPr>
          <w:rFonts w:asciiTheme="minorHAnsi" w:hAnsiTheme="minorHAnsi" w:cstheme="minorHAnsi"/>
        </w:rPr>
        <w:t xml:space="preserve">nikającą </w:t>
      </w:r>
      <w:r w:rsidR="00B632AC" w:rsidRPr="00B632AC">
        <w:rPr>
          <w:rFonts w:asciiTheme="minorHAnsi" w:hAnsiTheme="minorHAnsi" w:cstheme="minorHAnsi"/>
        </w:rPr>
        <w:br/>
      </w:r>
      <w:r w:rsidR="00CA3486" w:rsidRPr="00B632AC">
        <w:rPr>
          <w:rFonts w:asciiTheme="minorHAnsi" w:hAnsiTheme="minorHAnsi" w:cstheme="minorHAnsi"/>
        </w:rPr>
        <w:t xml:space="preserve">z </w:t>
      </w:r>
      <w:r w:rsidR="00A141E5" w:rsidRPr="00B632AC">
        <w:rPr>
          <w:rFonts w:asciiTheme="minorHAnsi" w:hAnsiTheme="minorHAnsi" w:cstheme="minorHAnsi"/>
        </w:rPr>
        <w:t xml:space="preserve">prognoz przedstawionych w </w:t>
      </w:r>
      <w:r w:rsidR="00CA3486" w:rsidRPr="00B632AC">
        <w:rPr>
          <w:rFonts w:asciiTheme="minorHAnsi" w:hAnsiTheme="minorHAnsi" w:cstheme="minorHAnsi"/>
        </w:rPr>
        <w:t>zatwierdzon</w:t>
      </w:r>
      <w:r w:rsidR="00A141E5" w:rsidRPr="00B632AC">
        <w:rPr>
          <w:rFonts w:asciiTheme="minorHAnsi" w:hAnsiTheme="minorHAnsi" w:cstheme="minorHAnsi"/>
        </w:rPr>
        <w:t>ym</w:t>
      </w:r>
      <w:r w:rsidR="008A772C" w:rsidRPr="00B632AC">
        <w:rPr>
          <w:rFonts w:asciiTheme="minorHAnsi" w:hAnsiTheme="minorHAnsi" w:cstheme="minorHAnsi"/>
        </w:rPr>
        <w:t xml:space="preserve"> wniosku o dofinansowanie</w:t>
      </w:r>
      <w:r w:rsidR="00CA3486" w:rsidRPr="00B632AC">
        <w:rPr>
          <w:rFonts w:asciiTheme="minorHAnsi" w:hAnsiTheme="minorHAnsi" w:cstheme="minorHAnsi"/>
        </w:rPr>
        <w:t xml:space="preserve"> projektu</w:t>
      </w:r>
      <w:bookmarkEnd w:id="0"/>
      <w:r w:rsidRPr="00B632AC">
        <w:rPr>
          <w:rFonts w:asciiTheme="minorHAnsi" w:hAnsiTheme="minorHAnsi" w:cstheme="minorHAnsi"/>
        </w:rPr>
        <w:t xml:space="preserve">. </w:t>
      </w:r>
    </w:p>
    <w:p w14:paraId="367D1AD7" w14:textId="6ABFE6CC" w:rsidR="00DA6EF8" w:rsidRPr="00B632AC" w:rsidRDefault="00DA6EF8" w:rsidP="00B32383">
      <w:pPr>
        <w:pStyle w:val="Tekstpodstawowy"/>
        <w:numPr>
          <w:ilvl w:val="0"/>
          <w:numId w:val="1"/>
        </w:numPr>
        <w:spacing w:line="360" w:lineRule="auto"/>
        <w:jc w:val="left"/>
        <w:rPr>
          <w:rFonts w:asciiTheme="minorHAnsi" w:hAnsiTheme="minorHAnsi" w:cstheme="minorHAnsi"/>
        </w:rPr>
      </w:pPr>
      <w:r w:rsidRPr="00B632AC">
        <w:rPr>
          <w:rFonts w:asciiTheme="minorHAnsi" w:hAnsiTheme="minorHAnsi" w:cstheme="minorHAnsi"/>
        </w:rPr>
        <w:t xml:space="preserve">W przypadku, w którym przewidziano wybór operatora infrastruktury, analizę poziomu zysku </w:t>
      </w:r>
      <w:r w:rsidR="00CA3486" w:rsidRPr="00B632AC">
        <w:rPr>
          <w:rFonts w:asciiTheme="minorHAnsi" w:hAnsiTheme="minorHAnsi" w:cstheme="minorHAnsi"/>
        </w:rPr>
        <w:t>operacyjnego</w:t>
      </w:r>
      <w:r w:rsidRPr="00B632AC">
        <w:rPr>
          <w:rFonts w:asciiTheme="minorHAnsi" w:hAnsiTheme="minorHAnsi" w:cstheme="minorHAnsi"/>
        </w:rPr>
        <w:t xml:space="preserve"> przeprowadza się odrębnie dla właściciela i operatora infrastruktury za wyjątkiem sytuacji, o której mowa w ustępie niżej. Beneficjent jest odpowiedzialny </w:t>
      </w:r>
      <w:r w:rsidR="00B632AC">
        <w:rPr>
          <w:rFonts w:asciiTheme="minorHAnsi" w:hAnsiTheme="minorHAnsi" w:cstheme="minorHAnsi"/>
        </w:rPr>
        <w:br/>
      </w:r>
      <w:r w:rsidRPr="00B632AC">
        <w:rPr>
          <w:rFonts w:asciiTheme="minorHAnsi" w:hAnsiTheme="minorHAnsi" w:cstheme="minorHAnsi"/>
        </w:rPr>
        <w:t xml:space="preserve">za zawarcie odpowiednich postanowień w umowie z operatorem w celu korekty nadwyżki zysku </w:t>
      </w:r>
      <w:r w:rsidR="00CA3486" w:rsidRPr="00B632AC">
        <w:rPr>
          <w:rFonts w:asciiTheme="minorHAnsi" w:hAnsiTheme="minorHAnsi" w:cstheme="minorHAnsi"/>
        </w:rPr>
        <w:t>operacyjnego</w:t>
      </w:r>
      <w:r w:rsidRPr="00B632AC">
        <w:rPr>
          <w:rFonts w:asciiTheme="minorHAnsi" w:hAnsiTheme="minorHAnsi" w:cstheme="minorHAnsi"/>
        </w:rPr>
        <w:t xml:space="preserve"> ponad zysk rozsądny. </w:t>
      </w:r>
    </w:p>
    <w:p w14:paraId="787B73C2" w14:textId="12FD39B0" w:rsidR="00DA6EF8" w:rsidRPr="00B632AC" w:rsidRDefault="00DA6EF8" w:rsidP="00B32383">
      <w:pPr>
        <w:pStyle w:val="Tekstpodstawowy"/>
        <w:numPr>
          <w:ilvl w:val="0"/>
          <w:numId w:val="1"/>
        </w:numPr>
        <w:spacing w:line="360" w:lineRule="auto"/>
        <w:jc w:val="left"/>
        <w:rPr>
          <w:rFonts w:asciiTheme="minorHAnsi" w:hAnsiTheme="minorHAnsi" w:cstheme="minorHAnsi"/>
        </w:rPr>
      </w:pPr>
      <w:r w:rsidRPr="00B632AC">
        <w:rPr>
          <w:rFonts w:asciiTheme="minorHAnsi" w:hAnsiTheme="minorHAnsi" w:cstheme="minorHAnsi"/>
        </w:rPr>
        <w:t xml:space="preserve">Jeżeli operator infrastruktury zostanie wyłoniony w trybie przetargu, uznaje się, że poziom zysku nie będzie nadmierny zgodnie z przepisami GBER i nie ma potrzeby badania poziomu zysku operatora infrastruktury. W takim przypadku, weryfikuje się występowanie i poziom  zysku </w:t>
      </w:r>
      <w:r w:rsidR="00CA3486" w:rsidRPr="00B632AC">
        <w:rPr>
          <w:rFonts w:asciiTheme="minorHAnsi" w:hAnsiTheme="minorHAnsi" w:cstheme="minorHAnsi"/>
        </w:rPr>
        <w:t xml:space="preserve">operacyjnego </w:t>
      </w:r>
      <w:r w:rsidRPr="00B632AC">
        <w:rPr>
          <w:rFonts w:asciiTheme="minorHAnsi" w:hAnsiTheme="minorHAnsi" w:cstheme="minorHAnsi"/>
        </w:rPr>
        <w:t xml:space="preserve">dla Beneficjenta (właściciela infrastruktury). </w:t>
      </w:r>
    </w:p>
    <w:p w14:paraId="3314C885" w14:textId="02209959" w:rsidR="00DA6EF8" w:rsidRPr="00B632AC" w:rsidRDefault="00DA6EF8" w:rsidP="00B32383">
      <w:pPr>
        <w:pStyle w:val="Tekstpodstawowy"/>
        <w:numPr>
          <w:ilvl w:val="0"/>
          <w:numId w:val="1"/>
        </w:numPr>
        <w:spacing w:line="360" w:lineRule="auto"/>
        <w:jc w:val="left"/>
        <w:rPr>
          <w:rFonts w:asciiTheme="minorHAnsi" w:hAnsiTheme="minorHAnsi" w:cstheme="minorHAnsi"/>
        </w:rPr>
      </w:pPr>
      <w:r w:rsidRPr="00B632AC">
        <w:rPr>
          <w:rFonts w:asciiTheme="minorHAnsi" w:hAnsiTheme="minorHAnsi" w:cstheme="minorHAnsi"/>
        </w:rPr>
        <w:t>Beneficjent (analogicznie operator infrastruktury) zobowiązany jest prowadzić rachunkowość w sposób umożliwiający wyodrębnienie kosztów i przychodów związanych ze świadczeniem usług w ramach projektu poprzez całkowite lub proporcjonalne (gdy prowadzona jest również inn</w:t>
      </w:r>
      <w:r w:rsidR="003B4811" w:rsidRPr="00B632AC">
        <w:rPr>
          <w:rFonts w:asciiTheme="minorHAnsi" w:hAnsiTheme="minorHAnsi" w:cstheme="minorHAnsi"/>
        </w:rPr>
        <w:t>a</w:t>
      </w:r>
      <w:r w:rsidRPr="00B632AC">
        <w:rPr>
          <w:rFonts w:asciiTheme="minorHAnsi" w:hAnsiTheme="minorHAnsi" w:cstheme="minorHAnsi"/>
        </w:rPr>
        <w:t xml:space="preserve"> działalność) przypisanie kosztów i przychodów do tego projektu. </w:t>
      </w:r>
    </w:p>
    <w:p w14:paraId="32DF3211" w14:textId="4D6DD5F6" w:rsidR="00DA6EF8" w:rsidRPr="00B632AC" w:rsidRDefault="00DA6EF8" w:rsidP="00B32383">
      <w:pPr>
        <w:pStyle w:val="Default"/>
        <w:numPr>
          <w:ilvl w:val="0"/>
          <w:numId w:val="1"/>
        </w:numPr>
        <w:spacing w:after="88" w:line="360" w:lineRule="auto"/>
        <w:rPr>
          <w:rFonts w:asciiTheme="minorHAnsi" w:hAnsiTheme="minorHAnsi" w:cstheme="minorHAnsi"/>
        </w:rPr>
      </w:pPr>
      <w:r w:rsidRPr="00B632AC">
        <w:rPr>
          <w:rFonts w:asciiTheme="minorHAnsi" w:hAnsiTheme="minorHAnsi" w:cstheme="minorHAnsi"/>
        </w:rPr>
        <w:t xml:space="preserve">W przypadku, gdy w projekcie wystąpi </w:t>
      </w:r>
      <w:r w:rsidR="003B756F" w:rsidRPr="00B632AC">
        <w:rPr>
          <w:rFonts w:asciiTheme="minorHAnsi" w:hAnsiTheme="minorHAnsi" w:cstheme="minorHAnsi"/>
        </w:rPr>
        <w:t xml:space="preserve">nadmierny skumulowany zysk operacyjny ponad wartość wynikającą z </w:t>
      </w:r>
      <w:r w:rsidR="00E30CDB">
        <w:rPr>
          <w:rFonts w:asciiTheme="minorHAnsi" w:hAnsiTheme="minorHAnsi" w:cstheme="minorHAnsi"/>
        </w:rPr>
        <w:t xml:space="preserve">rozsądnych </w:t>
      </w:r>
      <w:r w:rsidR="003B756F" w:rsidRPr="00B632AC">
        <w:rPr>
          <w:rFonts w:asciiTheme="minorHAnsi" w:hAnsiTheme="minorHAnsi" w:cstheme="minorHAnsi"/>
        </w:rPr>
        <w:t xml:space="preserve">prognoz przedstawionych w zatwierdzonym wniosku </w:t>
      </w:r>
      <w:r w:rsidR="00B632AC">
        <w:rPr>
          <w:rFonts w:asciiTheme="minorHAnsi" w:hAnsiTheme="minorHAnsi" w:cstheme="minorHAnsi"/>
        </w:rPr>
        <w:br/>
      </w:r>
      <w:r w:rsidR="003B756F" w:rsidRPr="00B632AC">
        <w:rPr>
          <w:rFonts w:asciiTheme="minorHAnsi" w:hAnsiTheme="minorHAnsi" w:cstheme="minorHAnsi"/>
        </w:rPr>
        <w:t>o dofinansowanie projektu</w:t>
      </w:r>
      <w:r w:rsidR="003B756F" w:rsidRPr="00B632AC" w:rsidDel="003B756F">
        <w:rPr>
          <w:rFonts w:asciiTheme="minorHAnsi" w:hAnsiTheme="minorHAnsi" w:cstheme="minorHAnsi"/>
        </w:rPr>
        <w:t xml:space="preserve"> </w:t>
      </w:r>
      <w:r w:rsidRPr="00B632AC">
        <w:rPr>
          <w:rFonts w:asciiTheme="minorHAnsi" w:hAnsiTheme="minorHAnsi" w:cstheme="minorHAnsi"/>
        </w:rPr>
        <w:t xml:space="preserve">w okresie </w:t>
      </w:r>
      <w:r w:rsidR="003B4811" w:rsidRPr="00B632AC">
        <w:rPr>
          <w:rFonts w:asciiTheme="minorHAnsi" w:hAnsiTheme="minorHAnsi" w:cstheme="minorHAnsi"/>
        </w:rPr>
        <w:t xml:space="preserve">ekonomicznego </w:t>
      </w:r>
      <w:r w:rsidRPr="00B632AC">
        <w:rPr>
          <w:rFonts w:asciiTheme="minorHAnsi" w:hAnsiTheme="minorHAnsi" w:cstheme="minorHAnsi"/>
        </w:rPr>
        <w:t xml:space="preserve">cyklu życia inwestycji (również </w:t>
      </w:r>
      <w:r w:rsidR="00B632AC">
        <w:rPr>
          <w:rFonts w:asciiTheme="minorHAnsi" w:hAnsiTheme="minorHAnsi" w:cstheme="minorHAnsi"/>
        </w:rPr>
        <w:br/>
      </w:r>
      <w:r w:rsidRPr="00B632AC">
        <w:rPr>
          <w:rFonts w:asciiTheme="minorHAnsi" w:hAnsiTheme="minorHAnsi" w:cstheme="minorHAnsi"/>
        </w:rPr>
        <w:t xml:space="preserve">w momencie zakończenia okresu trwałości projektu), wówczas należy dokonać zwrotu nadmiernego dofinansowania </w:t>
      </w:r>
      <w:r w:rsidR="005E653F" w:rsidRPr="00D6267F">
        <w:rPr>
          <w:rFonts w:asciiTheme="minorHAnsi" w:hAnsiTheme="minorHAnsi" w:cstheme="minorHAnsi"/>
        </w:rPr>
        <w:t xml:space="preserve">w terminie 30 dni od otrzymania od Instytucji </w:t>
      </w:r>
      <w:r w:rsidR="005E653F" w:rsidRPr="00D6267F">
        <w:rPr>
          <w:rFonts w:asciiTheme="minorHAnsi" w:hAnsiTheme="minorHAnsi" w:cstheme="minorHAnsi"/>
        </w:rPr>
        <w:lastRenderedPageBreak/>
        <w:t>Pośredniczącej informacji o konieczności dokonania zwrotu.</w:t>
      </w:r>
      <w:r w:rsidR="005E653F" w:rsidRPr="00234CD2">
        <w:rPr>
          <w:rFonts w:asciiTheme="minorHAnsi" w:hAnsiTheme="minorHAnsi" w:cstheme="minorHAnsi"/>
        </w:rPr>
        <w:t xml:space="preserve"> W przypadku niedokonania zwrotu w terminie stosuje się zasady określone w § 15</w:t>
      </w:r>
      <w:r w:rsidR="005E653F">
        <w:rPr>
          <w:rFonts w:asciiTheme="minorHAnsi" w:hAnsiTheme="minorHAnsi" w:cstheme="minorHAnsi"/>
        </w:rPr>
        <w:t xml:space="preserve"> Umowy</w:t>
      </w:r>
      <w:r w:rsidR="005E653F" w:rsidRPr="00234CD2">
        <w:rPr>
          <w:rFonts w:asciiTheme="minorHAnsi" w:hAnsiTheme="minorHAnsi" w:cstheme="minorHAnsi"/>
        </w:rPr>
        <w:t>.</w:t>
      </w:r>
      <w:r w:rsidRPr="00B632AC">
        <w:rPr>
          <w:rFonts w:asciiTheme="minorHAnsi" w:hAnsiTheme="minorHAnsi" w:cstheme="minorHAnsi"/>
        </w:rPr>
        <w:t xml:space="preserve"> </w:t>
      </w:r>
    </w:p>
    <w:p w14:paraId="379091BD" w14:textId="44612EAD" w:rsidR="00DA6EF8" w:rsidRPr="00B632AC" w:rsidRDefault="00DA6EF8" w:rsidP="00B32383">
      <w:pPr>
        <w:pStyle w:val="Default"/>
        <w:numPr>
          <w:ilvl w:val="0"/>
          <w:numId w:val="1"/>
        </w:numPr>
        <w:spacing w:line="360" w:lineRule="auto"/>
        <w:rPr>
          <w:rFonts w:asciiTheme="minorHAnsi" w:hAnsiTheme="minorHAnsi" w:cstheme="minorHAnsi"/>
        </w:rPr>
      </w:pPr>
      <w:r w:rsidRPr="00B632AC">
        <w:rPr>
          <w:rFonts w:asciiTheme="minorHAnsi" w:hAnsiTheme="minorHAnsi" w:cstheme="minorHAnsi"/>
        </w:rPr>
        <w:t xml:space="preserve">Na etapie kontroli realizacji projektu (w trakcie realizacji, na zakończenie realizacji oraz podczas trwałości projektu) </w:t>
      </w:r>
      <w:r w:rsidR="003B4811" w:rsidRPr="00B632AC">
        <w:rPr>
          <w:rFonts w:asciiTheme="minorHAnsi" w:hAnsiTheme="minorHAnsi" w:cstheme="minorHAnsi"/>
        </w:rPr>
        <w:t>I</w:t>
      </w:r>
      <w:r w:rsidR="00A8050F">
        <w:rPr>
          <w:rFonts w:asciiTheme="minorHAnsi" w:hAnsiTheme="minorHAnsi" w:cstheme="minorHAnsi"/>
        </w:rPr>
        <w:t xml:space="preserve">nstytucja </w:t>
      </w:r>
      <w:r w:rsidR="003B4811" w:rsidRPr="00B632AC">
        <w:rPr>
          <w:rFonts w:asciiTheme="minorHAnsi" w:hAnsiTheme="minorHAnsi" w:cstheme="minorHAnsi"/>
        </w:rPr>
        <w:t>P</w:t>
      </w:r>
      <w:r w:rsidR="00A8050F">
        <w:rPr>
          <w:rFonts w:asciiTheme="minorHAnsi" w:hAnsiTheme="minorHAnsi" w:cstheme="minorHAnsi"/>
        </w:rPr>
        <w:t>ośrednicząca</w:t>
      </w:r>
      <w:r w:rsidRPr="00B632AC">
        <w:rPr>
          <w:rFonts w:asciiTheme="minorHAnsi" w:hAnsiTheme="minorHAnsi" w:cstheme="minorHAnsi"/>
        </w:rPr>
        <w:t xml:space="preserve"> może kontrolować, czy Beneficjent corocznie weryfikuje występowanie i poziom zysku netto. </w:t>
      </w:r>
      <w:r w:rsidR="00FC2962">
        <w:rPr>
          <w:rFonts w:asciiTheme="minorHAnsi" w:hAnsiTheme="minorHAnsi" w:cstheme="minorHAnsi"/>
        </w:rPr>
        <w:t>Beneficjent zobowiązany jest do poddania się kontroli w zakresie mechanizmu wycofania również po upływie okresu trwałości projektu, przy odpowiednim zastosowaniu postanowień §19 Umowy o dofinansowanie.</w:t>
      </w:r>
    </w:p>
    <w:p w14:paraId="7FC3F344" w14:textId="4033D827" w:rsidR="00DA6EF8" w:rsidRPr="00B632AC" w:rsidRDefault="00DA6EF8" w:rsidP="00B632AC">
      <w:pPr>
        <w:pStyle w:val="Tekstpodstawowy"/>
        <w:rPr>
          <w:rFonts w:cs="Calibri"/>
          <w:b/>
          <w:bCs/>
        </w:rPr>
      </w:pPr>
    </w:p>
    <w:p w14:paraId="008865E0" w14:textId="77777777" w:rsidR="00C93DCB" w:rsidRPr="00B632AC" w:rsidRDefault="00C93DCB" w:rsidP="00B632AC">
      <w:pPr>
        <w:ind w:left="4320" w:firstLine="720"/>
        <w:jc w:val="both"/>
        <w:rPr>
          <w:rFonts w:cs="Calibri"/>
          <w:spacing w:val="20"/>
          <w:sz w:val="24"/>
          <w:szCs w:val="24"/>
        </w:rPr>
      </w:pPr>
      <w:r w:rsidRPr="00B632AC">
        <w:rPr>
          <w:rFonts w:cs="Calibri"/>
          <w:spacing w:val="20"/>
          <w:sz w:val="24"/>
          <w:szCs w:val="24"/>
        </w:rPr>
        <w:tab/>
      </w:r>
    </w:p>
    <w:p w14:paraId="529EEAEC" w14:textId="77777777" w:rsidR="00E710F4" w:rsidRPr="00B632AC" w:rsidRDefault="00E710F4" w:rsidP="00B632AC">
      <w:pPr>
        <w:jc w:val="both"/>
        <w:rPr>
          <w:sz w:val="24"/>
          <w:szCs w:val="24"/>
        </w:rPr>
      </w:pPr>
    </w:p>
    <w:sectPr w:rsidR="00E710F4" w:rsidRPr="00B632AC" w:rsidSect="00E710F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7C509" w14:textId="77777777" w:rsidR="00AD2CCE" w:rsidRDefault="00AD2CCE" w:rsidP="00C93DCB">
      <w:pPr>
        <w:spacing w:after="0" w:line="240" w:lineRule="auto"/>
      </w:pPr>
      <w:r>
        <w:separator/>
      </w:r>
    </w:p>
  </w:endnote>
  <w:endnote w:type="continuationSeparator" w:id="0">
    <w:p w14:paraId="4E4CA3E0" w14:textId="77777777" w:rsidR="00AD2CCE" w:rsidRDefault="00AD2CCE" w:rsidP="00C93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6ABB5" w14:textId="77777777" w:rsidR="00AD2CCE" w:rsidRDefault="00AD2CCE" w:rsidP="00C93DCB">
      <w:pPr>
        <w:spacing w:after="0" w:line="240" w:lineRule="auto"/>
      </w:pPr>
      <w:r>
        <w:separator/>
      </w:r>
    </w:p>
  </w:footnote>
  <w:footnote w:type="continuationSeparator" w:id="0">
    <w:p w14:paraId="1C93AF19" w14:textId="77777777" w:rsidR="00AD2CCE" w:rsidRDefault="00AD2CCE" w:rsidP="00C93D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CFCDF" w14:textId="77777777" w:rsidR="00734643" w:rsidRDefault="00734643" w:rsidP="00AC71D8">
    <w:pPr>
      <w:autoSpaceDE w:val="0"/>
      <w:autoSpaceDN w:val="0"/>
      <w:spacing w:after="0" w:line="240" w:lineRule="aut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111053"/>
    <w:multiLevelType w:val="hybridMultilevel"/>
    <w:tmpl w:val="C0B435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4CDF5EE3"/>
    <w:multiLevelType w:val="hybridMultilevel"/>
    <w:tmpl w:val="990845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850813">
    <w:abstractNumId w:val="0"/>
  </w:num>
  <w:num w:numId="2" w16cid:durableId="1035159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DCB"/>
    <w:rsid w:val="00015A1D"/>
    <w:rsid w:val="00023C4A"/>
    <w:rsid w:val="00027EF2"/>
    <w:rsid w:val="000324F1"/>
    <w:rsid w:val="000370C8"/>
    <w:rsid w:val="000634C0"/>
    <w:rsid w:val="000C13C0"/>
    <w:rsid w:val="000C6052"/>
    <w:rsid w:val="000C699C"/>
    <w:rsid w:val="000F5656"/>
    <w:rsid w:val="000F67C8"/>
    <w:rsid w:val="00170290"/>
    <w:rsid w:val="001B0147"/>
    <w:rsid w:val="001C03D5"/>
    <w:rsid w:val="001E282E"/>
    <w:rsid w:val="00211BCC"/>
    <w:rsid w:val="0025013D"/>
    <w:rsid w:val="00252CCB"/>
    <w:rsid w:val="00253B7C"/>
    <w:rsid w:val="002A3600"/>
    <w:rsid w:val="002B3929"/>
    <w:rsid w:val="002B4B80"/>
    <w:rsid w:val="002B69D5"/>
    <w:rsid w:val="002D4668"/>
    <w:rsid w:val="002E4DA9"/>
    <w:rsid w:val="00301658"/>
    <w:rsid w:val="00304D49"/>
    <w:rsid w:val="0031198F"/>
    <w:rsid w:val="00322B80"/>
    <w:rsid w:val="00322CA0"/>
    <w:rsid w:val="00357FC3"/>
    <w:rsid w:val="00375C93"/>
    <w:rsid w:val="00375CCE"/>
    <w:rsid w:val="003B094B"/>
    <w:rsid w:val="003B37F2"/>
    <w:rsid w:val="003B4811"/>
    <w:rsid w:val="003B756F"/>
    <w:rsid w:val="003C6693"/>
    <w:rsid w:val="003F297A"/>
    <w:rsid w:val="00472EA2"/>
    <w:rsid w:val="004B0976"/>
    <w:rsid w:val="004C040C"/>
    <w:rsid w:val="004D172E"/>
    <w:rsid w:val="005246B8"/>
    <w:rsid w:val="005346FD"/>
    <w:rsid w:val="00550FAC"/>
    <w:rsid w:val="005657C5"/>
    <w:rsid w:val="005744D2"/>
    <w:rsid w:val="00584812"/>
    <w:rsid w:val="005B1DCB"/>
    <w:rsid w:val="005C0FA2"/>
    <w:rsid w:val="005C6C21"/>
    <w:rsid w:val="005D1A63"/>
    <w:rsid w:val="005E4376"/>
    <w:rsid w:val="005E653F"/>
    <w:rsid w:val="00602BED"/>
    <w:rsid w:val="006405A7"/>
    <w:rsid w:val="006A076F"/>
    <w:rsid w:val="006A4660"/>
    <w:rsid w:val="006C7885"/>
    <w:rsid w:val="00706A70"/>
    <w:rsid w:val="007227FD"/>
    <w:rsid w:val="00734643"/>
    <w:rsid w:val="00735AE7"/>
    <w:rsid w:val="007430D1"/>
    <w:rsid w:val="0075556A"/>
    <w:rsid w:val="007610CE"/>
    <w:rsid w:val="00782925"/>
    <w:rsid w:val="007A7B37"/>
    <w:rsid w:val="007B1537"/>
    <w:rsid w:val="007F13FF"/>
    <w:rsid w:val="007F7FC4"/>
    <w:rsid w:val="00804173"/>
    <w:rsid w:val="00863B35"/>
    <w:rsid w:val="008673B3"/>
    <w:rsid w:val="00897813"/>
    <w:rsid w:val="008A772C"/>
    <w:rsid w:val="008F4EC5"/>
    <w:rsid w:val="0090757A"/>
    <w:rsid w:val="009116EA"/>
    <w:rsid w:val="00962A5D"/>
    <w:rsid w:val="009F0DC2"/>
    <w:rsid w:val="00A11600"/>
    <w:rsid w:val="00A141E5"/>
    <w:rsid w:val="00A8050F"/>
    <w:rsid w:val="00A9170E"/>
    <w:rsid w:val="00A93724"/>
    <w:rsid w:val="00AA79C0"/>
    <w:rsid w:val="00AB3927"/>
    <w:rsid w:val="00AB65EA"/>
    <w:rsid w:val="00AC493A"/>
    <w:rsid w:val="00AC71D8"/>
    <w:rsid w:val="00AD2CCE"/>
    <w:rsid w:val="00B05AA1"/>
    <w:rsid w:val="00B06EED"/>
    <w:rsid w:val="00B07636"/>
    <w:rsid w:val="00B11C32"/>
    <w:rsid w:val="00B16117"/>
    <w:rsid w:val="00B32383"/>
    <w:rsid w:val="00B502E9"/>
    <w:rsid w:val="00B511B6"/>
    <w:rsid w:val="00B632AC"/>
    <w:rsid w:val="00BB6500"/>
    <w:rsid w:val="00BE1EDE"/>
    <w:rsid w:val="00BE2448"/>
    <w:rsid w:val="00BE6BE2"/>
    <w:rsid w:val="00C01BFD"/>
    <w:rsid w:val="00C05BB0"/>
    <w:rsid w:val="00C359A1"/>
    <w:rsid w:val="00C53983"/>
    <w:rsid w:val="00C85D42"/>
    <w:rsid w:val="00C93DCB"/>
    <w:rsid w:val="00CA3486"/>
    <w:rsid w:val="00CB21B9"/>
    <w:rsid w:val="00D14625"/>
    <w:rsid w:val="00D30B63"/>
    <w:rsid w:val="00D30DB1"/>
    <w:rsid w:val="00D747E2"/>
    <w:rsid w:val="00D96F1C"/>
    <w:rsid w:val="00DA6EF8"/>
    <w:rsid w:val="00DC22D1"/>
    <w:rsid w:val="00DE7863"/>
    <w:rsid w:val="00DF5E9E"/>
    <w:rsid w:val="00DF61AC"/>
    <w:rsid w:val="00E24366"/>
    <w:rsid w:val="00E30CDB"/>
    <w:rsid w:val="00E710F4"/>
    <w:rsid w:val="00E93EE4"/>
    <w:rsid w:val="00EF2892"/>
    <w:rsid w:val="00FA1AA8"/>
    <w:rsid w:val="00FC2962"/>
    <w:rsid w:val="00FE5F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2E926"/>
  <w15:chartTrackingRefBased/>
  <w15:docId w15:val="{DFB26A47-FF61-40C9-8061-06D93548A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3DCB"/>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
    <w:basedOn w:val="Normalny"/>
    <w:link w:val="TekstprzypisudolnegoZnak"/>
    <w:uiPriority w:val="99"/>
    <w:semiHidden/>
    <w:rsid w:val="00C93DCB"/>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link w:val="Tekstprzypisudolnego"/>
    <w:uiPriority w:val="99"/>
    <w:semiHidden/>
    <w:rsid w:val="00C93DCB"/>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C93DCB"/>
    <w:rPr>
      <w:vertAlign w:val="superscript"/>
    </w:rPr>
  </w:style>
  <w:style w:type="paragraph" w:styleId="Tekstpodstawowy">
    <w:name w:val="Body Text"/>
    <w:basedOn w:val="Normalny"/>
    <w:link w:val="TekstpodstawowyZnak"/>
    <w:semiHidden/>
    <w:rsid w:val="00C93DCB"/>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link w:val="Tekstpodstawowy"/>
    <w:semiHidden/>
    <w:rsid w:val="00C93DCB"/>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93DCB"/>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93DCB"/>
    <w:rPr>
      <w:rFonts w:ascii="Tahoma" w:eastAsia="Calibri" w:hAnsi="Tahoma" w:cs="Tahoma"/>
      <w:sz w:val="16"/>
      <w:szCs w:val="16"/>
    </w:rPr>
  </w:style>
  <w:style w:type="paragraph" w:styleId="Nagwek">
    <w:name w:val="header"/>
    <w:basedOn w:val="Normalny"/>
    <w:link w:val="NagwekZnak"/>
    <w:uiPriority w:val="99"/>
    <w:unhideWhenUsed/>
    <w:rsid w:val="00734643"/>
    <w:pPr>
      <w:tabs>
        <w:tab w:val="center" w:pos="4536"/>
        <w:tab w:val="right" w:pos="9072"/>
      </w:tabs>
      <w:spacing w:after="0" w:line="240" w:lineRule="auto"/>
    </w:pPr>
  </w:style>
  <w:style w:type="character" w:customStyle="1" w:styleId="NagwekZnak">
    <w:name w:val="Nagłówek Znak"/>
    <w:link w:val="Nagwek"/>
    <w:uiPriority w:val="99"/>
    <w:rsid w:val="00734643"/>
    <w:rPr>
      <w:rFonts w:ascii="Calibri" w:eastAsia="Calibri" w:hAnsi="Calibri" w:cs="Times New Roman"/>
    </w:rPr>
  </w:style>
  <w:style w:type="paragraph" w:styleId="Stopka">
    <w:name w:val="footer"/>
    <w:basedOn w:val="Normalny"/>
    <w:link w:val="StopkaZnak"/>
    <w:uiPriority w:val="99"/>
    <w:unhideWhenUsed/>
    <w:rsid w:val="00734643"/>
    <w:pPr>
      <w:tabs>
        <w:tab w:val="center" w:pos="4536"/>
        <w:tab w:val="right" w:pos="9072"/>
      </w:tabs>
      <w:spacing w:after="0" w:line="240" w:lineRule="auto"/>
    </w:pPr>
  </w:style>
  <w:style w:type="character" w:customStyle="1" w:styleId="StopkaZnak">
    <w:name w:val="Stopka Znak"/>
    <w:link w:val="Stopka"/>
    <w:uiPriority w:val="99"/>
    <w:rsid w:val="00734643"/>
    <w:rPr>
      <w:rFonts w:ascii="Calibri" w:eastAsia="Calibri" w:hAnsi="Calibri" w:cs="Times New Roman"/>
    </w:rPr>
  </w:style>
  <w:style w:type="paragraph" w:styleId="Poprawka">
    <w:name w:val="Revision"/>
    <w:hidden/>
    <w:uiPriority w:val="99"/>
    <w:semiHidden/>
    <w:rsid w:val="00A11600"/>
    <w:rPr>
      <w:sz w:val="22"/>
      <w:szCs w:val="22"/>
      <w:lang w:eastAsia="en-US"/>
    </w:rPr>
  </w:style>
  <w:style w:type="paragraph" w:customStyle="1" w:styleId="Default">
    <w:name w:val="Default"/>
    <w:rsid w:val="00DA6EF8"/>
    <w:pPr>
      <w:autoSpaceDE w:val="0"/>
      <w:autoSpaceDN w:val="0"/>
      <w:adjustRightInd w:val="0"/>
    </w:pPr>
    <w:rPr>
      <w:rFonts w:ascii="Times New Roman" w:hAnsi="Times New Roman"/>
      <w:color w:val="000000"/>
      <w:sz w:val="24"/>
      <w:szCs w:val="24"/>
    </w:rPr>
  </w:style>
  <w:style w:type="character" w:styleId="Odwoaniedokomentarza">
    <w:name w:val="annotation reference"/>
    <w:basedOn w:val="Domylnaczcionkaakapitu"/>
    <w:uiPriority w:val="99"/>
    <w:semiHidden/>
    <w:unhideWhenUsed/>
    <w:rsid w:val="00DA6EF8"/>
    <w:rPr>
      <w:sz w:val="16"/>
      <w:szCs w:val="16"/>
    </w:rPr>
  </w:style>
  <w:style w:type="paragraph" w:styleId="Tekstkomentarza">
    <w:name w:val="annotation text"/>
    <w:basedOn w:val="Normalny"/>
    <w:link w:val="TekstkomentarzaZnak"/>
    <w:uiPriority w:val="99"/>
    <w:unhideWhenUsed/>
    <w:rsid w:val="00DA6EF8"/>
    <w:pPr>
      <w:spacing w:line="240" w:lineRule="auto"/>
    </w:pPr>
    <w:rPr>
      <w:sz w:val="20"/>
      <w:szCs w:val="20"/>
    </w:rPr>
  </w:style>
  <w:style w:type="character" w:customStyle="1" w:styleId="TekstkomentarzaZnak">
    <w:name w:val="Tekst komentarza Znak"/>
    <w:basedOn w:val="Domylnaczcionkaakapitu"/>
    <w:link w:val="Tekstkomentarza"/>
    <w:uiPriority w:val="99"/>
    <w:rsid w:val="00DA6EF8"/>
    <w:rPr>
      <w:lang w:eastAsia="en-US"/>
    </w:rPr>
  </w:style>
  <w:style w:type="paragraph" w:styleId="Tematkomentarza">
    <w:name w:val="annotation subject"/>
    <w:basedOn w:val="Tekstkomentarza"/>
    <w:next w:val="Tekstkomentarza"/>
    <w:link w:val="TematkomentarzaZnak"/>
    <w:uiPriority w:val="99"/>
    <w:semiHidden/>
    <w:unhideWhenUsed/>
    <w:rsid w:val="00DA6EF8"/>
    <w:rPr>
      <w:b/>
      <w:bCs/>
    </w:rPr>
  </w:style>
  <w:style w:type="character" w:customStyle="1" w:styleId="TematkomentarzaZnak">
    <w:name w:val="Temat komentarza Znak"/>
    <w:basedOn w:val="TekstkomentarzaZnak"/>
    <w:link w:val="Tematkomentarza"/>
    <w:uiPriority w:val="99"/>
    <w:semiHidden/>
    <w:rsid w:val="00DA6EF8"/>
    <w:rPr>
      <w:b/>
      <w:bCs/>
      <w:lang w:eastAsia="en-US"/>
    </w:rPr>
  </w:style>
  <w:style w:type="paragraph" w:customStyle="1" w:styleId="CM1">
    <w:name w:val="CM1"/>
    <w:basedOn w:val="Default"/>
    <w:next w:val="Default"/>
    <w:uiPriority w:val="99"/>
    <w:rsid w:val="00A141E5"/>
    <w:rPr>
      <w:color w:val="auto"/>
    </w:rPr>
  </w:style>
  <w:style w:type="paragraph" w:customStyle="1" w:styleId="CM3">
    <w:name w:val="CM3"/>
    <w:basedOn w:val="Default"/>
    <w:next w:val="Default"/>
    <w:uiPriority w:val="99"/>
    <w:rsid w:val="00A141E5"/>
    <w:rPr>
      <w:color w:val="auto"/>
    </w:rPr>
  </w:style>
  <w:style w:type="paragraph" w:customStyle="1" w:styleId="CM4">
    <w:name w:val="CM4"/>
    <w:basedOn w:val="Default"/>
    <w:next w:val="Default"/>
    <w:uiPriority w:val="99"/>
    <w:rsid w:val="00A141E5"/>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062473">
      <w:bodyDiv w:val="1"/>
      <w:marLeft w:val="0"/>
      <w:marRight w:val="0"/>
      <w:marTop w:val="0"/>
      <w:marBottom w:val="0"/>
      <w:divBdr>
        <w:top w:val="none" w:sz="0" w:space="0" w:color="auto"/>
        <w:left w:val="none" w:sz="0" w:space="0" w:color="auto"/>
        <w:bottom w:val="none" w:sz="0" w:space="0" w:color="auto"/>
        <w:right w:val="none" w:sz="0" w:space="0" w:color="auto"/>
      </w:divBdr>
    </w:div>
    <w:div w:id="55281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3DC35-4546-4809-B058-86694F0E1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707</Words>
  <Characters>4248</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Opolskiego</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agata.szumanska</dc:creator>
  <cp:keywords/>
  <dc:description/>
  <cp:lastModifiedBy>Małgorzata Gorska-Kokoszka</cp:lastModifiedBy>
  <cp:revision>12</cp:revision>
  <cp:lastPrinted>2025-08-05T13:06:00Z</cp:lastPrinted>
  <dcterms:created xsi:type="dcterms:W3CDTF">2025-07-16T08:50:00Z</dcterms:created>
  <dcterms:modified xsi:type="dcterms:W3CDTF">2025-08-05T13:06:00Z</dcterms:modified>
</cp:coreProperties>
</file>