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1726855" w:displacedByCustomXml="next"/>
    <w:sdt>
      <w:sdtPr>
        <w:id w:val="-1211954934"/>
        <w:docPartObj>
          <w:docPartGallery w:val="Cover Pages"/>
          <w:docPartUnique/>
        </w:docPartObj>
      </w:sdtPr>
      <w:sdtEndPr>
        <w:rPr>
          <w:rFonts w:asciiTheme="majorHAnsi" w:eastAsiaTheme="majorEastAsia" w:hAnsiTheme="majorHAnsi" w:cstheme="majorBidi"/>
          <w:caps/>
          <w:color w:val="4472C4" w:themeColor="accent1"/>
          <w:kern w:val="0"/>
          <w:sz w:val="72"/>
          <w:szCs w:val="72"/>
          <w:lang w:eastAsia="pl-PL"/>
          <w14:ligatures w14:val="none"/>
        </w:rPr>
      </w:sdtEndPr>
      <w:sdtContent>
        <w:p w14:paraId="3F6BF3C6" w14:textId="17BB3BCC" w:rsidR="00A34794" w:rsidRDefault="00863A31" w:rsidP="00B44EE0">
          <w:pPr>
            <w:tabs>
              <w:tab w:val="left" w:pos="1500"/>
            </w:tabs>
            <w:jc w:val="both"/>
          </w:pPr>
          <w:r>
            <w:tab/>
          </w:r>
        </w:p>
        <w:p w14:paraId="7F5DB8E5" w14:textId="77777777" w:rsidR="00863A31" w:rsidRDefault="00863A31" w:rsidP="00B44EE0">
          <w:pPr>
            <w:tabs>
              <w:tab w:val="left" w:pos="1500"/>
            </w:tabs>
            <w:jc w:val="both"/>
          </w:pPr>
        </w:p>
        <w:p w14:paraId="0554EF73" w14:textId="77777777" w:rsidR="00BE2C92" w:rsidRDefault="00B44EE0" w:rsidP="00B44EE0">
          <w:pPr>
            <w:pStyle w:val="Tekstpodstawowy"/>
            <w:spacing w:line="276" w:lineRule="auto"/>
            <w:jc w:val="both"/>
            <w:rPr>
              <w:rFonts w:asciiTheme="majorHAnsi" w:eastAsiaTheme="majorEastAsia" w:hAnsiTheme="majorHAnsi" w:cstheme="majorBidi"/>
              <w:caps/>
              <w:color w:val="4472C4" w:themeColor="accent1"/>
              <w:sz w:val="72"/>
              <w:szCs w:val="72"/>
              <w:lang w:eastAsia="pl-PL"/>
            </w:rPr>
          </w:pPr>
          <w:r w:rsidRPr="006218BD">
            <w:rPr>
              <w:rFonts w:cs="Times New Roman"/>
              <w:b/>
              <w:noProof/>
              <w:lang w:val="pl-PL" w:eastAsia="pl-PL"/>
            </w:rPr>
            <w:drawing>
              <wp:anchor distT="0" distB="0" distL="114300" distR="114300" simplePos="0" relativeHeight="251659264" behindDoc="0" locked="0" layoutInCell="1" allowOverlap="1" wp14:anchorId="097A48C1" wp14:editId="4F512C8B">
                <wp:simplePos x="0" y="0"/>
                <wp:positionH relativeFrom="margin">
                  <wp:posOffset>9525</wp:posOffset>
                </wp:positionH>
                <wp:positionV relativeFrom="paragraph">
                  <wp:posOffset>7475855</wp:posOffset>
                </wp:positionV>
                <wp:extent cx="5760720" cy="589915"/>
                <wp:effectExtent l="0" t="0" r="0" b="63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_pozio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589915"/>
                        </a:xfrm>
                        <a:prstGeom prst="rect">
                          <a:avLst/>
                        </a:prstGeom>
                      </pic:spPr>
                    </pic:pic>
                  </a:graphicData>
                </a:graphic>
                <wp14:sizeRelH relativeFrom="page">
                  <wp14:pctWidth>0</wp14:pctWidth>
                </wp14:sizeRelH>
                <wp14:sizeRelV relativeFrom="page">
                  <wp14:pctHeight>0</wp14:pctHeight>
                </wp14:sizeRelV>
              </wp:anchor>
            </w:drawing>
          </w:r>
          <w:r w:rsidR="00863A31">
            <w:rPr>
              <w:rFonts w:asciiTheme="majorHAnsi" w:eastAsiaTheme="majorEastAsia" w:hAnsiTheme="majorHAnsi" w:cstheme="majorBidi"/>
              <w:caps/>
              <w:noProof/>
              <w:color w:val="4472C4" w:themeColor="accent1"/>
              <w:sz w:val="72"/>
              <w:szCs w:val="72"/>
              <w:lang w:val="pl-PL" w:eastAsia="pl-PL"/>
            </w:rPr>
            <w:drawing>
              <wp:inline distT="0" distB="0" distL="0" distR="0" wp14:anchorId="533419BD" wp14:editId="0BC85847">
                <wp:extent cx="5658485" cy="3696335"/>
                <wp:effectExtent l="0" t="0" r="0" b="0"/>
                <wp:docPr id="9626974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8485" cy="3696335"/>
                        </a:xfrm>
                        <a:prstGeom prst="rect">
                          <a:avLst/>
                        </a:prstGeom>
                        <a:noFill/>
                      </pic:spPr>
                    </pic:pic>
                  </a:graphicData>
                </a:graphic>
              </wp:inline>
            </w:drawing>
          </w:r>
        </w:p>
        <w:p w14:paraId="2C8F5C7D" w14:textId="651C2F71" w:rsidR="00863A31" w:rsidRPr="00194126" w:rsidRDefault="00A34794" w:rsidP="00BE2C92">
          <w:pPr>
            <w:pStyle w:val="Tekstpodstawowy"/>
            <w:spacing w:line="276" w:lineRule="auto"/>
            <w:ind w:left="0"/>
            <w:jc w:val="both"/>
            <w:rPr>
              <w:rFonts w:asciiTheme="majorHAnsi" w:eastAsiaTheme="majorEastAsia" w:hAnsiTheme="majorHAnsi" w:cstheme="majorBidi"/>
              <w:caps/>
              <w:color w:val="4472C4" w:themeColor="accent1"/>
              <w:sz w:val="72"/>
              <w:szCs w:val="72"/>
              <w:lang w:eastAsia="pl-PL"/>
            </w:rPr>
          </w:pPr>
          <w:r>
            <w:rPr>
              <w:rFonts w:asciiTheme="majorHAnsi" w:eastAsiaTheme="majorEastAsia" w:hAnsiTheme="majorHAnsi" w:cstheme="majorBidi"/>
              <w:caps/>
              <w:color w:val="4472C4" w:themeColor="accent1"/>
              <w:sz w:val="72"/>
              <w:szCs w:val="72"/>
              <w:lang w:eastAsia="pl-PL"/>
            </w:rPr>
            <w:br w:type="page"/>
          </w:r>
        </w:p>
        <w:sdt>
          <w:sdtPr>
            <w:rPr>
              <w:rFonts w:asciiTheme="minorHAnsi" w:eastAsiaTheme="minorHAnsi" w:hAnsiTheme="minorHAnsi" w:cstheme="minorBidi"/>
              <w:color w:val="auto"/>
              <w:kern w:val="2"/>
              <w:sz w:val="22"/>
              <w:szCs w:val="22"/>
              <w:lang w:eastAsia="en-US"/>
              <w14:ligatures w14:val="standardContextual"/>
            </w:rPr>
            <w:id w:val="1272133337"/>
            <w:docPartObj>
              <w:docPartGallery w:val="Table of Contents"/>
              <w:docPartUnique/>
            </w:docPartObj>
          </w:sdtPr>
          <w:sdtEndPr>
            <w:rPr>
              <w:b/>
              <w:bCs/>
            </w:rPr>
          </w:sdtEndPr>
          <w:sdtContent>
            <w:p w14:paraId="14432BD4" w14:textId="7831B497" w:rsidR="00925CFE" w:rsidRDefault="00925CFE" w:rsidP="00B44EE0">
              <w:pPr>
                <w:pStyle w:val="Nagwekspisutreci"/>
                <w:jc w:val="both"/>
              </w:pPr>
              <w:r>
                <w:t>Spis treści</w:t>
              </w:r>
            </w:p>
            <w:p w14:paraId="6B9F17C2" w14:textId="09162E19" w:rsidR="00925CFE" w:rsidRPr="00925CFE" w:rsidRDefault="00925CFE" w:rsidP="00B44EE0">
              <w:pPr>
                <w:pStyle w:val="Spistreci1"/>
                <w:tabs>
                  <w:tab w:val="right" w:leader="dot" w:pos="9062"/>
                </w:tabs>
                <w:jc w:val="both"/>
                <w:rPr>
                  <w:rFonts w:eastAsiaTheme="minorEastAsia"/>
                  <w:noProof/>
                  <w:sz w:val="24"/>
                  <w:szCs w:val="24"/>
                  <w:lang w:eastAsia="pl-PL"/>
                </w:rPr>
              </w:pPr>
              <w:r w:rsidRPr="00925CFE">
                <w:rPr>
                  <w:sz w:val="24"/>
                  <w:szCs w:val="24"/>
                </w:rPr>
                <w:fldChar w:fldCharType="begin"/>
              </w:r>
              <w:r w:rsidRPr="00925CFE">
                <w:rPr>
                  <w:sz w:val="24"/>
                  <w:szCs w:val="24"/>
                </w:rPr>
                <w:instrText xml:space="preserve"> TOC \o "1-3" \h \z \u </w:instrText>
              </w:r>
              <w:r w:rsidRPr="00925CFE">
                <w:rPr>
                  <w:sz w:val="24"/>
                  <w:szCs w:val="24"/>
                </w:rPr>
                <w:fldChar w:fldCharType="separate"/>
              </w:r>
              <w:hyperlink w:anchor="_Toc163662214" w:history="1">
                <w:r w:rsidRPr="00925CFE">
                  <w:rPr>
                    <w:rStyle w:val="Hipercze"/>
                    <w:noProof/>
                    <w:sz w:val="24"/>
                    <w:szCs w:val="24"/>
                  </w:rPr>
                  <w:t>1.Wykaz skrótów:</w:t>
                </w:r>
                <w:r w:rsidRPr="00925CFE">
                  <w:rPr>
                    <w:noProof/>
                    <w:webHidden/>
                    <w:sz w:val="24"/>
                    <w:szCs w:val="24"/>
                  </w:rPr>
                  <w:tab/>
                </w:r>
                <w:r w:rsidRPr="00925CFE">
                  <w:rPr>
                    <w:noProof/>
                    <w:webHidden/>
                    <w:sz w:val="24"/>
                    <w:szCs w:val="24"/>
                  </w:rPr>
                  <w:fldChar w:fldCharType="begin"/>
                </w:r>
                <w:r w:rsidRPr="00925CFE">
                  <w:rPr>
                    <w:noProof/>
                    <w:webHidden/>
                    <w:sz w:val="24"/>
                    <w:szCs w:val="24"/>
                  </w:rPr>
                  <w:instrText xml:space="preserve"> PAGEREF _Toc163662214 \h </w:instrText>
                </w:r>
                <w:r w:rsidRPr="00925CFE">
                  <w:rPr>
                    <w:noProof/>
                    <w:webHidden/>
                    <w:sz w:val="24"/>
                    <w:szCs w:val="24"/>
                  </w:rPr>
                </w:r>
                <w:r w:rsidRPr="00925CFE">
                  <w:rPr>
                    <w:noProof/>
                    <w:webHidden/>
                    <w:sz w:val="24"/>
                    <w:szCs w:val="24"/>
                  </w:rPr>
                  <w:fldChar w:fldCharType="separate"/>
                </w:r>
                <w:r w:rsidR="004C20B5">
                  <w:rPr>
                    <w:noProof/>
                    <w:webHidden/>
                    <w:sz w:val="24"/>
                    <w:szCs w:val="24"/>
                  </w:rPr>
                  <w:t>2</w:t>
                </w:r>
                <w:r w:rsidRPr="00925CFE">
                  <w:rPr>
                    <w:noProof/>
                    <w:webHidden/>
                    <w:sz w:val="24"/>
                    <w:szCs w:val="24"/>
                  </w:rPr>
                  <w:fldChar w:fldCharType="end"/>
                </w:r>
              </w:hyperlink>
            </w:p>
            <w:p w14:paraId="515F5F71" w14:textId="5E1E0563" w:rsidR="00925CFE" w:rsidRPr="00925CFE" w:rsidRDefault="00925CFE" w:rsidP="00B44EE0">
              <w:pPr>
                <w:pStyle w:val="Spistreci1"/>
                <w:tabs>
                  <w:tab w:val="right" w:leader="dot" w:pos="9062"/>
                </w:tabs>
                <w:jc w:val="both"/>
                <w:rPr>
                  <w:rFonts w:eastAsiaTheme="minorEastAsia"/>
                  <w:noProof/>
                  <w:sz w:val="24"/>
                  <w:szCs w:val="24"/>
                  <w:lang w:eastAsia="pl-PL"/>
                </w:rPr>
              </w:pPr>
              <w:hyperlink w:anchor="_Toc163662215" w:history="1">
                <w:r w:rsidRPr="00925CFE">
                  <w:rPr>
                    <w:rStyle w:val="Hipercze"/>
                    <w:noProof/>
                    <w:sz w:val="24"/>
                    <w:szCs w:val="24"/>
                  </w:rPr>
                  <w:t>2. Wstęp</w:t>
                </w:r>
                <w:r w:rsidRPr="00925CFE">
                  <w:rPr>
                    <w:noProof/>
                    <w:webHidden/>
                    <w:sz w:val="24"/>
                    <w:szCs w:val="24"/>
                  </w:rPr>
                  <w:tab/>
                </w:r>
                <w:r w:rsidRPr="00925CFE">
                  <w:rPr>
                    <w:noProof/>
                    <w:webHidden/>
                    <w:sz w:val="24"/>
                    <w:szCs w:val="24"/>
                  </w:rPr>
                  <w:fldChar w:fldCharType="begin"/>
                </w:r>
                <w:r w:rsidRPr="00925CFE">
                  <w:rPr>
                    <w:noProof/>
                    <w:webHidden/>
                    <w:sz w:val="24"/>
                    <w:szCs w:val="24"/>
                  </w:rPr>
                  <w:instrText xml:space="preserve"> PAGEREF _Toc163662215 \h </w:instrText>
                </w:r>
                <w:r w:rsidRPr="00925CFE">
                  <w:rPr>
                    <w:noProof/>
                    <w:webHidden/>
                    <w:sz w:val="24"/>
                    <w:szCs w:val="24"/>
                  </w:rPr>
                </w:r>
                <w:r w:rsidRPr="00925CFE">
                  <w:rPr>
                    <w:noProof/>
                    <w:webHidden/>
                    <w:sz w:val="24"/>
                    <w:szCs w:val="24"/>
                  </w:rPr>
                  <w:fldChar w:fldCharType="separate"/>
                </w:r>
                <w:r w:rsidR="004C20B5">
                  <w:rPr>
                    <w:noProof/>
                    <w:webHidden/>
                    <w:sz w:val="24"/>
                    <w:szCs w:val="24"/>
                  </w:rPr>
                  <w:t>2</w:t>
                </w:r>
                <w:r w:rsidRPr="00925CFE">
                  <w:rPr>
                    <w:noProof/>
                    <w:webHidden/>
                    <w:sz w:val="24"/>
                    <w:szCs w:val="24"/>
                  </w:rPr>
                  <w:fldChar w:fldCharType="end"/>
                </w:r>
              </w:hyperlink>
            </w:p>
            <w:p w14:paraId="52DD5687" w14:textId="5B154965" w:rsidR="00925CFE" w:rsidRPr="00925CFE" w:rsidRDefault="00925CFE" w:rsidP="00B44EE0">
              <w:pPr>
                <w:pStyle w:val="Spistreci1"/>
                <w:tabs>
                  <w:tab w:val="right" w:leader="dot" w:pos="9062"/>
                </w:tabs>
                <w:jc w:val="both"/>
                <w:rPr>
                  <w:rFonts w:eastAsiaTheme="minorEastAsia"/>
                  <w:noProof/>
                  <w:sz w:val="24"/>
                  <w:szCs w:val="24"/>
                  <w:lang w:eastAsia="pl-PL"/>
                </w:rPr>
              </w:pPr>
              <w:hyperlink w:anchor="_Toc163662216" w:history="1">
                <w:r w:rsidRPr="00925CFE">
                  <w:rPr>
                    <w:rStyle w:val="Hipercze"/>
                    <w:noProof/>
                    <w:sz w:val="24"/>
                    <w:szCs w:val="24"/>
                  </w:rPr>
                  <w:t>3.Przyczyny bierności zawodowej  uczestników podmiotów reintegracyjnych w działaniu 6.2 FEO 2021-2027  -</w:t>
                </w:r>
                <w:r w:rsidR="0024597A">
                  <w:rPr>
                    <w:rStyle w:val="Hipercze"/>
                    <w:noProof/>
                    <w:sz w:val="24"/>
                    <w:szCs w:val="24"/>
                  </w:rPr>
                  <w:t xml:space="preserve"> </w:t>
                </w:r>
                <w:r w:rsidRPr="00925CFE">
                  <w:rPr>
                    <w:rStyle w:val="Hipercze"/>
                    <w:noProof/>
                    <w:sz w:val="24"/>
                    <w:szCs w:val="24"/>
                  </w:rPr>
                  <w:t>kierunki działania</w:t>
                </w:r>
                <w:r w:rsidRPr="00925CFE">
                  <w:rPr>
                    <w:noProof/>
                    <w:webHidden/>
                    <w:sz w:val="24"/>
                    <w:szCs w:val="24"/>
                  </w:rPr>
                  <w:tab/>
                </w:r>
                <w:r w:rsidRPr="00925CFE">
                  <w:rPr>
                    <w:noProof/>
                    <w:webHidden/>
                    <w:sz w:val="24"/>
                    <w:szCs w:val="24"/>
                  </w:rPr>
                  <w:fldChar w:fldCharType="begin"/>
                </w:r>
                <w:r w:rsidRPr="00925CFE">
                  <w:rPr>
                    <w:noProof/>
                    <w:webHidden/>
                    <w:sz w:val="24"/>
                    <w:szCs w:val="24"/>
                  </w:rPr>
                  <w:instrText xml:space="preserve"> PAGEREF _Toc163662216 \h </w:instrText>
                </w:r>
                <w:r w:rsidRPr="00925CFE">
                  <w:rPr>
                    <w:noProof/>
                    <w:webHidden/>
                    <w:sz w:val="24"/>
                    <w:szCs w:val="24"/>
                  </w:rPr>
                </w:r>
                <w:r w:rsidRPr="00925CFE">
                  <w:rPr>
                    <w:noProof/>
                    <w:webHidden/>
                    <w:sz w:val="24"/>
                    <w:szCs w:val="24"/>
                  </w:rPr>
                  <w:fldChar w:fldCharType="separate"/>
                </w:r>
                <w:r w:rsidR="004C20B5">
                  <w:rPr>
                    <w:noProof/>
                    <w:webHidden/>
                    <w:sz w:val="24"/>
                    <w:szCs w:val="24"/>
                  </w:rPr>
                  <w:t>3</w:t>
                </w:r>
                <w:r w:rsidRPr="00925CFE">
                  <w:rPr>
                    <w:noProof/>
                    <w:webHidden/>
                    <w:sz w:val="24"/>
                    <w:szCs w:val="24"/>
                  </w:rPr>
                  <w:fldChar w:fldCharType="end"/>
                </w:r>
              </w:hyperlink>
            </w:p>
            <w:p w14:paraId="6FF52AF8" w14:textId="104D6924" w:rsidR="00925CFE" w:rsidRDefault="00925CFE" w:rsidP="00B44EE0">
              <w:pPr>
                <w:jc w:val="both"/>
              </w:pPr>
              <w:r w:rsidRPr="00925CFE">
                <w:rPr>
                  <w:b/>
                  <w:bCs/>
                  <w:sz w:val="24"/>
                  <w:szCs w:val="24"/>
                </w:rPr>
                <w:fldChar w:fldCharType="end"/>
              </w:r>
            </w:p>
          </w:sdtContent>
        </w:sdt>
        <w:p w14:paraId="3548B807" w14:textId="77777777" w:rsidR="00925CFE" w:rsidRDefault="00925CFE" w:rsidP="00B44EE0">
          <w:pPr>
            <w:jc w:val="both"/>
            <w:rPr>
              <w:rFonts w:asciiTheme="majorHAnsi" w:eastAsiaTheme="majorEastAsia" w:hAnsiTheme="majorHAnsi" w:cstheme="majorBidi"/>
              <w:caps/>
              <w:color w:val="4472C4" w:themeColor="accent1"/>
              <w:kern w:val="0"/>
              <w:sz w:val="72"/>
              <w:szCs w:val="72"/>
              <w:lang w:eastAsia="pl-PL"/>
              <w14:ligatures w14:val="none"/>
            </w:rPr>
          </w:pPr>
        </w:p>
        <w:p w14:paraId="4E591A78" w14:textId="77777777" w:rsidR="00925CFE" w:rsidRDefault="00925CFE" w:rsidP="00B44EE0">
          <w:pPr>
            <w:jc w:val="both"/>
            <w:rPr>
              <w:rFonts w:asciiTheme="majorHAnsi" w:eastAsiaTheme="majorEastAsia" w:hAnsiTheme="majorHAnsi" w:cstheme="majorBidi"/>
              <w:caps/>
              <w:color w:val="4472C4" w:themeColor="accent1"/>
              <w:kern w:val="0"/>
              <w:sz w:val="72"/>
              <w:szCs w:val="72"/>
              <w:lang w:eastAsia="pl-PL"/>
              <w14:ligatures w14:val="none"/>
            </w:rPr>
          </w:pPr>
        </w:p>
        <w:p w14:paraId="3D1E8797" w14:textId="77777777" w:rsidR="00925CFE" w:rsidRDefault="00925CFE" w:rsidP="00B44EE0">
          <w:pPr>
            <w:jc w:val="both"/>
            <w:rPr>
              <w:rFonts w:asciiTheme="majorHAnsi" w:eastAsiaTheme="majorEastAsia" w:hAnsiTheme="majorHAnsi" w:cstheme="majorBidi"/>
              <w:caps/>
              <w:color w:val="4472C4" w:themeColor="accent1"/>
              <w:kern w:val="0"/>
              <w:sz w:val="72"/>
              <w:szCs w:val="72"/>
              <w:lang w:eastAsia="pl-PL"/>
              <w14:ligatures w14:val="none"/>
            </w:rPr>
          </w:pPr>
        </w:p>
        <w:p w14:paraId="782C0D77" w14:textId="77777777" w:rsidR="00925CFE" w:rsidRDefault="00925CFE" w:rsidP="00B44EE0">
          <w:pPr>
            <w:jc w:val="both"/>
            <w:rPr>
              <w:rFonts w:asciiTheme="majorHAnsi" w:eastAsiaTheme="majorEastAsia" w:hAnsiTheme="majorHAnsi" w:cstheme="majorBidi"/>
              <w:caps/>
              <w:color w:val="4472C4" w:themeColor="accent1"/>
              <w:kern w:val="0"/>
              <w:sz w:val="72"/>
              <w:szCs w:val="72"/>
              <w:lang w:eastAsia="pl-PL"/>
              <w14:ligatures w14:val="none"/>
            </w:rPr>
          </w:pPr>
        </w:p>
        <w:p w14:paraId="1C37E8D6" w14:textId="77777777" w:rsidR="00925CFE" w:rsidRDefault="00925CFE" w:rsidP="00B44EE0">
          <w:pPr>
            <w:jc w:val="both"/>
            <w:rPr>
              <w:rFonts w:asciiTheme="majorHAnsi" w:eastAsiaTheme="majorEastAsia" w:hAnsiTheme="majorHAnsi" w:cstheme="majorBidi"/>
              <w:caps/>
              <w:color w:val="4472C4" w:themeColor="accent1"/>
              <w:kern w:val="0"/>
              <w:sz w:val="72"/>
              <w:szCs w:val="72"/>
              <w:lang w:eastAsia="pl-PL"/>
              <w14:ligatures w14:val="none"/>
            </w:rPr>
          </w:pPr>
        </w:p>
        <w:p w14:paraId="25E38D98" w14:textId="77777777" w:rsidR="00925CFE" w:rsidRDefault="00925CFE" w:rsidP="00B44EE0">
          <w:pPr>
            <w:jc w:val="both"/>
            <w:rPr>
              <w:rFonts w:asciiTheme="majorHAnsi" w:eastAsiaTheme="majorEastAsia" w:hAnsiTheme="majorHAnsi" w:cstheme="majorBidi"/>
              <w:caps/>
              <w:color w:val="4472C4" w:themeColor="accent1"/>
              <w:kern w:val="0"/>
              <w:sz w:val="72"/>
              <w:szCs w:val="72"/>
              <w:lang w:eastAsia="pl-PL"/>
              <w14:ligatures w14:val="none"/>
            </w:rPr>
          </w:pPr>
        </w:p>
        <w:p w14:paraId="318CAFED" w14:textId="77777777" w:rsidR="00925CFE" w:rsidRDefault="00925CFE" w:rsidP="00B44EE0">
          <w:pPr>
            <w:jc w:val="both"/>
            <w:rPr>
              <w:rFonts w:asciiTheme="majorHAnsi" w:eastAsiaTheme="majorEastAsia" w:hAnsiTheme="majorHAnsi" w:cstheme="majorBidi"/>
              <w:caps/>
              <w:color w:val="4472C4" w:themeColor="accent1"/>
              <w:kern w:val="0"/>
              <w:sz w:val="72"/>
              <w:szCs w:val="72"/>
              <w:lang w:eastAsia="pl-PL"/>
              <w14:ligatures w14:val="none"/>
            </w:rPr>
          </w:pPr>
        </w:p>
        <w:p w14:paraId="7D0E31D1" w14:textId="77777777" w:rsidR="00925CFE" w:rsidRDefault="00925CFE" w:rsidP="00B44EE0">
          <w:pPr>
            <w:jc w:val="both"/>
            <w:rPr>
              <w:rFonts w:asciiTheme="majorHAnsi" w:eastAsiaTheme="majorEastAsia" w:hAnsiTheme="majorHAnsi" w:cstheme="majorBidi"/>
              <w:caps/>
              <w:color w:val="4472C4" w:themeColor="accent1"/>
              <w:kern w:val="0"/>
              <w:sz w:val="72"/>
              <w:szCs w:val="72"/>
              <w:lang w:eastAsia="pl-PL"/>
              <w14:ligatures w14:val="none"/>
            </w:rPr>
          </w:pPr>
        </w:p>
        <w:p w14:paraId="4610D919" w14:textId="77777777" w:rsidR="00925CFE" w:rsidRDefault="00925CFE" w:rsidP="00B44EE0">
          <w:pPr>
            <w:jc w:val="both"/>
            <w:rPr>
              <w:rFonts w:asciiTheme="majorHAnsi" w:eastAsiaTheme="majorEastAsia" w:hAnsiTheme="majorHAnsi" w:cstheme="majorBidi"/>
              <w:caps/>
              <w:color w:val="4472C4" w:themeColor="accent1"/>
              <w:kern w:val="0"/>
              <w:sz w:val="72"/>
              <w:szCs w:val="72"/>
              <w:lang w:eastAsia="pl-PL"/>
              <w14:ligatures w14:val="none"/>
            </w:rPr>
          </w:pPr>
        </w:p>
        <w:p w14:paraId="11F71F26" w14:textId="11A539DE" w:rsidR="000F353E" w:rsidRDefault="007E5AA0" w:rsidP="00B44EE0">
          <w:pPr>
            <w:jc w:val="both"/>
            <w:rPr>
              <w:rFonts w:asciiTheme="majorHAnsi" w:eastAsiaTheme="majorEastAsia" w:hAnsiTheme="majorHAnsi" w:cstheme="majorBidi"/>
              <w:caps/>
              <w:color w:val="4472C4" w:themeColor="accent1"/>
              <w:kern w:val="0"/>
              <w:sz w:val="72"/>
              <w:szCs w:val="72"/>
              <w:lang w:eastAsia="pl-PL"/>
              <w14:ligatures w14:val="none"/>
            </w:rPr>
          </w:pPr>
        </w:p>
      </w:sdtContent>
    </w:sdt>
    <w:p w14:paraId="538042F4" w14:textId="1C3D3B36" w:rsidR="00A34794" w:rsidRDefault="000F353E" w:rsidP="00B44EE0">
      <w:pPr>
        <w:pStyle w:val="Nagwek1"/>
        <w:numPr>
          <w:ilvl w:val="0"/>
          <w:numId w:val="6"/>
        </w:numPr>
        <w:ind w:left="284" w:hanging="284"/>
        <w:jc w:val="both"/>
      </w:pPr>
      <w:bookmarkStart w:id="1" w:name="_Toc163662214"/>
      <w:r>
        <w:lastRenderedPageBreak/>
        <w:t>Wykaz skrótów:</w:t>
      </w:r>
      <w:bookmarkEnd w:id="1"/>
    </w:p>
    <w:p w14:paraId="4E774E1C" w14:textId="50EBEA9B" w:rsidR="000F353E" w:rsidRDefault="000F353E" w:rsidP="00B44EE0">
      <w:pPr>
        <w:jc w:val="both"/>
      </w:pPr>
    </w:p>
    <w:p w14:paraId="6490AB38" w14:textId="652D10D7" w:rsidR="00EB1AA7" w:rsidRDefault="00EB1AA7" w:rsidP="00B44EE0">
      <w:pPr>
        <w:jc w:val="both"/>
        <w:rPr>
          <w:b/>
          <w:bCs/>
          <w:sz w:val="24"/>
          <w:szCs w:val="24"/>
        </w:rPr>
      </w:pPr>
      <w:r>
        <w:rPr>
          <w:b/>
          <w:bCs/>
          <w:sz w:val="24"/>
          <w:szCs w:val="24"/>
        </w:rPr>
        <w:t>BAEL</w:t>
      </w:r>
      <w:r w:rsidR="00B44EE0">
        <w:rPr>
          <w:b/>
          <w:bCs/>
          <w:sz w:val="24"/>
          <w:szCs w:val="24"/>
        </w:rPr>
        <w:t xml:space="preserve"> </w:t>
      </w:r>
      <w:r w:rsidR="00B44EE0" w:rsidRPr="00D15EB9">
        <w:rPr>
          <w:sz w:val="24"/>
          <w:szCs w:val="24"/>
        </w:rPr>
        <w:t>–</w:t>
      </w:r>
      <w:r w:rsidR="00B44EE0">
        <w:rPr>
          <w:b/>
          <w:bCs/>
          <w:sz w:val="24"/>
          <w:szCs w:val="24"/>
        </w:rPr>
        <w:t xml:space="preserve"> </w:t>
      </w:r>
      <w:r w:rsidR="007C0EAD" w:rsidRPr="007C0EAD">
        <w:rPr>
          <w:sz w:val="24"/>
          <w:szCs w:val="24"/>
        </w:rPr>
        <w:t>Badanie Aktywności Ekonomicznej Ludności</w:t>
      </w:r>
    </w:p>
    <w:p w14:paraId="1F27EA33" w14:textId="6760B4E7" w:rsidR="00D15EB9" w:rsidRDefault="00D15EB9" w:rsidP="00B44EE0">
      <w:pPr>
        <w:jc w:val="both"/>
        <w:rPr>
          <w:sz w:val="24"/>
          <w:szCs w:val="24"/>
        </w:rPr>
      </w:pPr>
      <w:r w:rsidRPr="00D15EB9">
        <w:rPr>
          <w:b/>
          <w:bCs/>
          <w:sz w:val="24"/>
          <w:szCs w:val="24"/>
        </w:rPr>
        <w:t xml:space="preserve">CIS </w:t>
      </w:r>
      <w:bookmarkStart w:id="2" w:name="_Hlk163710482"/>
      <w:r w:rsidRPr="00D15EB9">
        <w:rPr>
          <w:sz w:val="24"/>
          <w:szCs w:val="24"/>
        </w:rPr>
        <w:t>–</w:t>
      </w:r>
      <w:bookmarkEnd w:id="2"/>
      <w:r w:rsidRPr="00D15EB9">
        <w:rPr>
          <w:sz w:val="24"/>
          <w:szCs w:val="24"/>
        </w:rPr>
        <w:t xml:space="preserve"> </w:t>
      </w:r>
      <w:r w:rsidR="00612323">
        <w:rPr>
          <w:sz w:val="24"/>
          <w:szCs w:val="24"/>
        </w:rPr>
        <w:t>c</w:t>
      </w:r>
      <w:r w:rsidRPr="00D15EB9">
        <w:rPr>
          <w:sz w:val="24"/>
          <w:szCs w:val="24"/>
        </w:rPr>
        <w:t xml:space="preserve">entrum </w:t>
      </w:r>
      <w:r w:rsidR="00612323">
        <w:rPr>
          <w:sz w:val="24"/>
          <w:szCs w:val="24"/>
        </w:rPr>
        <w:t>i</w:t>
      </w:r>
      <w:r w:rsidRPr="00D15EB9">
        <w:rPr>
          <w:sz w:val="24"/>
          <w:szCs w:val="24"/>
        </w:rPr>
        <w:t xml:space="preserve">ntegracji </w:t>
      </w:r>
      <w:r w:rsidR="00612323">
        <w:rPr>
          <w:sz w:val="24"/>
          <w:szCs w:val="24"/>
        </w:rPr>
        <w:t>s</w:t>
      </w:r>
      <w:r w:rsidRPr="00D15EB9">
        <w:rPr>
          <w:sz w:val="24"/>
          <w:szCs w:val="24"/>
        </w:rPr>
        <w:t xml:space="preserve">połecznej </w:t>
      </w:r>
    </w:p>
    <w:p w14:paraId="21961D1A" w14:textId="68166027" w:rsidR="00612323" w:rsidRPr="00612323" w:rsidRDefault="00612323" w:rsidP="00B44EE0">
      <w:pPr>
        <w:jc w:val="both"/>
        <w:rPr>
          <w:b/>
          <w:bCs/>
          <w:sz w:val="24"/>
          <w:szCs w:val="24"/>
        </w:rPr>
      </w:pPr>
      <w:r w:rsidRPr="00612323">
        <w:rPr>
          <w:b/>
          <w:bCs/>
          <w:sz w:val="24"/>
          <w:szCs w:val="24"/>
        </w:rPr>
        <w:t>KIS</w:t>
      </w:r>
      <w:r w:rsidR="00B44EE0">
        <w:rPr>
          <w:b/>
          <w:bCs/>
          <w:sz w:val="24"/>
          <w:szCs w:val="24"/>
        </w:rPr>
        <w:t xml:space="preserve"> </w:t>
      </w:r>
      <w:r w:rsidR="00B44EE0" w:rsidRPr="00D15EB9">
        <w:rPr>
          <w:sz w:val="24"/>
          <w:szCs w:val="24"/>
        </w:rPr>
        <w:t>–</w:t>
      </w:r>
      <w:r>
        <w:rPr>
          <w:b/>
          <w:bCs/>
          <w:sz w:val="24"/>
          <w:szCs w:val="24"/>
        </w:rPr>
        <w:t xml:space="preserve"> </w:t>
      </w:r>
      <w:r w:rsidRPr="009D4163">
        <w:rPr>
          <w:sz w:val="24"/>
          <w:szCs w:val="24"/>
        </w:rPr>
        <w:t>klub integracji społecznej</w:t>
      </w:r>
    </w:p>
    <w:p w14:paraId="37BD7367" w14:textId="130DFEB1" w:rsidR="009B5040" w:rsidRDefault="009B5040" w:rsidP="00B44EE0">
      <w:pPr>
        <w:jc w:val="both"/>
        <w:rPr>
          <w:sz w:val="24"/>
          <w:szCs w:val="24"/>
        </w:rPr>
      </w:pPr>
      <w:r w:rsidRPr="009B5040">
        <w:rPr>
          <w:b/>
          <w:bCs/>
          <w:sz w:val="24"/>
          <w:szCs w:val="24"/>
        </w:rPr>
        <w:t>OECD</w:t>
      </w:r>
      <w:r w:rsidRPr="00B44EE0">
        <w:rPr>
          <w:sz w:val="24"/>
          <w:szCs w:val="24"/>
        </w:rPr>
        <w:t xml:space="preserve"> </w:t>
      </w:r>
      <w:r w:rsidR="00BB5655" w:rsidRPr="00B44EE0">
        <w:rPr>
          <w:sz w:val="24"/>
          <w:szCs w:val="24"/>
        </w:rPr>
        <w:t>–</w:t>
      </w:r>
      <w:r>
        <w:rPr>
          <w:b/>
          <w:bCs/>
          <w:sz w:val="24"/>
          <w:szCs w:val="24"/>
        </w:rPr>
        <w:t xml:space="preserve"> </w:t>
      </w:r>
      <w:r w:rsidR="00BB5655" w:rsidRPr="00BB5655">
        <w:rPr>
          <w:sz w:val="24"/>
          <w:szCs w:val="24"/>
        </w:rPr>
        <w:t>Organizacja Współpracy Gospodarczej i Rozwoju</w:t>
      </w:r>
      <w:r w:rsidR="00BB5655">
        <w:rPr>
          <w:sz w:val="24"/>
          <w:szCs w:val="24"/>
        </w:rPr>
        <w:t xml:space="preserve"> (Organization for Economic</w:t>
      </w:r>
      <w:r w:rsidR="00612826">
        <w:rPr>
          <w:sz w:val="24"/>
          <w:szCs w:val="24"/>
        </w:rPr>
        <w:br/>
      </w:r>
      <w:r w:rsidR="00BB5655">
        <w:rPr>
          <w:sz w:val="24"/>
          <w:szCs w:val="24"/>
        </w:rPr>
        <w:t>Co-operation and Development)</w:t>
      </w:r>
    </w:p>
    <w:p w14:paraId="44D7D2A7" w14:textId="56D3B787" w:rsidR="00876286" w:rsidRDefault="00876286" w:rsidP="00B44EE0">
      <w:pPr>
        <w:jc w:val="both"/>
        <w:rPr>
          <w:sz w:val="24"/>
          <w:szCs w:val="24"/>
        </w:rPr>
      </w:pPr>
      <w:r w:rsidRPr="00876286">
        <w:rPr>
          <w:b/>
          <w:bCs/>
          <w:sz w:val="24"/>
          <w:szCs w:val="24"/>
        </w:rPr>
        <w:t>SZOP FEO 2021-2027</w:t>
      </w:r>
      <w:r>
        <w:rPr>
          <w:b/>
          <w:bCs/>
          <w:sz w:val="24"/>
          <w:szCs w:val="24"/>
        </w:rPr>
        <w:t xml:space="preserve"> </w:t>
      </w:r>
      <w:r w:rsidR="005402A2" w:rsidRPr="00B44EE0">
        <w:rPr>
          <w:sz w:val="24"/>
          <w:szCs w:val="24"/>
        </w:rPr>
        <w:t>–</w:t>
      </w:r>
      <w:r>
        <w:rPr>
          <w:b/>
          <w:bCs/>
          <w:sz w:val="24"/>
          <w:szCs w:val="24"/>
        </w:rPr>
        <w:t xml:space="preserve"> </w:t>
      </w:r>
      <w:r w:rsidR="005402A2">
        <w:rPr>
          <w:sz w:val="24"/>
          <w:szCs w:val="24"/>
        </w:rPr>
        <w:t>Szczegółowy Opis Priorytetów Programu Fundusze Europejskie dla Opolskiego 2021-2027</w:t>
      </w:r>
    </w:p>
    <w:p w14:paraId="64FDC3FE" w14:textId="1A66B258" w:rsidR="00404DD5" w:rsidRPr="005402A2" w:rsidRDefault="00404DD5" w:rsidP="00B44EE0">
      <w:pPr>
        <w:jc w:val="both"/>
        <w:rPr>
          <w:sz w:val="24"/>
          <w:szCs w:val="24"/>
        </w:rPr>
      </w:pPr>
      <w:r w:rsidRPr="00404DD5">
        <w:rPr>
          <w:b/>
          <w:bCs/>
          <w:sz w:val="24"/>
          <w:szCs w:val="24"/>
        </w:rPr>
        <w:t>PSZ</w:t>
      </w:r>
      <w:r w:rsidR="00B44EE0">
        <w:rPr>
          <w:sz w:val="24"/>
          <w:szCs w:val="24"/>
        </w:rPr>
        <w:t xml:space="preserve"> </w:t>
      </w:r>
      <w:r w:rsidR="00B44EE0" w:rsidRPr="00D15EB9">
        <w:rPr>
          <w:sz w:val="24"/>
          <w:szCs w:val="24"/>
        </w:rPr>
        <w:t>–</w:t>
      </w:r>
      <w:r>
        <w:rPr>
          <w:sz w:val="24"/>
          <w:szCs w:val="24"/>
        </w:rPr>
        <w:t xml:space="preserve"> </w:t>
      </w:r>
      <w:r w:rsidR="000859D1">
        <w:rPr>
          <w:sz w:val="24"/>
          <w:szCs w:val="24"/>
        </w:rPr>
        <w:t>p</w:t>
      </w:r>
      <w:r>
        <w:rPr>
          <w:sz w:val="24"/>
          <w:szCs w:val="24"/>
        </w:rPr>
        <w:t xml:space="preserve">ubliczne </w:t>
      </w:r>
      <w:r w:rsidR="000859D1">
        <w:rPr>
          <w:sz w:val="24"/>
          <w:szCs w:val="24"/>
        </w:rPr>
        <w:t>s</w:t>
      </w:r>
      <w:r>
        <w:rPr>
          <w:sz w:val="24"/>
          <w:szCs w:val="24"/>
        </w:rPr>
        <w:t xml:space="preserve">łużby </w:t>
      </w:r>
      <w:r w:rsidR="000859D1">
        <w:rPr>
          <w:sz w:val="24"/>
          <w:szCs w:val="24"/>
        </w:rPr>
        <w:t>z</w:t>
      </w:r>
      <w:r>
        <w:rPr>
          <w:sz w:val="24"/>
          <w:szCs w:val="24"/>
        </w:rPr>
        <w:t>atrudnienia</w:t>
      </w:r>
    </w:p>
    <w:p w14:paraId="509A5686" w14:textId="25C19A66" w:rsidR="00D15EB9" w:rsidRDefault="00D15EB9" w:rsidP="00B44EE0">
      <w:pPr>
        <w:jc w:val="both"/>
        <w:rPr>
          <w:sz w:val="24"/>
          <w:szCs w:val="24"/>
        </w:rPr>
      </w:pPr>
      <w:r w:rsidRPr="00D15EB9">
        <w:rPr>
          <w:b/>
          <w:bCs/>
          <w:sz w:val="24"/>
          <w:szCs w:val="24"/>
        </w:rPr>
        <w:t xml:space="preserve">WTZ </w:t>
      </w:r>
      <w:r w:rsidR="00B44EE0" w:rsidRPr="00D15EB9">
        <w:rPr>
          <w:sz w:val="24"/>
          <w:szCs w:val="24"/>
        </w:rPr>
        <w:t>–</w:t>
      </w:r>
      <w:r>
        <w:rPr>
          <w:sz w:val="24"/>
          <w:szCs w:val="24"/>
        </w:rPr>
        <w:t xml:space="preserve"> </w:t>
      </w:r>
      <w:r w:rsidR="00612323">
        <w:rPr>
          <w:sz w:val="24"/>
          <w:szCs w:val="24"/>
        </w:rPr>
        <w:t>w</w:t>
      </w:r>
      <w:r>
        <w:rPr>
          <w:sz w:val="24"/>
          <w:szCs w:val="24"/>
        </w:rPr>
        <w:t xml:space="preserve">arsztat </w:t>
      </w:r>
      <w:r w:rsidR="00612323">
        <w:rPr>
          <w:sz w:val="24"/>
          <w:szCs w:val="24"/>
        </w:rPr>
        <w:t>t</w:t>
      </w:r>
      <w:r>
        <w:rPr>
          <w:sz w:val="24"/>
          <w:szCs w:val="24"/>
        </w:rPr>
        <w:t xml:space="preserve">erapii </w:t>
      </w:r>
      <w:r w:rsidR="00612323">
        <w:rPr>
          <w:sz w:val="24"/>
          <w:szCs w:val="24"/>
        </w:rPr>
        <w:t>z</w:t>
      </w:r>
      <w:r>
        <w:rPr>
          <w:sz w:val="24"/>
          <w:szCs w:val="24"/>
        </w:rPr>
        <w:t>ajęciowej</w:t>
      </w:r>
    </w:p>
    <w:p w14:paraId="76FF892F" w14:textId="77AABFD4" w:rsidR="007C0EAD" w:rsidRDefault="007C0EAD" w:rsidP="00B44EE0">
      <w:pPr>
        <w:jc w:val="both"/>
        <w:rPr>
          <w:sz w:val="24"/>
          <w:szCs w:val="24"/>
        </w:rPr>
      </w:pPr>
      <w:r w:rsidRPr="007C0EAD">
        <w:rPr>
          <w:b/>
          <w:bCs/>
          <w:sz w:val="24"/>
          <w:szCs w:val="24"/>
        </w:rPr>
        <w:t>ZAZ</w:t>
      </w:r>
      <w:r w:rsidR="00B44EE0">
        <w:rPr>
          <w:b/>
          <w:bCs/>
          <w:sz w:val="24"/>
          <w:szCs w:val="24"/>
        </w:rPr>
        <w:t xml:space="preserve"> </w:t>
      </w:r>
      <w:r w:rsidR="00B44EE0" w:rsidRPr="00D15EB9">
        <w:rPr>
          <w:sz w:val="24"/>
          <w:szCs w:val="24"/>
        </w:rPr>
        <w:t>–</w:t>
      </w:r>
      <w:r w:rsidR="00B44EE0">
        <w:rPr>
          <w:sz w:val="24"/>
          <w:szCs w:val="24"/>
        </w:rPr>
        <w:t xml:space="preserve"> </w:t>
      </w:r>
      <w:r w:rsidR="00612323">
        <w:rPr>
          <w:sz w:val="24"/>
          <w:szCs w:val="24"/>
        </w:rPr>
        <w:t>z</w:t>
      </w:r>
      <w:r w:rsidRPr="007C0EAD">
        <w:rPr>
          <w:sz w:val="24"/>
          <w:szCs w:val="24"/>
        </w:rPr>
        <w:t xml:space="preserve">akład </w:t>
      </w:r>
      <w:r w:rsidR="00612323">
        <w:rPr>
          <w:sz w:val="24"/>
          <w:szCs w:val="24"/>
        </w:rPr>
        <w:t>a</w:t>
      </w:r>
      <w:r w:rsidRPr="007C0EAD">
        <w:rPr>
          <w:sz w:val="24"/>
          <w:szCs w:val="24"/>
        </w:rPr>
        <w:t xml:space="preserve">ktywności </w:t>
      </w:r>
      <w:r w:rsidR="00612323">
        <w:rPr>
          <w:sz w:val="24"/>
          <w:szCs w:val="24"/>
        </w:rPr>
        <w:t>z</w:t>
      </w:r>
      <w:r w:rsidRPr="007C0EAD">
        <w:rPr>
          <w:sz w:val="24"/>
          <w:szCs w:val="24"/>
        </w:rPr>
        <w:t>awodowej</w:t>
      </w:r>
    </w:p>
    <w:p w14:paraId="5F357F40" w14:textId="77777777" w:rsidR="00194126" w:rsidRDefault="00194126" w:rsidP="00B44EE0">
      <w:pPr>
        <w:jc w:val="both"/>
        <w:rPr>
          <w:sz w:val="24"/>
          <w:szCs w:val="24"/>
        </w:rPr>
      </w:pPr>
    </w:p>
    <w:p w14:paraId="4892DE96" w14:textId="0A4ECF20" w:rsidR="00194126" w:rsidRDefault="00194126" w:rsidP="00B44EE0">
      <w:pPr>
        <w:pStyle w:val="Nagwek1"/>
        <w:jc w:val="both"/>
      </w:pPr>
      <w:bookmarkStart w:id="3" w:name="_Toc163662215"/>
      <w:r w:rsidRPr="00194126">
        <w:t>2. Wstęp</w:t>
      </w:r>
      <w:bookmarkEnd w:id="3"/>
    </w:p>
    <w:p w14:paraId="5FB129EE" w14:textId="77777777" w:rsidR="00194126" w:rsidRDefault="00194126" w:rsidP="00B44EE0">
      <w:pPr>
        <w:jc w:val="both"/>
      </w:pPr>
    </w:p>
    <w:p w14:paraId="34A5B586" w14:textId="17CDD32B" w:rsidR="00194126" w:rsidRDefault="00194126" w:rsidP="00B44EE0">
      <w:pPr>
        <w:spacing w:line="360" w:lineRule="auto"/>
        <w:jc w:val="both"/>
        <w:rPr>
          <w:iCs/>
          <w:sz w:val="24"/>
          <w:szCs w:val="24"/>
        </w:rPr>
      </w:pPr>
      <w:r w:rsidRPr="00194126">
        <w:rPr>
          <w:iCs/>
          <w:sz w:val="24"/>
          <w:szCs w:val="24"/>
        </w:rPr>
        <w:t>Zgodnie z treścią</w:t>
      </w:r>
      <w:r w:rsidRPr="00194126">
        <w:rPr>
          <w:i/>
          <w:sz w:val="24"/>
          <w:szCs w:val="24"/>
        </w:rPr>
        <w:t xml:space="preserve"> Wytycznych dotyczących realizacji projektów z udziałem środków Europejskiego Funduszu Społecznego Plus w regionalnych programach na lata 2021-2027 </w:t>
      </w:r>
      <w:r w:rsidRPr="00194126">
        <w:rPr>
          <w:iCs/>
          <w:sz w:val="24"/>
          <w:szCs w:val="24"/>
        </w:rPr>
        <w:t>Instytucja Zarządzająca zobligowana jest do przedstawienia kategorii osób biernych zawodowo, do których kierowane jest wsparcie bazując</w:t>
      </w:r>
      <w:r w:rsidR="00C61A79">
        <w:rPr>
          <w:iCs/>
          <w:sz w:val="24"/>
          <w:szCs w:val="24"/>
        </w:rPr>
        <w:t xml:space="preserve"> </w:t>
      </w:r>
      <w:r w:rsidR="00E95048">
        <w:rPr>
          <w:iCs/>
          <w:sz w:val="24"/>
          <w:szCs w:val="24"/>
        </w:rPr>
        <w:t xml:space="preserve">na </w:t>
      </w:r>
      <w:r w:rsidR="00C61A79">
        <w:rPr>
          <w:iCs/>
          <w:sz w:val="24"/>
          <w:szCs w:val="24"/>
        </w:rPr>
        <w:t>konkretnych</w:t>
      </w:r>
      <w:r w:rsidRPr="00194126">
        <w:rPr>
          <w:iCs/>
          <w:sz w:val="24"/>
          <w:szCs w:val="24"/>
        </w:rPr>
        <w:t xml:space="preserve"> przyczynach </w:t>
      </w:r>
      <w:r w:rsidR="00C61A79">
        <w:rPr>
          <w:iCs/>
          <w:sz w:val="24"/>
          <w:szCs w:val="24"/>
        </w:rPr>
        <w:t xml:space="preserve">tejże </w:t>
      </w:r>
      <w:r w:rsidRPr="00194126">
        <w:rPr>
          <w:iCs/>
          <w:sz w:val="24"/>
          <w:szCs w:val="24"/>
        </w:rPr>
        <w:t>bierności</w:t>
      </w:r>
      <w:r w:rsidR="00C61A79">
        <w:rPr>
          <w:iCs/>
          <w:sz w:val="24"/>
          <w:szCs w:val="24"/>
        </w:rPr>
        <w:t xml:space="preserve">. </w:t>
      </w:r>
      <w:r>
        <w:rPr>
          <w:iCs/>
          <w:sz w:val="24"/>
          <w:szCs w:val="24"/>
        </w:rPr>
        <w:t xml:space="preserve"> Dokonanie takiej identyfikacji jest konieczne, gdyż</w:t>
      </w:r>
      <w:r w:rsidR="006D3460">
        <w:rPr>
          <w:iCs/>
          <w:sz w:val="24"/>
          <w:szCs w:val="24"/>
        </w:rPr>
        <w:t xml:space="preserve"> ustalenie powodu bierności zawodowej uczestników projektów pozwala na dobór dla nich takich form wsparcia, które realnie wpłyną na ich sytuację społeczną i zawodową. </w:t>
      </w:r>
      <w:r>
        <w:rPr>
          <w:iCs/>
          <w:sz w:val="24"/>
          <w:szCs w:val="24"/>
        </w:rPr>
        <w:t xml:space="preserve"> </w:t>
      </w:r>
      <w:r w:rsidR="006D3460">
        <w:rPr>
          <w:iCs/>
          <w:sz w:val="24"/>
          <w:szCs w:val="24"/>
        </w:rPr>
        <w:t>Zjawisko bierności zawodowej jest zagadnieniem złożonym, u którego podstaw leżą rozmaite czynniki o charakterze m.in. psychologicznym, środowiskowym, związane z koniecznością sprawowania opieki nad osobą zależną czy niepełnosprawnością</w:t>
      </w:r>
      <w:r w:rsidR="00E95048">
        <w:rPr>
          <w:iCs/>
          <w:sz w:val="24"/>
          <w:szCs w:val="24"/>
        </w:rPr>
        <w:t xml:space="preserve"> uczestnika.</w:t>
      </w:r>
    </w:p>
    <w:p w14:paraId="15973A7A" w14:textId="6C8E2DE9" w:rsidR="00612323" w:rsidRDefault="00612323" w:rsidP="00B44EE0">
      <w:pPr>
        <w:spacing w:line="360" w:lineRule="auto"/>
        <w:jc w:val="both"/>
        <w:rPr>
          <w:iCs/>
          <w:sz w:val="24"/>
          <w:szCs w:val="24"/>
        </w:rPr>
      </w:pPr>
      <w:r>
        <w:rPr>
          <w:iCs/>
          <w:sz w:val="24"/>
          <w:szCs w:val="24"/>
        </w:rPr>
        <w:t xml:space="preserve">Niniejsza analiza opisuje przyczyny bierności zawodowej wśród uczestników podmiotów reintegracyjnych tj. </w:t>
      </w:r>
      <w:r w:rsidR="00E95048">
        <w:rPr>
          <w:iCs/>
          <w:sz w:val="24"/>
          <w:szCs w:val="24"/>
        </w:rPr>
        <w:t>c</w:t>
      </w:r>
      <w:r>
        <w:rPr>
          <w:iCs/>
          <w:sz w:val="24"/>
          <w:szCs w:val="24"/>
        </w:rPr>
        <w:t xml:space="preserve">entrów </w:t>
      </w:r>
      <w:r w:rsidR="00E95048">
        <w:rPr>
          <w:iCs/>
          <w:sz w:val="24"/>
          <w:szCs w:val="24"/>
        </w:rPr>
        <w:t>i</w:t>
      </w:r>
      <w:r>
        <w:rPr>
          <w:iCs/>
          <w:sz w:val="24"/>
          <w:szCs w:val="24"/>
        </w:rPr>
        <w:t xml:space="preserve">ntegracji </w:t>
      </w:r>
      <w:r w:rsidR="00E95048">
        <w:rPr>
          <w:iCs/>
          <w:sz w:val="24"/>
          <w:szCs w:val="24"/>
        </w:rPr>
        <w:t>s</w:t>
      </w:r>
      <w:r>
        <w:rPr>
          <w:iCs/>
          <w:sz w:val="24"/>
          <w:szCs w:val="24"/>
        </w:rPr>
        <w:t xml:space="preserve">połecznej i </w:t>
      </w:r>
      <w:r w:rsidR="00E95048">
        <w:rPr>
          <w:iCs/>
          <w:sz w:val="24"/>
          <w:szCs w:val="24"/>
        </w:rPr>
        <w:t>w</w:t>
      </w:r>
      <w:r>
        <w:rPr>
          <w:iCs/>
          <w:sz w:val="24"/>
          <w:szCs w:val="24"/>
        </w:rPr>
        <w:t xml:space="preserve">arsztatów </w:t>
      </w:r>
      <w:r w:rsidR="00E95048">
        <w:rPr>
          <w:iCs/>
          <w:sz w:val="24"/>
          <w:szCs w:val="24"/>
        </w:rPr>
        <w:t>t</w:t>
      </w:r>
      <w:r>
        <w:rPr>
          <w:iCs/>
          <w:sz w:val="24"/>
          <w:szCs w:val="24"/>
        </w:rPr>
        <w:t xml:space="preserve">erapii </w:t>
      </w:r>
      <w:r w:rsidR="00E95048">
        <w:rPr>
          <w:iCs/>
          <w:sz w:val="24"/>
          <w:szCs w:val="24"/>
        </w:rPr>
        <w:t>z</w:t>
      </w:r>
      <w:r>
        <w:rPr>
          <w:iCs/>
          <w:sz w:val="24"/>
          <w:szCs w:val="24"/>
        </w:rPr>
        <w:t xml:space="preserve">ajęciowej (ze względu na brak danych nie określono przyczyn bierności zawodowej uczestników </w:t>
      </w:r>
      <w:r w:rsidR="00E95048">
        <w:rPr>
          <w:iCs/>
          <w:sz w:val="24"/>
          <w:szCs w:val="24"/>
        </w:rPr>
        <w:t>k</w:t>
      </w:r>
      <w:r>
        <w:rPr>
          <w:iCs/>
          <w:sz w:val="24"/>
          <w:szCs w:val="24"/>
        </w:rPr>
        <w:t xml:space="preserve">lubów </w:t>
      </w:r>
      <w:r w:rsidR="00E95048">
        <w:rPr>
          <w:iCs/>
          <w:sz w:val="24"/>
          <w:szCs w:val="24"/>
        </w:rPr>
        <w:t>i</w:t>
      </w:r>
      <w:r>
        <w:rPr>
          <w:iCs/>
          <w:sz w:val="24"/>
          <w:szCs w:val="24"/>
        </w:rPr>
        <w:t>ntegracji społecznej (KIS)</w:t>
      </w:r>
      <w:r w:rsidR="00E95048">
        <w:rPr>
          <w:iCs/>
          <w:sz w:val="24"/>
          <w:szCs w:val="24"/>
        </w:rPr>
        <w:t xml:space="preserve">. Uczestnicy tych podmiotów będą wspierani w projektach, które </w:t>
      </w:r>
      <w:r w:rsidR="00CD417F">
        <w:rPr>
          <w:iCs/>
          <w:sz w:val="24"/>
          <w:szCs w:val="24"/>
        </w:rPr>
        <w:t xml:space="preserve">będą składane </w:t>
      </w:r>
      <w:r w:rsidR="00E95048">
        <w:rPr>
          <w:iCs/>
          <w:sz w:val="24"/>
          <w:szCs w:val="24"/>
        </w:rPr>
        <w:t xml:space="preserve"> w odpowiedzi na nabory wniosków  w trybie konkurencyjnym </w:t>
      </w:r>
      <w:r w:rsidR="00E95048">
        <w:rPr>
          <w:iCs/>
          <w:sz w:val="24"/>
          <w:szCs w:val="24"/>
        </w:rPr>
        <w:br/>
        <w:t xml:space="preserve">w działaniu 6.2 </w:t>
      </w:r>
      <w:r w:rsidR="00E95048" w:rsidRPr="00E95048">
        <w:rPr>
          <w:i/>
          <w:sz w:val="24"/>
          <w:szCs w:val="24"/>
        </w:rPr>
        <w:t xml:space="preserve">Aktywizacja społeczno-zawodowa osób zagrożonych ubóstwem </w:t>
      </w:r>
      <w:r w:rsidR="00B44EE0">
        <w:rPr>
          <w:i/>
          <w:sz w:val="24"/>
          <w:szCs w:val="24"/>
        </w:rPr>
        <w:br/>
      </w:r>
      <w:r w:rsidR="00E95048" w:rsidRPr="00E95048">
        <w:rPr>
          <w:i/>
          <w:sz w:val="24"/>
          <w:szCs w:val="24"/>
        </w:rPr>
        <w:lastRenderedPageBreak/>
        <w:t>i wykluczeniem społecznym</w:t>
      </w:r>
      <w:r w:rsidR="00E95048">
        <w:rPr>
          <w:iCs/>
          <w:sz w:val="24"/>
          <w:szCs w:val="24"/>
        </w:rPr>
        <w:t xml:space="preserve">  programu regionalnego Fundusze europejskie dla Opolskiego 2021-2027</w:t>
      </w:r>
      <w:r w:rsidR="00CD417F">
        <w:rPr>
          <w:iCs/>
          <w:sz w:val="24"/>
          <w:szCs w:val="24"/>
        </w:rPr>
        <w:t>.</w:t>
      </w:r>
    </w:p>
    <w:p w14:paraId="5C5B15C8" w14:textId="67061AFB" w:rsidR="00CC324D" w:rsidRPr="00194126" w:rsidRDefault="00925CFE" w:rsidP="00B44EE0">
      <w:pPr>
        <w:pStyle w:val="Nagwek1"/>
        <w:numPr>
          <w:ilvl w:val="0"/>
          <w:numId w:val="7"/>
        </w:numPr>
        <w:spacing w:before="120" w:after="120"/>
        <w:ind w:left="567" w:hanging="567"/>
        <w:jc w:val="both"/>
      </w:pPr>
      <w:bookmarkStart w:id="4" w:name="_Toc163662216"/>
      <w:r>
        <w:t xml:space="preserve">Przyczyny bierności </w:t>
      </w:r>
      <w:r w:rsidR="00CC324D">
        <w:t>zawodow</w:t>
      </w:r>
      <w:r>
        <w:t>ej  uczestników podmiotów reintegracyjnych w działaniu 6.2 FEO 2021-2027  -</w:t>
      </w:r>
      <w:r w:rsidR="00B44EE0">
        <w:t xml:space="preserve"> </w:t>
      </w:r>
      <w:r>
        <w:t>kierunki działania</w:t>
      </w:r>
      <w:bookmarkEnd w:id="4"/>
      <w:r>
        <w:t xml:space="preserve"> </w:t>
      </w:r>
    </w:p>
    <w:p w14:paraId="7F76C23B" w14:textId="103F5D28" w:rsidR="00970BAC" w:rsidRPr="000F353E" w:rsidRDefault="000436AE" w:rsidP="00B44EE0">
      <w:pPr>
        <w:spacing w:before="120" w:after="120" w:line="360" w:lineRule="auto"/>
        <w:jc w:val="both"/>
        <w:rPr>
          <w:rFonts w:cstheme="minorHAnsi"/>
          <w:sz w:val="24"/>
          <w:szCs w:val="24"/>
        </w:rPr>
      </w:pPr>
      <w:r w:rsidRPr="000F353E">
        <w:rPr>
          <w:rFonts w:cstheme="minorHAnsi"/>
          <w:sz w:val="24"/>
          <w:szCs w:val="24"/>
        </w:rPr>
        <w:t xml:space="preserve">Zjawisko bierności zawodowej jest problematycznym zagadnieniem, przede wszystkim z racji społeczno-ekonomicznych następstw zarówno dla poszczególnych osób jak również dla całego społeczeństwa. </w:t>
      </w:r>
      <w:r w:rsidR="00970BAC" w:rsidRPr="000F353E">
        <w:rPr>
          <w:rFonts w:cstheme="minorHAnsi"/>
          <w:sz w:val="24"/>
          <w:szCs w:val="24"/>
        </w:rPr>
        <w:t>Niniejsza analiza koncentruje się na problemie bierności zawodowej osób korzystających ze wsparcia podmiotów reintegracyjnych. Stanowi pewien wycinek problemu bierności zawodowej, który częściowo można łagodzić poprzez wsparcie oferowane przez podmioty z sektora ekonomii społecznej. Jednym z jego warunków jest adekwatny dobór grup docelowych, na co zwrócono szczególną uwagę.</w:t>
      </w:r>
    </w:p>
    <w:p w14:paraId="542678CE" w14:textId="250CCB06" w:rsidR="000436AE" w:rsidRPr="00863A31" w:rsidRDefault="000436AE" w:rsidP="00B44EE0">
      <w:pPr>
        <w:spacing w:line="360" w:lineRule="auto"/>
        <w:jc w:val="both"/>
        <w:rPr>
          <w:rFonts w:ascii="Arial" w:hAnsi="Arial" w:cs="Arial"/>
          <w:sz w:val="24"/>
          <w:szCs w:val="24"/>
        </w:rPr>
      </w:pPr>
      <w:r w:rsidRPr="000F353E">
        <w:rPr>
          <w:rFonts w:cstheme="minorHAnsi"/>
          <w:sz w:val="24"/>
          <w:szCs w:val="24"/>
        </w:rPr>
        <w:t>W literaturze wskazuje się przede wszystkim, że stosunkowo duży odsetek osób biernych zawodowo prowadzi do sytuacji, w której produkcja rzeczywista jest mniejsza od potencjalnej. W ten sposób osoby bierne nie przyczyniają się do wzrostu PKB, co generuje spadek dobrobytu społeczeństwa</w:t>
      </w:r>
      <w:r w:rsidRPr="000F353E">
        <w:rPr>
          <w:rStyle w:val="Odwoanieprzypisudolnego"/>
          <w:rFonts w:cstheme="minorHAnsi"/>
          <w:sz w:val="24"/>
          <w:szCs w:val="24"/>
        </w:rPr>
        <w:footnoteReference w:id="1"/>
      </w:r>
      <w:r w:rsidRPr="000F353E">
        <w:rPr>
          <w:rFonts w:cstheme="minorHAnsi"/>
          <w:sz w:val="24"/>
          <w:szCs w:val="24"/>
        </w:rPr>
        <w:t xml:space="preserve">. Dzieje się to w związku z tym, że pracodawcy trwale zmagają się niedoborem pracowników, zarówno wykwalifikowanych jak również niewykwalifikowanych, skutkiem czego są nieobsadzone </w:t>
      </w:r>
      <w:r w:rsidR="00152E1B" w:rsidRPr="000F353E">
        <w:rPr>
          <w:rFonts w:cstheme="minorHAnsi"/>
          <w:sz w:val="24"/>
          <w:szCs w:val="24"/>
        </w:rPr>
        <w:t>miejsca pracy</w:t>
      </w:r>
      <w:r w:rsidRPr="000F353E">
        <w:rPr>
          <w:rStyle w:val="Odwoanieprzypisudolnego"/>
          <w:rFonts w:cstheme="minorHAnsi"/>
          <w:sz w:val="24"/>
          <w:szCs w:val="24"/>
        </w:rPr>
        <w:footnoteReference w:id="2"/>
      </w:r>
      <w:r w:rsidRPr="000F353E">
        <w:rPr>
          <w:rFonts w:cstheme="minorHAnsi"/>
          <w:sz w:val="24"/>
          <w:szCs w:val="24"/>
        </w:rPr>
        <w:t xml:space="preserve">.  </w:t>
      </w:r>
      <w:r w:rsidR="00741B3D" w:rsidRPr="000F353E">
        <w:rPr>
          <w:rFonts w:cstheme="minorHAnsi"/>
          <w:sz w:val="24"/>
          <w:szCs w:val="24"/>
        </w:rPr>
        <w:t>W rezultacie z</w:t>
      </w:r>
      <w:r w:rsidRPr="000F353E">
        <w:rPr>
          <w:rFonts w:cstheme="minorHAnsi"/>
          <w:sz w:val="24"/>
          <w:szCs w:val="24"/>
        </w:rPr>
        <w:t>nacząca liczba biernych zawodowo pomniejsza dochod</w:t>
      </w:r>
      <w:r w:rsidR="00741B3D" w:rsidRPr="000F353E">
        <w:rPr>
          <w:rFonts w:cstheme="minorHAnsi"/>
          <w:sz w:val="24"/>
          <w:szCs w:val="24"/>
        </w:rPr>
        <w:t>y</w:t>
      </w:r>
      <w:r w:rsidRPr="000F353E">
        <w:rPr>
          <w:rFonts w:cstheme="minorHAnsi"/>
          <w:sz w:val="24"/>
          <w:szCs w:val="24"/>
        </w:rPr>
        <w:t xml:space="preserve"> budżetu, w tym wpływy do Funduszu Ubezpieczeń Społecznych, generując jednocześnie dodatkowe koszty związane z</w:t>
      </w:r>
      <w:r w:rsidR="00152E1B" w:rsidRPr="000F353E">
        <w:rPr>
          <w:rFonts w:cstheme="minorHAnsi"/>
          <w:sz w:val="24"/>
          <w:szCs w:val="24"/>
        </w:rPr>
        <w:t>e</w:t>
      </w:r>
      <w:r w:rsidRPr="000F353E">
        <w:rPr>
          <w:rFonts w:cstheme="minorHAnsi"/>
          <w:sz w:val="24"/>
          <w:szCs w:val="24"/>
        </w:rPr>
        <w:t xml:space="preserve"> świadczeniami społecznymi.</w:t>
      </w:r>
      <w:r w:rsidR="00741B3D" w:rsidRPr="000F353E">
        <w:rPr>
          <w:rFonts w:cstheme="minorHAnsi"/>
          <w:sz w:val="24"/>
          <w:szCs w:val="24"/>
        </w:rPr>
        <w:t xml:space="preserve"> Same świadczenia </w:t>
      </w:r>
      <w:r w:rsidR="00B44EE0">
        <w:rPr>
          <w:rFonts w:cstheme="minorHAnsi"/>
          <w:sz w:val="24"/>
          <w:szCs w:val="24"/>
        </w:rPr>
        <w:br/>
      </w:r>
      <w:r w:rsidR="00741B3D" w:rsidRPr="000F353E">
        <w:rPr>
          <w:rFonts w:cstheme="minorHAnsi"/>
          <w:sz w:val="24"/>
          <w:szCs w:val="24"/>
        </w:rPr>
        <w:t>z kolei, które traktuje się jako czynnik redystrybucyjny dochodu</w:t>
      </w:r>
      <w:r w:rsidR="00152E1B" w:rsidRPr="000F353E">
        <w:rPr>
          <w:rFonts w:cstheme="minorHAnsi"/>
          <w:sz w:val="24"/>
          <w:szCs w:val="24"/>
        </w:rPr>
        <w:t>,</w:t>
      </w:r>
      <w:r w:rsidR="00741B3D" w:rsidRPr="000F353E">
        <w:rPr>
          <w:rFonts w:cstheme="minorHAnsi"/>
          <w:sz w:val="24"/>
          <w:szCs w:val="24"/>
        </w:rPr>
        <w:t xml:space="preserve"> jedynie w minimalnym stopniu zabezpieczają przed pauperyzacją. W związku z tym obserwuje się obniżenie standardu konsumpcyjnego, co </w:t>
      </w:r>
      <w:r w:rsidRPr="000F353E">
        <w:rPr>
          <w:rFonts w:cstheme="minorHAnsi"/>
          <w:sz w:val="24"/>
          <w:szCs w:val="24"/>
        </w:rPr>
        <w:t>w dłuższej perspektywie czasu prowadzić może do marginalizacji i wykluczenia społecznego</w:t>
      </w:r>
      <w:r w:rsidR="00741B3D" w:rsidRPr="000F353E">
        <w:rPr>
          <w:rStyle w:val="Odwoanieprzypisudolnego"/>
          <w:rFonts w:cstheme="minorHAnsi"/>
          <w:sz w:val="24"/>
          <w:szCs w:val="24"/>
        </w:rPr>
        <w:footnoteReference w:id="3"/>
      </w:r>
      <w:r w:rsidRPr="00863A31">
        <w:rPr>
          <w:rFonts w:ascii="Arial" w:hAnsi="Arial" w:cs="Arial"/>
          <w:sz w:val="24"/>
          <w:szCs w:val="24"/>
        </w:rPr>
        <w:t xml:space="preserve">. </w:t>
      </w:r>
    </w:p>
    <w:p w14:paraId="21B4A735" w14:textId="52EF0AC3" w:rsidR="00B24E00" w:rsidRPr="000F353E" w:rsidRDefault="00620ADA" w:rsidP="00B44EE0">
      <w:pPr>
        <w:spacing w:line="360" w:lineRule="auto"/>
        <w:jc w:val="both"/>
        <w:rPr>
          <w:rFonts w:cstheme="minorHAnsi"/>
          <w:sz w:val="24"/>
          <w:szCs w:val="24"/>
        </w:rPr>
      </w:pPr>
      <w:r w:rsidRPr="000F353E">
        <w:rPr>
          <w:rFonts w:cstheme="minorHAnsi"/>
          <w:sz w:val="24"/>
          <w:szCs w:val="24"/>
        </w:rPr>
        <w:t xml:space="preserve">Badanie Aktywności Ekonomicznej Ludności wskazuje, że liczba osób w wieku 15-89 lata </w:t>
      </w:r>
      <w:r w:rsidR="00680C12" w:rsidRPr="000F353E">
        <w:rPr>
          <w:rFonts w:cstheme="minorHAnsi"/>
          <w:sz w:val="24"/>
          <w:szCs w:val="24"/>
        </w:rPr>
        <w:t>w</w:t>
      </w:r>
      <w:r w:rsidR="00A02637" w:rsidRPr="000F353E">
        <w:rPr>
          <w:rFonts w:cstheme="minorHAnsi"/>
          <w:sz w:val="24"/>
          <w:szCs w:val="24"/>
        </w:rPr>
        <w:t> </w:t>
      </w:r>
      <w:r w:rsidR="00680C12" w:rsidRPr="000F353E">
        <w:rPr>
          <w:rFonts w:cstheme="minorHAnsi"/>
          <w:sz w:val="24"/>
          <w:szCs w:val="24"/>
        </w:rPr>
        <w:t xml:space="preserve">województwie opolskim </w:t>
      </w:r>
      <w:r w:rsidRPr="000F353E">
        <w:rPr>
          <w:rFonts w:cstheme="minorHAnsi"/>
          <w:sz w:val="24"/>
          <w:szCs w:val="24"/>
        </w:rPr>
        <w:t xml:space="preserve">wykazuje wyraźną tendencję spadkową. Pomiędzy 2016 a 2022 </w:t>
      </w:r>
      <w:r w:rsidRPr="000F353E">
        <w:rPr>
          <w:rFonts w:cstheme="minorHAnsi"/>
          <w:sz w:val="24"/>
          <w:szCs w:val="24"/>
        </w:rPr>
        <w:lastRenderedPageBreak/>
        <w:t xml:space="preserve">rokiem nastąpił ubytek ludności o przeszło 6% z poziomu 759 do 710 tysięcy. W tym samym czasie ludność bierna zawodowo również zmniejszyła się (o przeszło 7%), jednak jej odsetek pozostaje na względnie stałym poziomie i oscyluje wokół 44%. </w:t>
      </w:r>
    </w:p>
    <w:p w14:paraId="67B4F3DB" w14:textId="501B0CA8" w:rsidR="00620ADA" w:rsidRPr="000F353E" w:rsidRDefault="006F4497" w:rsidP="00B44EE0">
      <w:pPr>
        <w:spacing w:line="360" w:lineRule="auto"/>
        <w:jc w:val="both"/>
        <w:rPr>
          <w:rFonts w:cstheme="minorHAnsi"/>
          <w:sz w:val="24"/>
          <w:szCs w:val="24"/>
        </w:rPr>
      </w:pPr>
      <w:r w:rsidRPr="000F353E">
        <w:rPr>
          <w:rFonts w:cstheme="minorHAnsi"/>
          <w:sz w:val="24"/>
          <w:szCs w:val="24"/>
        </w:rPr>
        <w:t xml:space="preserve">Istotne jest </w:t>
      </w:r>
      <w:r w:rsidR="00C02D43" w:rsidRPr="000F353E">
        <w:rPr>
          <w:rFonts w:cstheme="minorHAnsi"/>
          <w:sz w:val="24"/>
          <w:szCs w:val="24"/>
        </w:rPr>
        <w:t xml:space="preserve">również </w:t>
      </w:r>
      <w:r w:rsidRPr="000F353E">
        <w:rPr>
          <w:rFonts w:cstheme="minorHAnsi"/>
          <w:sz w:val="24"/>
          <w:szCs w:val="24"/>
        </w:rPr>
        <w:t>to, że znaczna część spośród biernych znajduje się w wieku produkcyjnym</w:t>
      </w:r>
      <w:r w:rsidR="00152E1B" w:rsidRPr="000F353E">
        <w:rPr>
          <w:rFonts w:cstheme="minorHAnsi"/>
          <w:sz w:val="24"/>
          <w:szCs w:val="24"/>
        </w:rPr>
        <w:t>,</w:t>
      </w:r>
      <w:r w:rsidRPr="000F353E">
        <w:rPr>
          <w:rFonts w:cstheme="minorHAnsi"/>
          <w:sz w:val="24"/>
          <w:szCs w:val="24"/>
        </w:rPr>
        <w:t xml:space="preserve"> </w:t>
      </w:r>
      <w:r w:rsidR="00152E1B" w:rsidRPr="000F353E">
        <w:rPr>
          <w:rFonts w:cstheme="minorHAnsi"/>
          <w:sz w:val="24"/>
          <w:szCs w:val="24"/>
        </w:rPr>
        <w:t>c</w:t>
      </w:r>
      <w:r w:rsidR="00C02D43" w:rsidRPr="000F353E">
        <w:rPr>
          <w:rFonts w:cstheme="minorHAnsi"/>
          <w:sz w:val="24"/>
          <w:szCs w:val="24"/>
        </w:rPr>
        <w:t xml:space="preserve">o uszczupla potencjalne zasoby pracy. </w:t>
      </w:r>
      <w:r w:rsidRPr="000F353E">
        <w:rPr>
          <w:rFonts w:cstheme="minorHAnsi"/>
          <w:sz w:val="24"/>
          <w:szCs w:val="24"/>
        </w:rPr>
        <w:t xml:space="preserve">W IV kwartale 2022 roku było to </w:t>
      </w:r>
      <w:r w:rsidR="00872DFD" w:rsidRPr="000F353E">
        <w:rPr>
          <w:rFonts w:cstheme="minorHAnsi"/>
          <w:sz w:val="24"/>
          <w:szCs w:val="24"/>
        </w:rPr>
        <w:t>prawie 29%</w:t>
      </w:r>
      <w:r w:rsidR="00152E1B" w:rsidRPr="000F353E">
        <w:rPr>
          <w:rFonts w:cstheme="minorHAnsi"/>
          <w:sz w:val="24"/>
          <w:szCs w:val="24"/>
        </w:rPr>
        <w:t>.</w:t>
      </w:r>
      <w:r w:rsidRPr="000F353E">
        <w:rPr>
          <w:rFonts w:cstheme="minorHAnsi"/>
          <w:sz w:val="24"/>
          <w:szCs w:val="24"/>
        </w:rPr>
        <w:t xml:space="preserve"> Jest to stosunkowo dużo, jednak w perspektywie od 2016 widoczna jest ewidentna tendencja spadkowa. Wówczas odsetek ten sięgał prawie 40%</w:t>
      </w:r>
      <w:r w:rsidR="00B24E00" w:rsidRPr="000F353E">
        <w:rPr>
          <w:rFonts w:cstheme="minorHAnsi"/>
          <w:sz w:val="24"/>
          <w:szCs w:val="24"/>
        </w:rPr>
        <w:t xml:space="preserve">. </w:t>
      </w:r>
      <w:r w:rsidR="00BA56D3" w:rsidRPr="000F353E">
        <w:rPr>
          <w:rFonts w:cstheme="minorHAnsi"/>
          <w:sz w:val="24"/>
          <w:szCs w:val="24"/>
        </w:rPr>
        <w:t>P</w:t>
      </w:r>
      <w:r w:rsidR="00B24E00" w:rsidRPr="000F353E">
        <w:rPr>
          <w:rFonts w:cstheme="minorHAnsi"/>
          <w:sz w:val="24"/>
          <w:szCs w:val="24"/>
        </w:rPr>
        <w:t>ozytywny trend</w:t>
      </w:r>
      <w:r w:rsidR="00872DFD" w:rsidRPr="000F353E">
        <w:rPr>
          <w:rFonts w:cstheme="minorHAnsi"/>
          <w:sz w:val="24"/>
          <w:szCs w:val="24"/>
        </w:rPr>
        <w:t xml:space="preserve"> </w:t>
      </w:r>
      <w:r w:rsidR="00BA56D3" w:rsidRPr="000F353E">
        <w:rPr>
          <w:rFonts w:cstheme="minorHAnsi"/>
          <w:sz w:val="24"/>
          <w:szCs w:val="24"/>
        </w:rPr>
        <w:t>spadku udziału osób w</w:t>
      </w:r>
      <w:r w:rsidR="00A02637" w:rsidRPr="000F353E">
        <w:rPr>
          <w:rFonts w:cstheme="minorHAnsi"/>
          <w:sz w:val="24"/>
          <w:szCs w:val="24"/>
        </w:rPr>
        <w:t> </w:t>
      </w:r>
      <w:r w:rsidR="00BA56D3" w:rsidRPr="000F353E">
        <w:rPr>
          <w:rFonts w:cstheme="minorHAnsi"/>
          <w:sz w:val="24"/>
          <w:szCs w:val="24"/>
        </w:rPr>
        <w:t xml:space="preserve">wieku produkcyjnym pośród biernych zawodowo współwystępuje </w:t>
      </w:r>
      <w:r w:rsidR="00B44EE0">
        <w:rPr>
          <w:rFonts w:cstheme="minorHAnsi"/>
          <w:sz w:val="24"/>
          <w:szCs w:val="24"/>
        </w:rPr>
        <w:br/>
      </w:r>
      <w:r w:rsidR="00BA56D3" w:rsidRPr="000F353E">
        <w:rPr>
          <w:rFonts w:cstheme="minorHAnsi"/>
          <w:sz w:val="24"/>
          <w:szCs w:val="24"/>
        </w:rPr>
        <w:t>z tendencją wzrostową w</w:t>
      </w:r>
      <w:r w:rsidR="00A02637" w:rsidRPr="000F353E">
        <w:rPr>
          <w:rFonts w:cstheme="minorHAnsi"/>
          <w:sz w:val="24"/>
          <w:szCs w:val="24"/>
        </w:rPr>
        <w:t> </w:t>
      </w:r>
      <w:r w:rsidR="00BA56D3" w:rsidRPr="000F353E">
        <w:rPr>
          <w:rFonts w:cstheme="minorHAnsi"/>
          <w:sz w:val="24"/>
          <w:szCs w:val="24"/>
        </w:rPr>
        <w:t>skali aktywności zawodowej ludności w wieku produkcyjnym. Za taką uznaje się osoby zarówno pracujące</w:t>
      </w:r>
      <w:r w:rsidR="00152E1B" w:rsidRPr="000F353E">
        <w:rPr>
          <w:rFonts w:cstheme="minorHAnsi"/>
          <w:sz w:val="24"/>
          <w:szCs w:val="24"/>
        </w:rPr>
        <w:t>, jak</w:t>
      </w:r>
      <w:r w:rsidR="00BA56D3" w:rsidRPr="000F353E">
        <w:rPr>
          <w:rFonts w:cstheme="minorHAnsi"/>
          <w:sz w:val="24"/>
          <w:szCs w:val="24"/>
        </w:rPr>
        <w:t xml:space="preserve"> i bezrobotne</w:t>
      </w:r>
      <w:r w:rsidR="00C02D43" w:rsidRPr="000F353E">
        <w:rPr>
          <w:rFonts w:cstheme="minorHAnsi"/>
          <w:sz w:val="24"/>
          <w:szCs w:val="24"/>
        </w:rPr>
        <w:t>. Średnioroczne dane dla 2022 roku wskazują, że współczynnik aktywności zawodowej osób w wieku produkcyjnym wyniósł prawie 80%</w:t>
      </w:r>
      <w:r w:rsidR="00152E1B" w:rsidRPr="000F353E">
        <w:rPr>
          <w:rFonts w:cstheme="minorHAnsi"/>
          <w:sz w:val="24"/>
          <w:szCs w:val="24"/>
        </w:rPr>
        <w:t>,</w:t>
      </w:r>
      <w:r w:rsidR="00C02D43" w:rsidRPr="000F353E">
        <w:rPr>
          <w:rFonts w:cstheme="minorHAnsi"/>
          <w:sz w:val="24"/>
          <w:szCs w:val="24"/>
        </w:rPr>
        <w:t xml:space="preserve"> podczas gdy w 2016 było to 74%.</w:t>
      </w:r>
    </w:p>
    <w:p w14:paraId="745121F3" w14:textId="3E468570" w:rsidR="0017792F" w:rsidRPr="000F353E" w:rsidRDefault="0017792F" w:rsidP="00B44EE0">
      <w:pPr>
        <w:spacing w:line="360" w:lineRule="auto"/>
        <w:jc w:val="both"/>
        <w:rPr>
          <w:rFonts w:cstheme="minorHAnsi"/>
          <w:sz w:val="24"/>
          <w:szCs w:val="24"/>
        </w:rPr>
      </w:pPr>
      <w:r w:rsidRPr="000F353E">
        <w:rPr>
          <w:rFonts w:cstheme="minorHAnsi"/>
          <w:sz w:val="24"/>
          <w:szCs w:val="24"/>
        </w:rPr>
        <w:t xml:space="preserve">Strukturalne przyczyny </w:t>
      </w:r>
      <w:r w:rsidR="00152E1B" w:rsidRPr="000F353E">
        <w:rPr>
          <w:rFonts w:cstheme="minorHAnsi"/>
          <w:sz w:val="24"/>
          <w:szCs w:val="24"/>
        </w:rPr>
        <w:t xml:space="preserve">bierności </w:t>
      </w:r>
      <w:r w:rsidRPr="000F353E">
        <w:rPr>
          <w:rFonts w:cstheme="minorHAnsi"/>
          <w:sz w:val="24"/>
          <w:szCs w:val="24"/>
        </w:rPr>
        <w:t>są w zasadzie stałe i związane bezpośrednio z</w:t>
      </w:r>
      <w:r w:rsidR="00A02637" w:rsidRPr="000F353E">
        <w:rPr>
          <w:rFonts w:cstheme="minorHAnsi"/>
          <w:sz w:val="24"/>
          <w:szCs w:val="24"/>
        </w:rPr>
        <w:t> </w:t>
      </w:r>
      <w:r w:rsidRPr="000F353E">
        <w:rPr>
          <w:rFonts w:cstheme="minorHAnsi"/>
          <w:sz w:val="24"/>
          <w:szCs w:val="24"/>
        </w:rPr>
        <w:t xml:space="preserve">dezaktywizacją zawodową oraz edukacją. Badania BAEL wskazują, że spośród osób biernych zawodowo </w:t>
      </w:r>
      <w:r w:rsidR="00C20CE9">
        <w:rPr>
          <w:rFonts w:cstheme="minorHAnsi"/>
          <w:sz w:val="24"/>
          <w:szCs w:val="24"/>
        </w:rPr>
        <w:br/>
      </w:r>
      <w:r w:rsidRPr="000F353E">
        <w:rPr>
          <w:rFonts w:cstheme="minorHAnsi"/>
          <w:sz w:val="24"/>
          <w:szCs w:val="24"/>
        </w:rPr>
        <w:t>w wieku 15-74 lat (dla tej grupy osób ustalana jest przyczyna bierności) 52% pobierało emeryturę, a dla 22% powodem bierności była nauka lub uzupełnianie kwalifikacji. W dalszej kolejności przyczynami bierności są choroba i niepełnosprawność (10,6%) oraz obowiązki domowe i rodzinne (5,1%)</w:t>
      </w:r>
      <w:r w:rsidRPr="000F353E">
        <w:rPr>
          <w:rStyle w:val="Odwoanieprzypisudolnego"/>
          <w:rFonts w:cstheme="minorHAnsi"/>
          <w:sz w:val="24"/>
          <w:szCs w:val="24"/>
        </w:rPr>
        <w:footnoteReference w:id="4"/>
      </w:r>
      <w:r w:rsidRPr="000F353E">
        <w:rPr>
          <w:rFonts w:cstheme="minorHAnsi"/>
          <w:sz w:val="24"/>
          <w:szCs w:val="24"/>
        </w:rPr>
        <w:t>. Wśród istotnych czynników, które wpływają na zasilanie grona osób biernych zawodowo</w:t>
      </w:r>
      <w:r w:rsidR="00152E1B" w:rsidRPr="000F353E">
        <w:rPr>
          <w:rFonts w:cstheme="minorHAnsi"/>
          <w:sz w:val="24"/>
          <w:szCs w:val="24"/>
        </w:rPr>
        <w:t>,</w:t>
      </w:r>
      <w:r w:rsidRPr="000F353E">
        <w:rPr>
          <w:rFonts w:cstheme="minorHAnsi"/>
          <w:sz w:val="24"/>
          <w:szCs w:val="24"/>
        </w:rPr>
        <w:t xml:space="preserve"> wskazuje się przede wszystkim na płeć (kobiety stanowią 59,6% ogółu biernych) oraz wykształcenie (29,2% biernych posiada wykształcenie niepełne podstawowe, podstawowe, gimnazjalne lub nie posiada żadnego wykształcenia szkolonego).</w:t>
      </w:r>
    </w:p>
    <w:p w14:paraId="3A06D282" w14:textId="6ECA2043" w:rsidR="00A87C62" w:rsidRPr="000F353E" w:rsidRDefault="00A87C62" w:rsidP="00B44EE0">
      <w:pPr>
        <w:spacing w:line="360" w:lineRule="auto"/>
        <w:jc w:val="both"/>
        <w:rPr>
          <w:rFonts w:cstheme="minorHAnsi"/>
          <w:sz w:val="24"/>
          <w:szCs w:val="24"/>
        </w:rPr>
      </w:pPr>
      <w:r w:rsidRPr="000F353E">
        <w:rPr>
          <w:rFonts w:cstheme="minorHAnsi"/>
          <w:sz w:val="24"/>
          <w:szCs w:val="24"/>
        </w:rPr>
        <w:t xml:space="preserve">Koncentrując uwagę </w:t>
      </w:r>
      <w:r w:rsidR="00741B3D" w:rsidRPr="000F353E">
        <w:rPr>
          <w:rFonts w:cstheme="minorHAnsi"/>
          <w:sz w:val="24"/>
          <w:szCs w:val="24"/>
        </w:rPr>
        <w:t>na przyczynach bierności zawodowej</w:t>
      </w:r>
      <w:r w:rsidR="00152E1B" w:rsidRPr="000F353E">
        <w:rPr>
          <w:rFonts w:cstheme="minorHAnsi"/>
          <w:sz w:val="24"/>
          <w:szCs w:val="24"/>
        </w:rPr>
        <w:t xml:space="preserve"> w Polsce</w:t>
      </w:r>
      <w:r w:rsidR="009C2FE2" w:rsidRPr="000F353E">
        <w:rPr>
          <w:rFonts w:cstheme="minorHAnsi"/>
          <w:sz w:val="24"/>
          <w:szCs w:val="24"/>
        </w:rPr>
        <w:t>,</w:t>
      </w:r>
      <w:r w:rsidR="00741B3D" w:rsidRPr="000F353E">
        <w:rPr>
          <w:rFonts w:cstheme="minorHAnsi"/>
          <w:sz w:val="24"/>
          <w:szCs w:val="24"/>
        </w:rPr>
        <w:t xml:space="preserve"> jednak tylko w grupie osób znajdujących się w wieku produkcyjnym</w:t>
      </w:r>
      <w:r w:rsidR="00152E1B" w:rsidRPr="000F353E">
        <w:rPr>
          <w:rFonts w:cstheme="minorHAnsi"/>
          <w:sz w:val="24"/>
          <w:szCs w:val="24"/>
        </w:rPr>
        <w:t>,</w:t>
      </w:r>
      <w:r w:rsidR="00741B3D" w:rsidRPr="000F353E">
        <w:rPr>
          <w:rFonts w:cstheme="minorHAnsi"/>
          <w:sz w:val="24"/>
          <w:szCs w:val="24"/>
        </w:rPr>
        <w:t xml:space="preserve"> </w:t>
      </w:r>
      <w:r w:rsidRPr="000F353E">
        <w:rPr>
          <w:rFonts w:cstheme="minorHAnsi"/>
          <w:sz w:val="24"/>
          <w:szCs w:val="24"/>
        </w:rPr>
        <w:t>zauważyć</w:t>
      </w:r>
      <w:r w:rsidR="00741B3D" w:rsidRPr="000F353E">
        <w:rPr>
          <w:rFonts w:cstheme="minorHAnsi"/>
          <w:sz w:val="24"/>
          <w:szCs w:val="24"/>
        </w:rPr>
        <w:t xml:space="preserve"> należy</w:t>
      </w:r>
      <w:r w:rsidRPr="000F353E">
        <w:rPr>
          <w:rFonts w:cstheme="minorHAnsi"/>
          <w:sz w:val="24"/>
          <w:szCs w:val="24"/>
        </w:rPr>
        <w:t>, że dominującym powodem jest nauka i podnoszenie kwalifikacji (35,5%)</w:t>
      </w:r>
      <w:r w:rsidR="00152E1B" w:rsidRPr="000F353E">
        <w:rPr>
          <w:rFonts w:cstheme="minorHAnsi"/>
          <w:sz w:val="24"/>
          <w:szCs w:val="24"/>
        </w:rPr>
        <w:t>,</w:t>
      </w:r>
      <w:r w:rsidRPr="000F353E">
        <w:rPr>
          <w:rFonts w:cstheme="minorHAnsi"/>
          <w:sz w:val="24"/>
          <w:szCs w:val="24"/>
        </w:rPr>
        <w:t xml:space="preserve"> a także choroba lub niepełnosprawność (28,1%). Istotnym powodem są </w:t>
      </w:r>
      <w:r w:rsidR="00741B3D" w:rsidRPr="000F353E">
        <w:rPr>
          <w:rFonts w:cstheme="minorHAnsi"/>
          <w:sz w:val="24"/>
          <w:szCs w:val="24"/>
        </w:rPr>
        <w:t xml:space="preserve">również </w:t>
      </w:r>
      <w:r w:rsidRPr="000F353E">
        <w:rPr>
          <w:rFonts w:cstheme="minorHAnsi"/>
          <w:sz w:val="24"/>
          <w:szCs w:val="24"/>
        </w:rPr>
        <w:t xml:space="preserve">obowiązki rodzinne i związane z prowadzeniem domu (23,5%).  </w:t>
      </w:r>
    </w:p>
    <w:p w14:paraId="0BDE1A9E" w14:textId="77777777" w:rsidR="002650C7" w:rsidRDefault="002650C7" w:rsidP="00B44EE0">
      <w:pPr>
        <w:spacing w:line="360" w:lineRule="auto"/>
        <w:jc w:val="both"/>
        <w:rPr>
          <w:rFonts w:ascii="Arial" w:hAnsi="Arial" w:cs="Arial"/>
          <w:sz w:val="24"/>
          <w:szCs w:val="24"/>
        </w:rPr>
      </w:pPr>
    </w:p>
    <w:p w14:paraId="72487E2C" w14:textId="77777777" w:rsidR="00684D0E" w:rsidRDefault="00684D0E" w:rsidP="00B44EE0">
      <w:pPr>
        <w:spacing w:line="360" w:lineRule="auto"/>
        <w:jc w:val="both"/>
        <w:rPr>
          <w:rFonts w:ascii="Arial" w:hAnsi="Arial" w:cs="Arial"/>
          <w:sz w:val="24"/>
          <w:szCs w:val="24"/>
        </w:rPr>
      </w:pPr>
    </w:p>
    <w:p w14:paraId="1AB9145D" w14:textId="77777777" w:rsidR="00684D0E" w:rsidRPr="00863A31" w:rsidRDefault="00684D0E" w:rsidP="00B44EE0">
      <w:pPr>
        <w:spacing w:line="360" w:lineRule="auto"/>
        <w:jc w:val="both"/>
        <w:rPr>
          <w:rFonts w:ascii="Arial" w:hAnsi="Arial" w:cs="Arial"/>
          <w:sz w:val="24"/>
          <w:szCs w:val="24"/>
        </w:rPr>
      </w:pPr>
    </w:p>
    <w:p w14:paraId="079D643E" w14:textId="77777777" w:rsidR="00B44EE0" w:rsidRDefault="00B44EE0" w:rsidP="00B44EE0">
      <w:pPr>
        <w:pStyle w:val="Legenda"/>
        <w:jc w:val="both"/>
        <w:rPr>
          <w:rFonts w:cstheme="minorHAnsi"/>
        </w:rPr>
      </w:pPr>
    </w:p>
    <w:p w14:paraId="021F5968" w14:textId="77777777" w:rsidR="00B44EE0" w:rsidRDefault="00B44EE0" w:rsidP="00B44EE0">
      <w:pPr>
        <w:pStyle w:val="Legenda"/>
        <w:jc w:val="both"/>
        <w:rPr>
          <w:rFonts w:cstheme="minorHAnsi"/>
        </w:rPr>
      </w:pPr>
    </w:p>
    <w:p w14:paraId="48B2D772" w14:textId="5E234C95" w:rsidR="002650C7" w:rsidRPr="00D15EB9" w:rsidRDefault="004715D6" w:rsidP="00B44EE0">
      <w:pPr>
        <w:pStyle w:val="Legenda"/>
        <w:jc w:val="both"/>
        <w:rPr>
          <w:rFonts w:cstheme="minorHAnsi"/>
        </w:rPr>
      </w:pPr>
      <w:r w:rsidRPr="00D15EB9">
        <w:rPr>
          <w:rFonts w:cstheme="minorHAnsi"/>
        </w:rPr>
        <w:t xml:space="preserve">Tabela </w:t>
      </w:r>
      <w:r w:rsidRPr="00D15EB9">
        <w:rPr>
          <w:rFonts w:cstheme="minorHAnsi"/>
        </w:rPr>
        <w:fldChar w:fldCharType="begin"/>
      </w:r>
      <w:r w:rsidRPr="00D15EB9">
        <w:rPr>
          <w:rFonts w:cstheme="minorHAnsi"/>
        </w:rPr>
        <w:instrText xml:space="preserve"> SEQ Tabela \* ARABIC </w:instrText>
      </w:r>
      <w:r w:rsidRPr="00D15EB9">
        <w:rPr>
          <w:rFonts w:cstheme="minorHAnsi"/>
        </w:rPr>
        <w:fldChar w:fldCharType="separate"/>
      </w:r>
      <w:r w:rsidR="004C20B5">
        <w:rPr>
          <w:rFonts w:cstheme="minorHAnsi"/>
          <w:noProof/>
        </w:rPr>
        <w:t>1</w:t>
      </w:r>
      <w:r w:rsidRPr="00D15EB9">
        <w:rPr>
          <w:rFonts w:cstheme="minorHAnsi"/>
        </w:rPr>
        <w:fldChar w:fldCharType="end"/>
      </w:r>
      <w:r w:rsidRPr="00D15EB9">
        <w:rPr>
          <w:rFonts w:cstheme="minorHAnsi"/>
        </w:rPr>
        <w:t>. Przyczyny bierności zawodowej osób w wieku produkcyjnym w Polsce w II kwartale 2023 roku</w:t>
      </w:r>
      <w:r w:rsidR="00D81DCF" w:rsidRPr="00D15EB9">
        <w:rPr>
          <w:rStyle w:val="Odwoanieprzypisudolnego"/>
          <w:rFonts w:cstheme="minorHAnsi"/>
        </w:rPr>
        <w:footnoteReference w:id="5"/>
      </w:r>
    </w:p>
    <w:p w14:paraId="6E98BA22" w14:textId="77777777" w:rsidR="002650C7" w:rsidRPr="002650C7" w:rsidRDefault="002650C7" w:rsidP="00B44EE0">
      <w:pPr>
        <w:jc w:val="both"/>
      </w:pPr>
    </w:p>
    <w:tbl>
      <w:tblPr>
        <w:tblW w:w="9042" w:type="dxa"/>
        <w:tblCellMar>
          <w:left w:w="70" w:type="dxa"/>
          <w:right w:w="70" w:type="dxa"/>
        </w:tblCellMar>
        <w:tblLook w:val="04A0" w:firstRow="1" w:lastRow="0" w:firstColumn="1" w:lastColumn="0" w:noHBand="0" w:noVBand="1"/>
      </w:tblPr>
      <w:tblGrid>
        <w:gridCol w:w="5589"/>
        <w:gridCol w:w="1909"/>
        <w:gridCol w:w="1544"/>
      </w:tblGrid>
      <w:tr w:rsidR="004715D6" w:rsidRPr="004715D6" w14:paraId="6FF1B2F7" w14:textId="77777777" w:rsidTr="004715D6">
        <w:trPr>
          <w:trHeight w:val="267"/>
        </w:trPr>
        <w:tc>
          <w:tcPr>
            <w:tcW w:w="5589" w:type="dxa"/>
            <w:tcBorders>
              <w:top w:val="single" w:sz="4" w:space="0" w:color="auto"/>
              <w:left w:val="single" w:sz="4" w:space="0" w:color="auto"/>
              <w:bottom w:val="single" w:sz="4" w:space="0" w:color="auto"/>
              <w:right w:val="single" w:sz="4" w:space="0" w:color="auto"/>
            </w:tcBorders>
            <w:noWrap/>
            <w:vAlign w:val="bottom"/>
            <w:hideMark/>
          </w:tcPr>
          <w:p w14:paraId="26A76D64" w14:textId="32EEC84A"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Przyczyna bierności</w:t>
            </w:r>
          </w:p>
        </w:tc>
        <w:tc>
          <w:tcPr>
            <w:tcW w:w="1909" w:type="dxa"/>
            <w:tcBorders>
              <w:top w:val="single" w:sz="4" w:space="0" w:color="auto"/>
              <w:left w:val="nil"/>
              <w:bottom w:val="single" w:sz="4" w:space="0" w:color="auto"/>
              <w:right w:val="single" w:sz="4" w:space="0" w:color="auto"/>
            </w:tcBorders>
            <w:noWrap/>
            <w:vAlign w:val="bottom"/>
            <w:hideMark/>
          </w:tcPr>
          <w:p w14:paraId="001C57A5"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Liczba osób (tys.)</w:t>
            </w:r>
          </w:p>
        </w:tc>
        <w:tc>
          <w:tcPr>
            <w:tcW w:w="1544" w:type="dxa"/>
            <w:tcBorders>
              <w:top w:val="single" w:sz="4" w:space="0" w:color="auto"/>
              <w:left w:val="nil"/>
              <w:bottom w:val="single" w:sz="4" w:space="0" w:color="auto"/>
              <w:right w:val="single" w:sz="4" w:space="0" w:color="auto"/>
            </w:tcBorders>
            <w:noWrap/>
            <w:vAlign w:val="bottom"/>
            <w:hideMark/>
          </w:tcPr>
          <w:p w14:paraId="5A5AFEE6"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Udział (%)</w:t>
            </w:r>
          </w:p>
        </w:tc>
      </w:tr>
      <w:tr w:rsidR="004715D6" w:rsidRPr="004715D6" w14:paraId="2C991DA9" w14:textId="77777777" w:rsidTr="004715D6">
        <w:trPr>
          <w:trHeight w:val="534"/>
        </w:trPr>
        <w:tc>
          <w:tcPr>
            <w:tcW w:w="5589" w:type="dxa"/>
            <w:tcBorders>
              <w:top w:val="nil"/>
              <w:left w:val="single" w:sz="4" w:space="0" w:color="auto"/>
              <w:bottom w:val="single" w:sz="4" w:space="0" w:color="auto"/>
              <w:right w:val="single" w:sz="4" w:space="0" w:color="auto"/>
            </w:tcBorders>
            <w:vAlign w:val="bottom"/>
            <w:hideMark/>
          </w:tcPr>
          <w:p w14:paraId="266BAE29"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 xml:space="preserve">  osoby poszukujące pracy, ale niegotowe do jej podjęcia </w:t>
            </w:r>
            <w:r w:rsidRPr="00D15EB9">
              <w:rPr>
                <w:rFonts w:eastAsia="Times New Roman" w:cstheme="minorHAnsi"/>
                <w:color w:val="000000"/>
                <w:kern w:val="0"/>
                <w:sz w:val="24"/>
                <w:szCs w:val="24"/>
                <w:lang w:eastAsia="pl-PL"/>
                <w14:ligatures w14:val="none"/>
              </w:rPr>
              <w:br/>
              <w:t xml:space="preserve">  w ciągu dwóch tygodni następujących po tygodniu badanym</w:t>
            </w:r>
          </w:p>
        </w:tc>
        <w:tc>
          <w:tcPr>
            <w:tcW w:w="1909" w:type="dxa"/>
            <w:tcBorders>
              <w:top w:val="nil"/>
              <w:left w:val="nil"/>
              <w:bottom w:val="single" w:sz="4" w:space="0" w:color="auto"/>
              <w:right w:val="single" w:sz="4" w:space="0" w:color="auto"/>
            </w:tcBorders>
            <w:vAlign w:val="bottom"/>
            <w:hideMark/>
          </w:tcPr>
          <w:p w14:paraId="0C051B43"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31</w:t>
            </w:r>
          </w:p>
        </w:tc>
        <w:tc>
          <w:tcPr>
            <w:tcW w:w="1544" w:type="dxa"/>
            <w:tcBorders>
              <w:top w:val="nil"/>
              <w:left w:val="nil"/>
              <w:bottom w:val="single" w:sz="4" w:space="0" w:color="auto"/>
              <w:right w:val="single" w:sz="4" w:space="0" w:color="auto"/>
            </w:tcBorders>
            <w:vAlign w:val="bottom"/>
            <w:hideMark/>
          </w:tcPr>
          <w:p w14:paraId="3AF38DF1"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0,9</w:t>
            </w:r>
          </w:p>
        </w:tc>
      </w:tr>
      <w:tr w:rsidR="004715D6" w:rsidRPr="004715D6" w14:paraId="514ABA17" w14:textId="77777777" w:rsidTr="004715D6">
        <w:trPr>
          <w:trHeight w:val="267"/>
        </w:trPr>
        <w:tc>
          <w:tcPr>
            <w:tcW w:w="5589" w:type="dxa"/>
            <w:tcBorders>
              <w:top w:val="nil"/>
              <w:left w:val="single" w:sz="4" w:space="0" w:color="auto"/>
              <w:bottom w:val="single" w:sz="4" w:space="0" w:color="auto"/>
              <w:right w:val="single" w:sz="4" w:space="0" w:color="auto"/>
            </w:tcBorders>
            <w:vAlign w:val="bottom"/>
            <w:hideMark/>
          </w:tcPr>
          <w:p w14:paraId="09139E56"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 xml:space="preserve">  zniechęcenie bezskutecznością poszukiwania pracy</w:t>
            </w:r>
          </w:p>
        </w:tc>
        <w:tc>
          <w:tcPr>
            <w:tcW w:w="1909" w:type="dxa"/>
            <w:tcBorders>
              <w:top w:val="nil"/>
              <w:left w:val="nil"/>
              <w:bottom w:val="single" w:sz="4" w:space="0" w:color="auto"/>
              <w:right w:val="single" w:sz="4" w:space="0" w:color="auto"/>
            </w:tcBorders>
            <w:vAlign w:val="bottom"/>
            <w:hideMark/>
          </w:tcPr>
          <w:p w14:paraId="50ADF6B9"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39</w:t>
            </w:r>
          </w:p>
        </w:tc>
        <w:tc>
          <w:tcPr>
            <w:tcW w:w="1544" w:type="dxa"/>
            <w:tcBorders>
              <w:top w:val="nil"/>
              <w:left w:val="nil"/>
              <w:bottom w:val="single" w:sz="4" w:space="0" w:color="auto"/>
              <w:right w:val="single" w:sz="4" w:space="0" w:color="auto"/>
            </w:tcBorders>
            <w:vAlign w:val="bottom"/>
            <w:hideMark/>
          </w:tcPr>
          <w:p w14:paraId="3CDEFADD"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1,2</w:t>
            </w:r>
          </w:p>
        </w:tc>
      </w:tr>
      <w:tr w:rsidR="004715D6" w:rsidRPr="004715D6" w14:paraId="5F4229DB" w14:textId="77777777" w:rsidTr="004715D6">
        <w:trPr>
          <w:trHeight w:val="267"/>
        </w:trPr>
        <w:tc>
          <w:tcPr>
            <w:tcW w:w="5589" w:type="dxa"/>
            <w:tcBorders>
              <w:top w:val="nil"/>
              <w:left w:val="single" w:sz="4" w:space="0" w:color="auto"/>
              <w:bottom w:val="single" w:sz="4" w:space="0" w:color="auto"/>
              <w:right w:val="single" w:sz="4" w:space="0" w:color="auto"/>
            </w:tcBorders>
            <w:vAlign w:val="bottom"/>
            <w:hideMark/>
          </w:tcPr>
          <w:p w14:paraId="3AD1DAF9"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 xml:space="preserve">  nauka, uzupełnianie kwalifikacji</w:t>
            </w:r>
          </w:p>
        </w:tc>
        <w:tc>
          <w:tcPr>
            <w:tcW w:w="1909" w:type="dxa"/>
            <w:tcBorders>
              <w:top w:val="nil"/>
              <w:left w:val="nil"/>
              <w:bottom w:val="single" w:sz="4" w:space="0" w:color="auto"/>
              <w:right w:val="single" w:sz="4" w:space="0" w:color="auto"/>
            </w:tcBorders>
            <w:vAlign w:val="bottom"/>
            <w:hideMark/>
          </w:tcPr>
          <w:p w14:paraId="1FCA5B66" w14:textId="349CF78B"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1</w:t>
            </w:r>
            <w:r w:rsidR="00F47E12" w:rsidRPr="00D15EB9">
              <w:rPr>
                <w:rFonts w:eastAsia="Times New Roman" w:cstheme="minorHAnsi"/>
                <w:color w:val="000000"/>
                <w:kern w:val="0"/>
                <w:sz w:val="24"/>
                <w:szCs w:val="24"/>
                <w:lang w:eastAsia="pl-PL"/>
                <w14:ligatures w14:val="none"/>
              </w:rPr>
              <w:t xml:space="preserve"> </w:t>
            </w:r>
            <w:r w:rsidRPr="00D15EB9">
              <w:rPr>
                <w:rFonts w:eastAsia="Times New Roman" w:cstheme="minorHAnsi"/>
                <w:color w:val="000000"/>
                <w:kern w:val="0"/>
                <w:sz w:val="24"/>
                <w:szCs w:val="24"/>
                <w:lang w:eastAsia="pl-PL"/>
                <w14:ligatures w14:val="none"/>
              </w:rPr>
              <w:t>163</w:t>
            </w:r>
          </w:p>
        </w:tc>
        <w:tc>
          <w:tcPr>
            <w:tcW w:w="1544" w:type="dxa"/>
            <w:tcBorders>
              <w:top w:val="nil"/>
              <w:left w:val="nil"/>
              <w:bottom w:val="single" w:sz="4" w:space="0" w:color="auto"/>
              <w:right w:val="single" w:sz="4" w:space="0" w:color="auto"/>
            </w:tcBorders>
            <w:vAlign w:val="bottom"/>
            <w:hideMark/>
          </w:tcPr>
          <w:p w14:paraId="312122D6"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35,5</w:t>
            </w:r>
          </w:p>
        </w:tc>
      </w:tr>
      <w:tr w:rsidR="004715D6" w:rsidRPr="004715D6" w14:paraId="7016C9F6" w14:textId="77777777" w:rsidTr="004715D6">
        <w:trPr>
          <w:trHeight w:val="267"/>
        </w:trPr>
        <w:tc>
          <w:tcPr>
            <w:tcW w:w="5589" w:type="dxa"/>
            <w:tcBorders>
              <w:top w:val="nil"/>
              <w:left w:val="single" w:sz="4" w:space="0" w:color="auto"/>
              <w:bottom w:val="single" w:sz="4" w:space="0" w:color="auto"/>
              <w:right w:val="single" w:sz="4" w:space="0" w:color="auto"/>
            </w:tcBorders>
            <w:vAlign w:val="bottom"/>
            <w:hideMark/>
          </w:tcPr>
          <w:p w14:paraId="084CA6A8"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 xml:space="preserve">  obowiązki rodzinne i związane z prowadzeniem domu</w:t>
            </w:r>
          </w:p>
        </w:tc>
        <w:tc>
          <w:tcPr>
            <w:tcW w:w="1909" w:type="dxa"/>
            <w:tcBorders>
              <w:top w:val="nil"/>
              <w:left w:val="nil"/>
              <w:bottom w:val="single" w:sz="4" w:space="0" w:color="auto"/>
              <w:right w:val="single" w:sz="4" w:space="0" w:color="auto"/>
            </w:tcBorders>
            <w:vAlign w:val="bottom"/>
            <w:hideMark/>
          </w:tcPr>
          <w:p w14:paraId="7FA22450"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772</w:t>
            </w:r>
          </w:p>
        </w:tc>
        <w:tc>
          <w:tcPr>
            <w:tcW w:w="1544" w:type="dxa"/>
            <w:tcBorders>
              <w:top w:val="nil"/>
              <w:left w:val="nil"/>
              <w:bottom w:val="single" w:sz="4" w:space="0" w:color="auto"/>
              <w:right w:val="single" w:sz="4" w:space="0" w:color="auto"/>
            </w:tcBorders>
            <w:vAlign w:val="bottom"/>
            <w:hideMark/>
          </w:tcPr>
          <w:p w14:paraId="0A58147E"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23,5</w:t>
            </w:r>
          </w:p>
        </w:tc>
      </w:tr>
      <w:tr w:rsidR="004715D6" w:rsidRPr="004715D6" w14:paraId="30C5A075" w14:textId="77777777" w:rsidTr="004715D6">
        <w:trPr>
          <w:trHeight w:val="267"/>
        </w:trPr>
        <w:tc>
          <w:tcPr>
            <w:tcW w:w="5589" w:type="dxa"/>
            <w:tcBorders>
              <w:top w:val="nil"/>
              <w:left w:val="single" w:sz="4" w:space="0" w:color="auto"/>
              <w:bottom w:val="single" w:sz="4" w:space="0" w:color="auto"/>
              <w:right w:val="single" w:sz="4" w:space="0" w:color="auto"/>
            </w:tcBorders>
            <w:vAlign w:val="bottom"/>
            <w:hideMark/>
          </w:tcPr>
          <w:p w14:paraId="354ED84E"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 xml:space="preserve">  emerytura</w:t>
            </w:r>
          </w:p>
        </w:tc>
        <w:tc>
          <w:tcPr>
            <w:tcW w:w="1909" w:type="dxa"/>
            <w:tcBorders>
              <w:top w:val="nil"/>
              <w:left w:val="nil"/>
              <w:bottom w:val="single" w:sz="4" w:space="0" w:color="auto"/>
              <w:right w:val="single" w:sz="4" w:space="0" w:color="auto"/>
            </w:tcBorders>
            <w:vAlign w:val="bottom"/>
            <w:hideMark/>
          </w:tcPr>
          <w:p w14:paraId="2CCCFE94"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352</w:t>
            </w:r>
          </w:p>
        </w:tc>
        <w:tc>
          <w:tcPr>
            <w:tcW w:w="1544" w:type="dxa"/>
            <w:tcBorders>
              <w:top w:val="nil"/>
              <w:left w:val="nil"/>
              <w:bottom w:val="single" w:sz="4" w:space="0" w:color="auto"/>
              <w:right w:val="single" w:sz="4" w:space="0" w:color="auto"/>
            </w:tcBorders>
            <w:vAlign w:val="bottom"/>
            <w:hideMark/>
          </w:tcPr>
          <w:p w14:paraId="4F4F503A"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10,7</w:t>
            </w:r>
          </w:p>
        </w:tc>
      </w:tr>
      <w:tr w:rsidR="004715D6" w:rsidRPr="004715D6" w14:paraId="0719C73B" w14:textId="77777777" w:rsidTr="004715D6">
        <w:trPr>
          <w:trHeight w:val="267"/>
        </w:trPr>
        <w:tc>
          <w:tcPr>
            <w:tcW w:w="5589" w:type="dxa"/>
            <w:tcBorders>
              <w:top w:val="nil"/>
              <w:left w:val="single" w:sz="4" w:space="0" w:color="auto"/>
              <w:bottom w:val="single" w:sz="4" w:space="0" w:color="auto"/>
              <w:right w:val="single" w:sz="4" w:space="0" w:color="auto"/>
            </w:tcBorders>
            <w:vAlign w:val="bottom"/>
            <w:hideMark/>
          </w:tcPr>
          <w:p w14:paraId="28A964BF"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 xml:space="preserve">  choroba, niepełnosprawność</w:t>
            </w:r>
          </w:p>
        </w:tc>
        <w:tc>
          <w:tcPr>
            <w:tcW w:w="1909" w:type="dxa"/>
            <w:tcBorders>
              <w:top w:val="nil"/>
              <w:left w:val="nil"/>
              <w:bottom w:val="single" w:sz="4" w:space="0" w:color="auto"/>
              <w:right w:val="single" w:sz="4" w:space="0" w:color="auto"/>
            </w:tcBorders>
            <w:vAlign w:val="bottom"/>
            <w:hideMark/>
          </w:tcPr>
          <w:p w14:paraId="058ACEBA"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923</w:t>
            </w:r>
          </w:p>
        </w:tc>
        <w:tc>
          <w:tcPr>
            <w:tcW w:w="1544" w:type="dxa"/>
            <w:tcBorders>
              <w:top w:val="nil"/>
              <w:left w:val="nil"/>
              <w:bottom w:val="single" w:sz="4" w:space="0" w:color="auto"/>
              <w:right w:val="single" w:sz="4" w:space="0" w:color="auto"/>
            </w:tcBorders>
            <w:vAlign w:val="bottom"/>
            <w:hideMark/>
          </w:tcPr>
          <w:p w14:paraId="39297928"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28,1</w:t>
            </w:r>
          </w:p>
        </w:tc>
      </w:tr>
      <w:tr w:rsidR="004715D6" w:rsidRPr="004715D6" w14:paraId="71E14D00" w14:textId="77777777" w:rsidTr="004715D6">
        <w:trPr>
          <w:trHeight w:val="267"/>
        </w:trPr>
        <w:tc>
          <w:tcPr>
            <w:tcW w:w="5589" w:type="dxa"/>
            <w:tcBorders>
              <w:top w:val="nil"/>
              <w:left w:val="single" w:sz="4" w:space="0" w:color="auto"/>
              <w:bottom w:val="single" w:sz="4" w:space="0" w:color="auto"/>
              <w:right w:val="single" w:sz="4" w:space="0" w:color="auto"/>
            </w:tcBorders>
            <w:vAlign w:val="bottom"/>
            <w:hideMark/>
          </w:tcPr>
          <w:p w14:paraId="02FCD1CB"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Razem</w:t>
            </w:r>
          </w:p>
        </w:tc>
        <w:tc>
          <w:tcPr>
            <w:tcW w:w="1909" w:type="dxa"/>
            <w:tcBorders>
              <w:top w:val="nil"/>
              <w:left w:val="nil"/>
              <w:bottom w:val="single" w:sz="4" w:space="0" w:color="auto"/>
              <w:right w:val="single" w:sz="4" w:space="0" w:color="auto"/>
            </w:tcBorders>
            <w:vAlign w:val="bottom"/>
            <w:hideMark/>
          </w:tcPr>
          <w:p w14:paraId="3809046E" w14:textId="04D16F42"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3</w:t>
            </w:r>
            <w:r w:rsidR="00F47E12" w:rsidRPr="00D15EB9">
              <w:rPr>
                <w:rFonts w:eastAsia="Times New Roman" w:cstheme="minorHAnsi"/>
                <w:color w:val="000000"/>
                <w:kern w:val="0"/>
                <w:sz w:val="24"/>
                <w:szCs w:val="24"/>
                <w:lang w:eastAsia="pl-PL"/>
                <w14:ligatures w14:val="none"/>
              </w:rPr>
              <w:t xml:space="preserve"> </w:t>
            </w:r>
            <w:r w:rsidRPr="00D15EB9">
              <w:rPr>
                <w:rFonts w:eastAsia="Times New Roman" w:cstheme="minorHAnsi"/>
                <w:color w:val="000000"/>
                <w:kern w:val="0"/>
                <w:sz w:val="24"/>
                <w:szCs w:val="24"/>
                <w:lang w:eastAsia="pl-PL"/>
                <w14:ligatures w14:val="none"/>
              </w:rPr>
              <w:t>280</w:t>
            </w:r>
          </w:p>
        </w:tc>
        <w:tc>
          <w:tcPr>
            <w:tcW w:w="1544" w:type="dxa"/>
            <w:tcBorders>
              <w:top w:val="nil"/>
              <w:left w:val="nil"/>
              <w:bottom w:val="single" w:sz="4" w:space="0" w:color="auto"/>
              <w:right w:val="single" w:sz="4" w:space="0" w:color="auto"/>
            </w:tcBorders>
            <w:vAlign w:val="bottom"/>
            <w:hideMark/>
          </w:tcPr>
          <w:p w14:paraId="4CFBC5D5" w14:textId="77777777" w:rsidR="004715D6" w:rsidRPr="00D15EB9" w:rsidRDefault="004715D6" w:rsidP="00B44EE0">
            <w:pPr>
              <w:spacing w:after="0" w:line="24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100</w:t>
            </w:r>
          </w:p>
        </w:tc>
      </w:tr>
    </w:tbl>
    <w:p w14:paraId="2CEEA881" w14:textId="77777777" w:rsidR="004715D6" w:rsidRDefault="004715D6" w:rsidP="00B44EE0">
      <w:pPr>
        <w:jc w:val="both"/>
        <w:rPr>
          <w:rFonts w:ascii="Arial" w:hAnsi="Arial" w:cs="Arial"/>
        </w:rPr>
      </w:pPr>
    </w:p>
    <w:p w14:paraId="432C9803" w14:textId="20A46260" w:rsidR="000436AE" w:rsidRPr="000F353E" w:rsidRDefault="00B050F6" w:rsidP="00B44EE0">
      <w:pPr>
        <w:spacing w:line="360" w:lineRule="auto"/>
        <w:jc w:val="both"/>
        <w:rPr>
          <w:rFonts w:cstheme="minorHAnsi"/>
          <w:sz w:val="24"/>
          <w:szCs w:val="24"/>
        </w:rPr>
      </w:pPr>
      <w:r w:rsidRPr="000F353E">
        <w:rPr>
          <w:rFonts w:cstheme="minorHAnsi"/>
          <w:sz w:val="24"/>
          <w:szCs w:val="24"/>
        </w:rPr>
        <w:t>Uzupełniająco, n</w:t>
      </w:r>
      <w:r w:rsidR="000436AE" w:rsidRPr="000F353E">
        <w:rPr>
          <w:rFonts w:cstheme="minorHAnsi"/>
          <w:sz w:val="24"/>
          <w:szCs w:val="24"/>
        </w:rPr>
        <w:t xml:space="preserve">a podstawie niepublikowanego raportu OECD poświęconego bierności zawodowej w Polsce </w:t>
      </w:r>
      <w:r w:rsidRPr="000F353E">
        <w:rPr>
          <w:rFonts w:cstheme="minorHAnsi"/>
          <w:sz w:val="24"/>
          <w:szCs w:val="24"/>
        </w:rPr>
        <w:t>(uwzględniającego bardziej szczegółowe wyniki BAEL oraz innych badań zrealizowanych w Polsce)</w:t>
      </w:r>
      <w:r w:rsidR="00152E1B" w:rsidRPr="000F353E">
        <w:rPr>
          <w:rFonts w:cstheme="minorHAnsi"/>
          <w:sz w:val="24"/>
          <w:szCs w:val="24"/>
        </w:rPr>
        <w:t>,</w:t>
      </w:r>
      <w:r w:rsidRPr="000F353E">
        <w:rPr>
          <w:rFonts w:cstheme="minorHAnsi"/>
          <w:sz w:val="24"/>
          <w:szCs w:val="24"/>
        </w:rPr>
        <w:t xml:space="preserve"> </w:t>
      </w:r>
      <w:r w:rsidR="000436AE" w:rsidRPr="000F353E">
        <w:rPr>
          <w:rFonts w:cstheme="minorHAnsi"/>
          <w:sz w:val="24"/>
          <w:szCs w:val="24"/>
        </w:rPr>
        <w:t>można stwierdzić, że to niekorzystne zjawisko jest złożonym problemem dotykającym osób o zróżnicowanych cechach. Jednak analizy wskazują, że grupami, które najsilniej zasilają grono osób biernych</w:t>
      </w:r>
      <w:r w:rsidR="00152E1B" w:rsidRPr="000F353E">
        <w:rPr>
          <w:rFonts w:cstheme="minorHAnsi"/>
          <w:sz w:val="24"/>
          <w:szCs w:val="24"/>
        </w:rPr>
        <w:t>,</w:t>
      </w:r>
      <w:r w:rsidR="000436AE" w:rsidRPr="000F353E">
        <w:rPr>
          <w:rFonts w:cstheme="minorHAnsi"/>
          <w:sz w:val="24"/>
          <w:szCs w:val="24"/>
        </w:rPr>
        <w:t xml:space="preserve"> są przede wszystkim:</w:t>
      </w:r>
    </w:p>
    <w:p w14:paraId="2FE8B910" w14:textId="5B449A82" w:rsidR="00B050F6" w:rsidRPr="000F353E" w:rsidRDefault="00152E1B" w:rsidP="00B44EE0">
      <w:pPr>
        <w:pStyle w:val="Akapitzlist"/>
        <w:numPr>
          <w:ilvl w:val="0"/>
          <w:numId w:val="1"/>
        </w:numPr>
        <w:spacing w:line="360" w:lineRule="auto"/>
        <w:jc w:val="both"/>
        <w:rPr>
          <w:rFonts w:cstheme="minorHAnsi"/>
          <w:sz w:val="24"/>
          <w:szCs w:val="24"/>
        </w:rPr>
      </w:pPr>
      <w:r w:rsidRPr="000F353E">
        <w:rPr>
          <w:rFonts w:cstheme="minorHAnsi"/>
          <w:sz w:val="24"/>
          <w:szCs w:val="24"/>
        </w:rPr>
        <w:t>o</w:t>
      </w:r>
      <w:r w:rsidR="00B050F6" w:rsidRPr="000F353E">
        <w:rPr>
          <w:rFonts w:cstheme="minorHAnsi"/>
          <w:sz w:val="24"/>
          <w:szCs w:val="24"/>
        </w:rPr>
        <w:t>soby w wieku 15-30 lat nieuczące się i niedokształcające: 57% populacji</w:t>
      </w:r>
    </w:p>
    <w:p w14:paraId="20D086CE" w14:textId="71E843EA" w:rsidR="000436AE" w:rsidRPr="000F353E" w:rsidRDefault="00152E1B" w:rsidP="00B44EE0">
      <w:pPr>
        <w:pStyle w:val="Akapitzlist"/>
        <w:numPr>
          <w:ilvl w:val="0"/>
          <w:numId w:val="1"/>
        </w:numPr>
        <w:spacing w:line="360" w:lineRule="auto"/>
        <w:jc w:val="both"/>
        <w:rPr>
          <w:rFonts w:cstheme="minorHAnsi"/>
          <w:sz w:val="24"/>
          <w:szCs w:val="24"/>
        </w:rPr>
      </w:pPr>
      <w:r w:rsidRPr="000F353E">
        <w:rPr>
          <w:rFonts w:cstheme="minorHAnsi"/>
          <w:sz w:val="24"/>
          <w:szCs w:val="24"/>
        </w:rPr>
        <w:t>o</w:t>
      </w:r>
      <w:r w:rsidR="000436AE" w:rsidRPr="000F353E">
        <w:rPr>
          <w:rFonts w:cstheme="minorHAnsi"/>
          <w:sz w:val="24"/>
          <w:szCs w:val="24"/>
        </w:rPr>
        <w:t xml:space="preserve">soby z wykształceniem poniżej średniego: 51% populacji w wieku 25-64 lata </w:t>
      </w:r>
    </w:p>
    <w:p w14:paraId="6CB79977" w14:textId="76826E47" w:rsidR="000436AE" w:rsidRPr="000F353E" w:rsidRDefault="00152E1B" w:rsidP="00B44EE0">
      <w:pPr>
        <w:pStyle w:val="Akapitzlist"/>
        <w:numPr>
          <w:ilvl w:val="0"/>
          <w:numId w:val="1"/>
        </w:numPr>
        <w:spacing w:line="360" w:lineRule="auto"/>
        <w:jc w:val="both"/>
        <w:rPr>
          <w:rFonts w:cstheme="minorHAnsi"/>
          <w:sz w:val="24"/>
          <w:szCs w:val="24"/>
        </w:rPr>
      </w:pPr>
      <w:r w:rsidRPr="000F353E">
        <w:rPr>
          <w:rFonts w:cstheme="minorHAnsi"/>
          <w:sz w:val="24"/>
          <w:szCs w:val="24"/>
        </w:rPr>
        <w:t>m</w:t>
      </w:r>
      <w:r w:rsidR="000436AE" w:rsidRPr="000F353E">
        <w:rPr>
          <w:rFonts w:cstheme="minorHAnsi"/>
          <w:sz w:val="24"/>
          <w:szCs w:val="24"/>
        </w:rPr>
        <w:t xml:space="preserve">igranci, tj. osoby urodzone poza Polską: 32% populacji </w:t>
      </w:r>
    </w:p>
    <w:p w14:paraId="60A77256" w14:textId="04CD86D1" w:rsidR="00B050F6" w:rsidRPr="000F353E" w:rsidRDefault="00152E1B" w:rsidP="00B44EE0">
      <w:pPr>
        <w:pStyle w:val="Akapitzlist"/>
        <w:numPr>
          <w:ilvl w:val="0"/>
          <w:numId w:val="1"/>
        </w:numPr>
        <w:spacing w:line="360" w:lineRule="auto"/>
        <w:jc w:val="both"/>
        <w:rPr>
          <w:rFonts w:cstheme="minorHAnsi"/>
          <w:sz w:val="24"/>
          <w:szCs w:val="24"/>
        </w:rPr>
      </w:pPr>
      <w:r w:rsidRPr="000F353E">
        <w:rPr>
          <w:rFonts w:cstheme="minorHAnsi"/>
          <w:sz w:val="24"/>
          <w:szCs w:val="24"/>
        </w:rPr>
        <w:t>m</w:t>
      </w:r>
      <w:r w:rsidR="00B050F6" w:rsidRPr="000F353E">
        <w:rPr>
          <w:rFonts w:cstheme="minorHAnsi"/>
          <w:sz w:val="24"/>
          <w:szCs w:val="24"/>
        </w:rPr>
        <w:t>ężczyźni niepełnosprawni lub chorzy: 20% populacji mężczyzn biernych zawodowo</w:t>
      </w:r>
    </w:p>
    <w:p w14:paraId="5A875EF8" w14:textId="5BB9BE7D" w:rsidR="000436AE" w:rsidRPr="000F353E" w:rsidRDefault="00152E1B" w:rsidP="00B44EE0">
      <w:pPr>
        <w:pStyle w:val="Akapitzlist"/>
        <w:numPr>
          <w:ilvl w:val="0"/>
          <w:numId w:val="1"/>
        </w:numPr>
        <w:spacing w:line="360" w:lineRule="auto"/>
        <w:jc w:val="both"/>
        <w:rPr>
          <w:rFonts w:cstheme="minorHAnsi"/>
          <w:sz w:val="24"/>
          <w:szCs w:val="24"/>
        </w:rPr>
      </w:pPr>
      <w:r w:rsidRPr="000F353E">
        <w:rPr>
          <w:rFonts w:cstheme="minorHAnsi"/>
          <w:sz w:val="24"/>
          <w:szCs w:val="24"/>
        </w:rPr>
        <w:t>k</w:t>
      </w:r>
      <w:r w:rsidR="000436AE" w:rsidRPr="000F353E">
        <w:rPr>
          <w:rFonts w:cstheme="minorHAnsi"/>
          <w:sz w:val="24"/>
          <w:szCs w:val="24"/>
        </w:rPr>
        <w:t>obiety opiekujące się dziećmi lub zależnymi osobami dorosłymi:</w:t>
      </w:r>
      <w:r w:rsidR="009C2FE2" w:rsidRPr="000F353E">
        <w:rPr>
          <w:rFonts w:cstheme="minorHAnsi"/>
          <w:sz w:val="24"/>
          <w:szCs w:val="24"/>
        </w:rPr>
        <w:t xml:space="preserve"> </w:t>
      </w:r>
      <w:r w:rsidR="000436AE" w:rsidRPr="000F353E">
        <w:rPr>
          <w:rFonts w:cstheme="minorHAnsi"/>
          <w:sz w:val="24"/>
          <w:szCs w:val="24"/>
        </w:rPr>
        <w:t xml:space="preserve">13% populacji </w:t>
      </w:r>
      <w:r w:rsidR="00B050F6" w:rsidRPr="000F353E">
        <w:rPr>
          <w:rFonts w:cstheme="minorHAnsi"/>
          <w:sz w:val="24"/>
          <w:szCs w:val="24"/>
        </w:rPr>
        <w:t xml:space="preserve">biernych </w:t>
      </w:r>
      <w:r w:rsidR="000436AE" w:rsidRPr="000F353E">
        <w:rPr>
          <w:rFonts w:cstheme="minorHAnsi"/>
          <w:sz w:val="24"/>
          <w:szCs w:val="24"/>
        </w:rPr>
        <w:t>kobiet oraz 79% populacji bierny</w:t>
      </w:r>
      <w:r w:rsidR="00B050F6" w:rsidRPr="000F353E">
        <w:rPr>
          <w:rFonts w:cstheme="minorHAnsi"/>
          <w:sz w:val="24"/>
          <w:szCs w:val="24"/>
        </w:rPr>
        <w:t>ch</w:t>
      </w:r>
      <w:r w:rsidR="000436AE" w:rsidRPr="000F353E">
        <w:rPr>
          <w:rFonts w:cstheme="minorHAnsi"/>
          <w:sz w:val="24"/>
          <w:szCs w:val="24"/>
        </w:rPr>
        <w:t xml:space="preserve"> kobiet w wieku 24-44 lata</w:t>
      </w:r>
    </w:p>
    <w:p w14:paraId="43081ED6" w14:textId="284C5688" w:rsidR="000436AE" w:rsidRPr="00B44EE0" w:rsidRDefault="00152E1B" w:rsidP="00B44EE0">
      <w:pPr>
        <w:pStyle w:val="Akapitzlist"/>
        <w:numPr>
          <w:ilvl w:val="0"/>
          <w:numId w:val="1"/>
        </w:numPr>
        <w:spacing w:line="360" w:lineRule="auto"/>
        <w:jc w:val="both"/>
        <w:rPr>
          <w:rFonts w:cstheme="minorHAnsi"/>
          <w:sz w:val="24"/>
          <w:szCs w:val="24"/>
        </w:rPr>
      </w:pPr>
      <w:r w:rsidRPr="000F353E">
        <w:rPr>
          <w:rFonts w:cstheme="minorHAnsi"/>
          <w:sz w:val="24"/>
          <w:szCs w:val="24"/>
        </w:rPr>
        <w:t>o</w:t>
      </w:r>
      <w:r w:rsidR="000436AE" w:rsidRPr="000F353E">
        <w:rPr>
          <w:rFonts w:cstheme="minorHAnsi"/>
          <w:sz w:val="24"/>
          <w:szCs w:val="24"/>
        </w:rPr>
        <w:t>soby w starszym wieku produkcyjnym tj. 55-65 lat: 50% populacji</w:t>
      </w:r>
      <w:r w:rsidRPr="000F353E">
        <w:rPr>
          <w:rFonts w:cstheme="minorHAnsi"/>
          <w:sz w:val="24"/>
          <w:szCs w:val="24"/>
        </w:rPr>
        <w:t>.</w:t>
      </w:r>
    </w:p>
    <w:p w14:paraId="671F9215" w14:textId="53945D31" w:rsidR="00535E98" w:rsidRPr="000F353E" w:rsidRDefault="00844B1D" w:rsidP="00B44EE0">
      <w:pPr>
        <w:spacing w:line="360" w:lineRule="auto"/>
        <w:jc w:val="both"/>
        <w:rPr>
          <w:rFonts w:cstheme="minorHAnsi"/>
          <w:sz w:val="24"/>
          <w:szCs w:val="24"/>
        </w:rPr>
      </w:pPr>
      <w:r w:rsidRPr="000F353E">
        <w:rPr>
          <w:rFonts w:cstheme="minorHAnsi"/>
          <w:sz w:val="24"/>
          <w:szCs w:val="24"/>
        </w:rPr>
        <w:t xml:space="preserve">Z punktu widzenia rozwoju gospodarczego regionu kluczową kwestią jest dążenie do maksymalizacji wykorzystania potencjalnych zasobów pracy. Dlatego też ważne jest </w:t>
      </w:r>
      <w:r w:rsidRPr="000F353E">
        <w:rPr>
          <w:rFonts w:cstheme="minorHAnsi"/>
          <w:sz w:val="24"/>
          <w:szCs w:val="24"/>
        </w:rPr>
        <w:lastRenderedPageBreak/>
        <w:t xml:space="preserve">tworzenie i wspieranie instrumentów polityki rynku pracy, które </w:t>
      </w:r>
      <w:r w:rsidR="00C201E1" w:rsidRPr="000F353E">
        <w:rPr>
          <w:rFonts w:cstheme="minorHAnsi"/>
          <w:sz w:val="24"/>
          <w:szCs w:val="24"/>
        </w:rPr>
        <w:t>stymulują</w:t>
      </w:r>
      <w:r w:rsidRPr="000F353E">
        <w:rPr>
          <w:rFonts w:cstheme="minorHAnsi"/>
          <w:sz w:val="24"/>
          <w:szCs w:val="24"/>
        </w:rPr>
        <w:t xml:space="preserve"> przejście ze</w:t>
      </w:r>
      <w:r w:rsidRPr="002650C7">
        <w:rPr>
          <w:rFonts w:ascii="Arial" w:hAnsi="Arial" w:cs="Arial"/>
          <w:sz w:val="24"/>
          <w:szCs w:val="24"/>
        </w:rPr>
        <w:t xml:space="preserve"> </w:t>
      </w:r>
      <w:r w:rsidRPr="000F353E">
        <w:rPr>
          <w:rFonts w:cstheme="minorHAnsi"/>
          <w:sz w:val="24"/>
          <w:szCs w:val="24"/>
        </w:rPr>
        <w:t xml:space="preserve">stanu bierności do aktywności zawodowej. Jednym z nich, adekwatnym do </w:t>
      </w:r>
      <w:r w:rsidR="00182858" w:rsidRPr="000F353E">
        <w:rPr>
          <w:rFonts w:cstheme="minorHAnsi"/>
          <w:sz w:val="24"/>
          <w:szCs w:val="24"/>
        </w:rPr>
        <w:t>analizy z punktu widzenia</w:t>
      </w:r>
      <w:r w:rsidR="00182858" w:rsidRPr="002650C7">
        <w:rPr>
          <w:rFonts w:ascii="Arial" w:hAnsi="Arial" w:cs="Arial"/>
          <w:sz w:val="24"/>
          <w:szCs w:val="24"/>
        </w:rPr>
        <w:t xml:space="preserve"> realizacji </w:t>
      </w:r>
      <w:r w:rsidR="00182858" w:rsidRPr="000F353E">
        <w:rPr>
          <w:rFonts w:cstheme="minorHAnsi"/>
          <w:sz w:val="24"/>
          <w:szCs w:val="24"/>
        </w:rPr>
        <w:t>działania 6.2 FEO</w:t>
      </w:r>
      <w:r w:rsidR="00152E1B" w:rsidRPr="000F353E">
        <w:rPr>
          <w:rFonts w:cstheme="minorHAnsi"/>
          <w:sz w:val="24"/>
          <w:szCs w:val="24"/>
        </w:rPr>
        <w:t>,</w:t>
      </w:r>
      <w:r w:rsidR="00182858" w:rsidRPr="000F353E">
        <w:rPr>
          <w:rFonts w:cstheme="minorHAnsi"/>
          <w:sz w:val="24"/>
          <w:szCs w:val="24"/>
        </w:rPr>
        <w:t xml:space="preserve"> są </w:t>
      </w:r>
      <w:r w:rsidR="00684D0E">
        <w:rPr>
          <w:rFonts w:cstheme="minorHAnsi"/>
          <w:sz w:val="24"/>
          <w:szCs w:val="24"/>
        </w:rPr>
        <w:t>c</w:t>
      </w:r>
      <w:r w:rsidR="00182858" w:rsidRPr="000F353E">
        <w:rPr>
          <w:rFonts w:cstheme="minorHAnsi"/>
          <w:sz w:val="24"/>
          <w:szCs w:val="24"/>
        </w:rPr>
        <w:t xml:space="preserve">entra </w:t>
      </w:r>
      <w:r w:rsidR="00684D0E">
        <w:rPr>
          <w:rFonts w:cstheme="minorHAnsi"/>
          <w:sz w:val="24"/>
          <w:szCs w:val="24"/>
        </w:rPr>
        <w:t>i</w:t>
      </w:r>
      <w:r w:rsidR="00182858" w:rsidRPr="000F353E">
        <w:rPr>
          <w:rFonts w:cstheme="minorHAnsi"/>
          <w:sz w:val="24"/>
          <w:szCs w:val="24"/>
        </w:rPr>
        <w:t xml:space="preserve">ntegracji </w:t>
      </w:r>
      <w:r w:rsidR="00684D0E">
        <w:rPr>
          <w:rFonts w:cstheme="minorHAnsi"/>
          <w:sz w:val="24"/>
          <w:szCs w:val="24"/>
        </w:rPr>
        <w:t>s</w:t>
      </w:r>
      <w:r w:rsidR="00182858" w:rsidRPr="000F353E">
        <w:rPr>
          <w:rFonts w:cstheme="minorHAnsi"/>
          <w:sz w:val="24"/>
          <w:szCs w:val="24"/>
        </w:rPr>
        <w:t>połecznej</w:t>
      </w:r>
      <w:r w:rsidR="00535E98" w:rsidRPr="000F353E">
        <w:rPr>
          <w:rFonts w:cstheme="minorHAnsi"/>
          <w:sz w:val="24"/>
          <w:szCs w:val="24"/>
        </w:rPr>
        <w:t xml:space="preserve"> (CIS) oraz </w:t>
      </w:r>
      <w:r w:rsidR="00684D0E">
        <w:rPr>
          <w:rFonts w:cstheme="minorHAnsi"/>
          <w:sz w:val="24"/>
          <w:szCs w:val="24"/>
        </w:rPr>
        <w:t>w</w:t>
      </w:r>
      <w:r w:rsidR="00535E98" w:rsidRPr="000F353E">
        <w:rPr>
          <w:rFonts w:cstheme="minorHAnsi"/>
          <w:sz w:val="24"/>
          <w:szCs w:val="24"/>
        </w:rPr>
        <w:t xml:space="preserve">arsztaty </w:t>
      </w:r>
      <w:r w:rsidR="00684D0E">
        <w:rPr>
          <w:rFonts w:cstheme="minorHAnsi"/>
          <w:sz w:val="24"/>
          <w:szCs w:val="24"/>
        </w:rPr>
        <w:t>t</w:t>
      </w:r>
      <w:r w:rsidR="001C60CA" w:rsidRPr="000F353E">
        <w:rPr>
          <w:rFonts w:cstheme="minorHAnsi"/>
          <w:sz w:val="24"/>
          <w:szCs w:val="24"/>
        </w:rPr>
        <w:t xml:space="preserve">erapii </w:t>
      </w:r>
      <w:r w:rsidR="00684D0E">
        <w:rPr>
          <w:rFonts w:cstheme="minorHAnsi"/>
          <w:sz w:val="24"/>
          <w:szCs w:val="24"/>
        </w:rPr>
        <w:t>z</w:t>
      </w:r>
      <w:r w:rsidR="000C3D42" w:rsidRPr="000F353E">
        <w:rPr>
          <w:rFonts w:cstheme="minorHAnsi"/>
          <w:sz w:val="24"/>
          <w:szCs w:val="24"/>
        </w:rPr>
        <w:t>ajęciowej</w:t>
      </w:r>
      <w:r w:rsidR="00535E98" w:rsidRPr="000F353E">
        <w:rPr>
          <w:rFonts w:cstheme="minorHAnsi"/>
          <w:sz w:val="24"/>
          <w:szCs w:val="24"/>
        </w:rPr>
        <w:t xml:space="preserve"> (WTZ). </w:t>
      </w:r>
    </w:p>
    <w:p w14:paraId="26026C83" w14:textId="0BA5B209" w:rsidR="00F01D9A" w:rsidRPr="000F353E" w:rsidRDefault="00535E98" w:rsidP="00B44EE0">
      <w:pPr>
        <w:spacing w:line="360" w:lineRule="auto"/>
        <w:jc w:val="both"/>
        <w:rPr>
          <w:rFonts w:cstheme="minorHAnsi"/>
          <w:sz w:val="24"/>
          <w:szCs w:val="24"/>
        </w:rPr>
      </w:pPr>
      <w:r w:rsidRPr="000F353E">
        <w:rPr>
          <w:rFonts w:cstheme="minorHAnsi"/>
          <w:sz w:val="24"/>
          <w:szCs w:val="24"/>
        </w:rPr>
        <w:t xml:space="preserve">Takie podmioty tworzą architekturę systemu gospodarki społecznej. W województwie opolskim podmioty takie są stosunkowo małoliczne. </w:t>
      </w:r>
      <w:r w:rsidR="004B7AEA" w:rsidRPr="000F353E">
        <w:rPr>
          <w:rFonts w:cstheme="minorHAnsi"/>
          <w:sz w:val="24"/>
          <w:szCs w:val="24"/>
        </w:rPr>
        <w:t xml:space="preserve">W 2021 roku aktywnie funkcjonujących CIS było </w:t>
      </w:r>
      <w:r w:rsidR="001C60CA" w:rsidRPr="000F353E">
        <w:rPr>
          <w:rFonts w:cstheme="minorHAnsi"/>
          <w:sz w:val="24"/>
          <w:szCs w:val="24"/>
        </w:rPr>
        <w:t>5</w:t>
      </w:r>
      <w:r w:rsidR="00152E1B" w:rsidRPr="000F353E">
        <w:rPr>
          <w:rFonts w:cstheme="minorHAnsi"/>
          <w:sz w:val="24"/>
          <w:szCs w:val="24"/>
        </w:rPr>
        <w:t>,</w:t>
      </w:r>
      <w:r w:rsidR="004B7AEA" w:rsidRPr="000F353E">
        <w:rPr>
          <w:rFonts w:cstheme="minorHAnsi"/>
          <w:sz w:val="24"/>
          <w:szCs w:val="24"/>
        </w:rPr>
        <w:t xml:space="preserve"> a WTZ  </w:t>
      </w:r>
      <w:r w:rsidR="001C60CA" w:rsidRPr="000F353E">
        <w:rPr>
          <w:rFonts w:cstheme="minorHAnsi"/>
          <w:sz w:val="24"/>
          <w:szCs w:val="24"/>
        </w:rPr>
        <w:t>17</w:t>
      </w:r>
      <w:r w:rsidR="004B7AEA" w:rsidRPr="000F353E">
        <w:rPr>
          <w:rFonts w:cstheme="minorHAnsi"/>
          <w:sz w:val="24"/>
          <w:szCs w:val="24"/>
        </w:rPr>
        <w:t xml:space="preserve">. Pomimo tej stosunkowo nielicznej reprezentacji podmioty te (wraz </w:t>
      </w:r>
      <w:r w:rsidR="00C20CE9">
        <w:rPr>
          <w:rFonts w:cstheme="minorHAnsi"/>
          <w:sz w:val="24"/>
          <w:szCs w:val="24"/>
        </w:rPr>
        <w:br/>
      </w:r>
      <w:r w:rsidR="004B7AEA" w:rsidRPr="000F353E">
        <w:rPr>
          <w:rFonts w:cstheme="minorHAnsi"/>
          <w:sz w:val="24"/>
          <w:szCs w:val="24"/>
        </w:rPr>
        <w:t>z Zakładami Aktywności Zawodowej) zrównują sytuację w regionie z sytuacją w całej Polsce. Liczba takich podmiotów w przeliczeniu na 100 tysięcy mieszkańców w województwie opolskim i Polsce w</w:t>
      </w:r>
      <w:r w:rsidR="00A02637" w:rsidRPr="000F353E">
        <w:rPr>
          <w:rFonts w:cstheme="minorHAnsi"/>
          <w:sz w:val="24"/>
          <w:szCs w:val="24"/>
        </w:rPr>
        <w:t> </w:t>
      </w:r>
      <w:r w:rsidR="004B7AEA" w:rsidRPr="000F353E">
        <w:rPr>
          <w:rFonts w:cstheme="minorHAnsi"/>
          <w:sz w:val="24"/>
          <w:szCs w:val="24"/>
        </w:rPr>
        <w:t xml:space="preserve">2021 wyniosła 2,8. Tym samym zanotowano istotną poprawę, gdyż w 2016 roku </w:t>
      </w:r>
      <w:r w:rsidR="007C5707" w:rsidRPr="000F353E">
        <w:rPr>
          <w:rFonts w:cstheme="minorHAnsi"/>
          <w:sz w:val="24"/>
          <w:szCs w:val="24"/>
        </w:rPr>
        <w:t xml:space="preserve">wartość dla Polski wyniosła 2,5 , a dla Opolszczyzny 2,2. </w:t>
      </w:r>
    </w:p>
    <w:p w14:paraId="797A3221" w14:textId="77777777" w:rsidR="00AC5A30" w:rsidRPr="00863A31" w:rsidRDefault="00AC5A30" w:rsidP="00B44EE0">
      <w:pPr>
        <w:pStyle w:val="Legenda"/>
        <w:jc w:val="both"/>
        <w:rPr>
          <w:rFonts w:ascii="Arial" w:hAnsi="Arial" w:cs="Arial"/>
        </w:rPr>
      </w:pPr>
    </w:p>
    <w:p w14:paraId="065332A4" w14:textId="547DBC06" w:rsidR="00535E98" w:rsidRPr="00863A31" w:rsidRDefault="00F01D9A" w:rsidP="00B44EE0">
      <w:pPr>
        <w:pStyle w:val="Legenda"/>
        <w:jc w:val="both"/>
        <w:rPr>
          <w:rFonts w:ascii="Arial" w:hAnsi="Arial" w:cs="Arial"/>
        </w:rPr>
      </w:pPr>
      <w:r w:rsidRPr="00863A31">
        <w:rPr>
          <w:rFonts w:ascii="Arial" w:hAnsi="Arial" w:cs="Arial"/>
        </w:rPr>
        <w:t xml:space="preserve">Tabela </w:t>
      </w:r>
      <w:r w:rsidR="00A22F0F" w:rsidRPr="00863A31">
        <w:rPr>
          <w:rFonts w:ascii="Arial" w:hAnsi="Arial" w:cs="Arial"/>
          <w:noProof/>
        </w:rPr>
        <w:fldChar w:fldCharType="begin"/>
      </w:r>
      <w:r w:rsidR="00A22F0F" w:rsidRPr="00863A31">
        <w:rPr>
          <w:rFonts w:ascii="Arial" w:hAnsi="Arial" w:cs="Arial"/>
          <w:noProof/>
        </w:rPr>
        <w:instrText xml:space="preserve"> SEQ Tabela \* ARABIC </w:instrText>
      </w:r>
      <w:r w:rsidR="00A22F0F" w:rsidRPr="00863A31">
        <w:rPr>
          <w:rFonts w:ascii="Arial" w:hAnsi="Arial" w:cs="Arial"/>
          <w:noProof/>
        </w:rPr>
        <w:fldChar w:fldCharType="separate"/>
      </w:r>
      <w:r w:rsidR="004C20B5">
        <w:rPr>
          <w:rFonts w:ascii="Arial" w:hAnsi="Arial" w:cs="Arial"/>
          <w:noProof/>
        </w:rPr>
        <w:t>2</w:t>
      </w:r>
      <w:r w:rsidR="00A22F0F" w:rsidRPr="00863A31">
        <w:rPr>
          <w:rFonts w:ascii="Arial" w:hAnsi="Arial" w:cs="Arial"/>
          <w:noProof/>
        </w:rPr>
        <w:fldChar w:fldCharType="end"/>
      </w:r>
      <w:r w:rsidRPr="00863A31">
        <w:rPr>
          <w:rFonts w:ascii="Arial" w:hAnsi="Arial" w:cs="Arial"/>
        </w:rPr>
        <w:t xml:space="preserve">. </w:t>
      </w:r>
      <w:r w:rsidR="00F2638E" w:rsidRPr="00863A31">
        <w:rPr>
          <w:rFonts w:ascii="Arial" w:hAnsi="Arial" w:cs="Arial"/>
        </w:rPr>
        <w:t xml:space="preserve">Podmioty gospodarki społecznej </w:t>
      </w:r>
    </w:p>
    <w:tbl>
      <w:tblPr>
        <w:tblW w:w="9003" w:type="dxa"/>
        <w:tblCellMar>
          <w:left w:w="70" w:type="dxa"/>
          <w:right w:w="70" w:type="dxa"/>
        </w:tblCellMar>
        <w:tblLook w:val="04A0" w:firstRow="1" w:lastRow="0" w:firstColumn="1" w:lastColumn="0" w:noHBand="0" w:noVBand="1"/>
      </w:tblPr>
      <w:tblGrid>
        <w:gridCol w:w="4201"/>
        <w:gridCol w:w="686"/>
        <w:gridCol w:w="686"/>
        <w:gridCol w:w="686"/>
        <w:gridCol w:w="686"/>
        <w:gridCol w:w="686"/>
        <w:gridCol w:w="686"/>
        <w:gridCol w:w="686"/>
      </w:tblGrid>
      <w:tr w:rsidR="00F01D9A" w:rsidRPr="00D15EB9" w14:paraId="2084654A" w14:textId="77777777" w:rsidTr="00F01D9A">
        <w:trPr>
          <w:trHeight w:val="288"/>
        </w:trPr>
        <w:tc>
          <w:tcPr>
            <w:tcW w:w="4201" w:type="dxa"/>
            <w:tcBorders>
              <w:top w:val="single" w:sz="4" w:space="0" w:color="auto"/>
              <w:left w:val="single" w:sz="4" w:space="0" w:color="auto"/>
              <w:bottom w:val="single" w:sz="4" w:space="0" w:color="auto"/>
              <w:right w:val="single" w:sz="4" w:space="0" w:color="auto"/>
            </w:tcBorders>
            <w:vAlign w:val="bottom"/>
            <w:hideMark/>
          </w:tcPr>
          <w:p w14:paraId="68F0351C" w14:textId="77777777" w:rsidR="00F01D9A" w:rsidRPr="00D15EB9" w:rsidRDefault="00F01D9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 </w:t>
            </w:r>
          </w:p>
        </w:tc>
        <w:tc>
          <w:tcPr>
            <w:tcW w:w="686" w:type="dxa"/>
            <w:tcBorders>
              <w:top w:val="single" w:sz="4" w:space="0" w:color="auto"/>
              <w:left w:val="nil"/>
              <w:bottom w:val="single" w:sz="4" w:space="0" w:color="auto"/>
              <w:right w:val="single" w:sz="4" w:space="0" w:color="auto"/>
            </w:tcBorders>
            <w:noWrap/>
            <w:vAlign w:val="center"/>
            <w:hideMark/>
          </w:tcPr>
          <w:p w14:paraId="6232601E" w14:textId="77777777" w:rsidR="00F01D9A" w:rsidRPr="00D15EB9" w:rsidRDefault="00F01D9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2016</w:t>
            </w:r>
          </w:p>
        </w:tc>
        <w:tc>
          <w:tcPr>
            <w:tcW w:w="686" w:type="dxa"/>
            <w:tcBorders>
              <w:top w:val="single" w:sz="4" w:space="0" w:color="auto"/>
              <w:left w:val="nil"/>
              <w:bottom w:val="single" w:sz="4" w:space="0" w:color="auto"/>
              <w:right w:val="single" w:sz="4" w:space="0" w:color="auto"/>
            </w:tcBorders>
            <w:noWrap/>
            <w:vAlign w:val="center"/>
            <w:hideMark/>
          </w:tcPr>
          <w:p w14:paraId="419E3CC9" w14:textId="77777777" w:rsidR="00F01D9A" w:rsidRPr="00D15EB9" w:rsidRDefault="00F01D9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2017</w:t>
            </w:r>
          </w:p>
        </w:tc>
        <w:tc>
          <w:tcPr>
            <w:tcW w:w="686" w:type="dxa"/>
            <w:tcBorders>
              <w:top w:val="single" w:sz="4" w:space="0" w:color="auto"/>
              <w:left w:val="nil"/>
              <w:bottom w:val="single" w:sz="4" w:space="0" w:color="auto"/>
              <w:right w:val="single" w:sz="4" w:space="0" w:color="auto"/>
            </w:tcBorders>
            <w:noWrap/>
            <w:vAlign w:val="center"/>
            <w:hideMark/>
          </w:tcPr>
          <w:p w14:paraId="6E8EB559" w14:textId="77777777" w:rsidR="00F01D9A" w:rsidRPr="00D15EB9" w:rsidRDefault="00F01D9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2018</w:t>
            </w:r>
          </w:p>
        </w:tc>
        <w:tc>
          <w:tcPr>
            <w:tcW w:w="686" w:type="dxa"/>
            <w:tcBorders>
              <w:top w:val="single" w:sz="4" w:space="0" w:color="auto"/>
              <w:left w:val="nil"/>
              <w:bottom w:val="single" w:sz="4" w:space="0" w:color="auto"/>
              <w:right w:val="single" w:sz="4" w:space="0" w:color="auto"/>
            </w:tcBorders>
            <w:noWrap/>
            <w:vAlign w:val="center"/>
            <w:hideMark/>
          </w:tcPr>
          <w:p w14:paraId="73CFF85D" w14:textId="77777777" w:rsidR="00F01D9A" w:rsidRPr="00D15EB9" w:rsidRDefault="00F01D9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2019</w:t>
            </w:r>
          </w:p>
        </w:tc>
        <w:tc>
          <w:tcPr>
            <w:tcW w:w="686" w:type="dxa"/>
            <w:tcBorders>
              <w:top w:val="single" w:sz="4" w:space="0" w:color="auto"/>
              <w:left w:val="nil"/>
              <w:bottom w:val="single" w:sz="4" w:space="0" w:color="auto"/>
              <w:right w:val="single" w:sz="4" w:space="0" w:color="auto"/>
            </w:tcBorders>
            <w:noWrap/>
            <w:vAlign w:val="center"/>
            <w:hideMark/>
          </w:tcPr>
          <w:p w14:paraId="0C77EA52" w14:textId="77777777" w:rsidR="00F01D9A" w:rsidRPr="00D15EB9" w:rsidRDefault="00F01D9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2020</w:t>
            </w:r>
          </w:p>
        </w:tc>
        <w:tc>
          <w:tcPr>
            <w:tcW w:w="686" w:type="dxa"/>
            <w:tcBorders>
              <w:top w:val="single" w:sz="4" w:space="0" w:color="auto"/>
              <w:left w:val="nil"/>
              <w:bottom w:val="single" w:sz="4" w:space="0" w:color="auto"/>
              <w:right w:val="single" w:sz="4" w:space="0" w:color="auto"/>
            </w:tcBorders>
            <w:noWrap/>
            <w:vAlign w:val="center"/>
            <w:hideMark/>
          </w:tcPr>
          <w:p w14:paraId="6F64F9DE" w14:textId="77777777" w:rsidR="00F01D9A" w:rsidRPr="00D15EB9" w:rsidRDefault="00F01D9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2021</w:t>
            </w:r>
          </w:p>
        </w:tc>
        <w:tc>
          <w:tcPr>
            <w:tcW w:w="686" w:type="dxa"/>
            <w:tcBorders>
              <w:top w:val="single" w:sz="4" w:space="0" w:color="auto"/>
              <w:left w:val="nil"/>
              <w:bottom w:val="single" w:sz="4" w:space="0" w:color="auto"/>
              <w:right w:val="single" w:sz="4" w:space="0" w:color="auto"/>
            </w:tcBorders>
            <w:noWrap/>
            <w:vAlign w:val="center"/>
            <w:hideMark/>
          </w:tcPr>
          <w:p w14:paraId="0FD2AEB1" w14:textId="77777777" w:rsidR="00F01D9A" w:rsidRPr="00D15EB9" w:rsidRDefault="00F01D9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2022</w:t>
            </w:r>
          </w:p>
        </w:tc>
      </w:tr>
      <w:tr w:rsidR="001C60CA" w:rsidRPr="00D15EB9" w14:paraId="06C03E4A" w14:textId="77777777" w:rsidTr="001C60CA">
        <w:trPr>
          <w:trHeight w:val="288"/>
        </w:trPr>
        <w:tc>
          <w:tcPr>
            <w:tcW w:w="4201" w:type="dxa"/>
            <w:tcBorders>
              <w:top w:val="nil"/>
              <w:left w:val="single" w:sz="4" w:space="0" w:color="auto"/>
              <w:bottom w:val="single" w:sz="4" w:space="0" w:color="auto"/>
              <w:right w:val="single" w:sz="4" w:space="0" w:color="auto"/>
            </w:tcBorders>
            <w:vAlign w:val="bottom"/>
            <w:hideMark/>
          </w:tcPr>
          <w:p w14:paraId="122E8913" w14:textId="77777777"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Liczba podmiotów CIS</w:t>
            </w:r>
          </w:p>
        </w:tc>
        <w:tc>
          <w:tcPr>
            <w:tcW w:w="686" w:type="dxa"/>
            <w:tcBorders>
              <w:top w:val="nil"/>
              <w:left w:val="nil"/>
              <w:bottom w:val="single" w:sz="4" w:space="0" w:color="auto"/>
              <w:right w:val="single" w:sz="4" w:space="0" w:color="auto"/>
            </w:tcBorders>
            <w:noWrap/>
            <w:vAlign w:val="bottom"/>
          </w:tcPr>
          <w:p w14:paraId="1E4D526E" w14:textId="5B698B01"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5</w:t>
            </w:r>
          </w:p>
        </w:tc>
        <w:tc>
          <w:tcPr>
            <w:tcW w:w="686" w:type="dxa"/>
            <w:tcBorders>
              <w:top w:val="nil"/>
              <w:left w:val="nil"/>
              <w:bottom w:val="single" w:sz="4" w:space="0" w:color="auto"/>
              <w:right w:val="single" w:sz="4" w:space="0" w:color="auto"/>
            </w:tcBorders>
            <w:noWrap/>
            <w:vAlign w:val="bottom"/>
          </w:tcPr>
          <w:p w14:paraId="1760061A" w14:textId="7B06856B"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5</w:t>
            </w:r>
          </w:p>
        </w:tc>
        <w:tc>
          <w:tcPr>
            <w:tcW w:w="686" w:type="dxa"/>
            <w:tcBorders>
              <w:top w:val="nil"/>
              <w:left w:val="nil"/>
              <w:bottom w:val="single" w:sz="4" w:space="0" w:color="auto"/>
              <w:right w:val="single" w:sz="4" w:space="0" w:color="auto"/>
            </w:tcBorders>
            <w:noWrap/>
            <w:vAlign w:val="bottom"/>
          </w:tcPr>
          <w:p w14:paraId="59D6D981" w14:textId="443954D4"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5</w:t>
            </w:r>
          </w:p>
        </w:tc>
        <w:tc>
          <w:tcPr>
            <w:tcW w:w="686" w:type="dxa"/>
            <w:tcBorders>
              <w:top w:val="nil"/>
              <w:left w:val="nil"/>
              <w:bottom w:val="single" w:sz="4" w:space="0" w:color="auto"/>
              <w:right w:val="single" w:sz="4" w:space="0" w:color="auto"/>
            </w:tcBorders>
            <w:noWrap/>
            <w:vAlign w:val="bottom"/>
          </w:tcPr>
          <w:p w14:paraId="2262FD56" w14:textId="667825B3"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5</w:t>
            </w:r>
          </w:p>
        </w:tc>
        <w:tc>
          <w:tcPr>
            <w:tcW w:w="686" w:type="dxa"/>
            <w:tcBorders>
              <w:top w:val="nil"/>
              <w:left w:val="nil"/>
              <w:bottom w:val="single" w:sz="4" w:space="0" w:color="auto"/>
              <w:right w:val="single" w:sz="4" w:space="0" w:color="auto"/>
            </w:tcBorders>
            <w:noWrap/>
            <w:vAlign w:val="bottom"/>
          </w:tcPr>
          <w:p w14:paraId="4A9D8D0E" w14:textId="2A4B3851"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5</w:t>
            </w:r>
          </w:p>
        </w:tc>
        <w:tc>
          <w:tcPr>
            <w:tcW w:w="686" w:type="dxa"/>
            <w:tcBorders>
              <w:top w:val="nil"/>
              <w:left w:val="nil"/>
              <w:bottom w:val="single" w:sz="4" w:space="0" w:color="auto"/>
              <w:right w:val="single" w:sz="4" w:space="0" w:color="auto"/>
            </w:tcBorders>
            <w:noWrap/>
            <w:vAlign w:val="bottom"/>
          </w:tcPr>
          <w:p w14:paraId="19393080" w14:textId="22BC51AC"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5</w:t>
            </w:r>
          </w:p>
        </w:tc>
        <w:tc>
          <w:tcPr>
            <w:tcW w:w="686" w:type="dxa"/>
            <w:tcBorders>
              <w:top w:val="nil"/>
              <w:left w:val="nil"/>
              <w:bottom w:val="single" w:sz="4" w:space="0" w:color="auto"/>
              <w:right w:val="single" w:sz="4" w:space="0" w:color="auto"/>
            </w:tcBorders>
            <w:noWrap/>
            <w:vAlign w:val="bottom"/>
          </w:tcPr>
          <w:p w14:paraId="42064CE1" w14:textId="2D95E996"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x</w:t>
            </w:r>
          </w:p>
        </w:tc>
      </w:tr>
      <w:tr w:rsidR="001C60CA" w:rsidRPr="00D15EB9" w14:paraId="38DEAE3C" w14:textId="77777777" w:rsidTr="001C60CA">
        <w:trPr>
          <w:trHeight w:val="288"/>
        </w:trPr>
        <w:tc>
          <w:tcPr>
            <w:tcW w:w="4201" w:type="dxa"/>
            <w:tcBorders>
              <w:top w:val="nil"/>
              <w:left w:val="single" w:sz="4" w:space="0" w:color="auto"/>
              <w:bottom w:val="single" w:sz="4" w:space="0" w:color="auto"/>
              <w:right w:val="single" w:sz="4" w:space="0" w:color="auto"/>
            </w:tcBorders>
            <w:vAlign w:val="bottom"/>
            <w:hideMark/>
          </w:tcPr>
          <w:p w14:paraId="18225B9A" w14:textId="77777777"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Liczba WTZ</w:t>
            </w:r>
          </w:p>
        </w:tc>
        <w:tc>
          <w:tcPr>
            <w:tcW w:w="686" w:type="dxa"/>
            <w:tcBorders>
              <w:top w:val="nil"/>
              <w:left w:val="nil"/>
              <w:bottom w:val="single" w:sz="4" w:space="0" w:color="auto"/>
              <w:right w:val="single" w:sz="4" w:space="0" w:color="auto"/>
            </w:tcBorders>
            <w:noWrap/>
            <w:vAlign w:val="bottom"/>
          </w:tcPr>
          <w:p w14:paraId="7920D7B1" w14:textId="3DA056E6"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15</w:t>
            </w:r>
          </w:p>
        </w:tc>
        <w:tc>
          <w:tcPr>
            <w:tcW w:w="686" w:type="dxa"/>
            <w:tcBorders>
              <w:top w:val="nil"/>
              <w:left w:val="nil"/>
              <w:bottom w:val="single" w:sz="4" w:space="0" w:color="auto"/>
              <w:right w:val="single" w:sz="4" w:space="0" w:color="auto"/>
            </w:tcBorders>
            <w:noWrap/>
            <w:vAlign w:val="bottom"/>
          </w:tcPr>
          <w:p w14:paraId="7BFF9CB4" w14:textId="4B328A00"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15</w:t>
            </w:r>
          </w:p>
        </w:tc>
        <w:tc>
          <w:tcPr>
            <w:tcW w:w="686" w:type="dxa"/>
            <w:tcBorders>
              <w:top w:val="nil"/>
              <w:left w:val="nil"/>
              <w:bottom w:val="single" w:sz="4" w:space="0" w:color="auto"/>
              <w:right w:val="single" w:sz="4" w:space="0" w:color="auto"/>
            </w:tcBorders>
            <w:noWrap/>
            <w:vAlign w:val="bottom"/>
          </w:tcPr>
          <w:p w14:paraId="182BABE4" w14:textId="6CE4F0AC"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15</w:t>
            </w:r>
          </w:p>
        </w:tc>
        <w:tc>
          <w:tcPr>
            <w:tcW w:w="686" w:type="dxa"/>
            <w:tcBorders>
              <w:top w:val="nil"/>
              <w:left w:val="nil"/>
              <w:bottom w:val="single" w:sz="4" w:space="0" w:color="auto"/>
              <w:right w:val="single" w:sz="4" w:space="0" w:color="auto"/>
            </w:tcBorders>
            <w:noWrap/>
            <w:vAlign w:val="bottom"/>
          </w:tcPr>
          <w:p w14:paraId="5E6DFF1A" w14:textId="25F1EC0C"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15</w:t>
            </w:r>
          </w:p>
        </w:tc>
        <w:tc>
          <w:tcPr>
            <w:tcW w:w="686" w:type="dxa"/>
            <w:tcBorders>
              <w:top w:val="nil"/>
              <w:left w:val="nil"/>
              <w:bottom w:val="single" w:sz="4" w:space="0" w:color="auto"/>
              <w:right w:val="single" w:sz="4" w:space="0" w:color="auto"/>
            </w:tcBorders>
            <w:noWrap/>
            <w:vAlign w:val="bottom"/>
          </w:tcPr>
          <w:p w14:paraId="3CE067E8" w14:textId="4CF9620C"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16</w:t>
            </w:r>
          </w:p>
        </w:tc>
        <w:tc>
          <w:tcPr>
            <w:tcW w:w="686" w:type="dxa"/>
            <w:tcBorders>
              <w:top w:val="nil"/>
              <w:left w:val="nil"/>
              <w:bottom w:val="single" w:sz="4" w:space="0" w:color="auto"/>
              <w:right w:val="single" w:sz="4" w:space="0" w:color="auto"/>
            </w:tcBorders>
            <w:noWrap/>
            <w:vAlign w:val="bottom"/>
          </w:tcPr>
          <w:p w14:paraId="07FEF27F" w14:textId="16335076"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17</w:t>
            </w:r>
          </w:p>
        </w:tc>
        <w:tc>
          <w:tcPr>
            <w:tcW w:w="686" w:type="dxa"/>
            <w:tcBorders>
              <w:top w:val="nil"/>
              <w:left w:val="nil"/>
              <w:bottom w:val="single" w:sz="4" w:space="0" w:color="auto"/>
              <w:right w:val="single" w:sz="4" w:space="0" w:color="auto"/>
            </w:tcBorders>
            <w:noWrap/>
            <w:vAlign w:val="bottom"/>
          </w:tcPr>
          <w:p w14:paraId="5AA9A2FD" w14:textId="49A27A23"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 x</w:t>
            </w:r>
          </w:p>
        </w:tc>
      </w:tr>
      <w:tr w:rsidR="001C60CA" w:rsidRPr="00D15EB9" w14:paraId="69261F92" w14:textId="77777777" w:rsidTr="009C2FE2">
        <w:trPr>
          <w:trHeight w:val="288"/>
        </w:trPr>
        <w:tc>
          <w:tcPr>
            <w:tcW w:w="4201" w:type="dxa"/>
            <w:tcBorders>
              <w:top w:val="nil"/>
              <w:left w:val="single" w:sz="4" w:space="0" w:color="auto"/>
              <w:bottom w:val="single" w:sz="4" w:space="0" w:color="auto"/>
              <w:right w:val="single" w:sz="4" w:space="0" w:color="auto"/>
            </w:tcBorders>
            <w:vAlign w:val="bottom"/>
          </w:tcPr>
          <w:p w14:paraId="17E077C7" w14:textId="76C77B9D"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Liczba ZAZ</w:t>
            </w:r>
          </w:p>
        </w:tc>
        <w:tc>
          <w:tcPr>
            <w:tcW w:w="686" w:type="dxa"/>
            <w:tcBorders>
              <w:top w:val="nil"/>
              <w:left w:val="nil"/>
              <w:bottom w:val="single" w:sz="4" w:space="0" w:color="auto"/>
              <w:right w:val="single" w:sz="4" w:space="0" w:color="auto"/>
            </w:tcBorders>
            <w:noWrap/>
            <w:vAlign w:val="bottom"/>
          </w:tcPr>
          <w:p w14:paraId="195FC890" w14:textId="5DDE31F7"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w:t>
            </w:r>
          </w:p>
        </w:tc>
        <w:tc>
          <w:tcPr>
            <w:tcW w:w="686" w:type="dxa"/>
            <w:tcBorders>
              <w:top w:val="nil"/>
              <w:left w:val="nil"/>
              <w:bottom w:val="single" w:sz="4" w:space="0" w:color="auto"/>
              <w:right w:val="single" w:sz="4" w:space="0" w:color="auto"/>
            </w:tcBorders>
            <w:noWrap/>
            <w:vAlign w:val="bottom"/>
          </w:tcPr>
          <w:p w14:paraId="0A9E09CB" w14:textId="302FBB5B"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w:t>
            </w:r>
          </w:p>
        </w:tc>
        <w:tc>
          <w:tcPr>
            <w:tcW w:w="686" w:type="dxa"/>
            <w:tcBorders>
              <w:top w:val="nil"/>
              <w:left w:val="nil"/>
              <w:bottom w:val="single" w:sz="4" w:space="0" w:color="auto"/>
              <w:right w:val="single" w:sz="4" w:space="0" w:color="auto"/>
            </w:tcBorders>
            <w:noWrap/>
            <w:vAlign w:val="bottom"/>
          </w:tcPr>
          <w:p w14:paraId="6BEA5D2D" w14:textId="323357BE"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w:t>
            </w:r>
          </w:p>
        </w:tc>
        <w:tc>
          <w:tcPr>
            <w:tcW w:w="686" w:type="dxa"/>
            <w:tcBorders>
              <w:top w:val="nil"/>
              <w:left w:val="nil"/>
              <w:bottom w:val="single" w:sz="4" w:space="0" w:color="auto"/>
              <w:right w:val="single" w:sz="4" w:space="0" w:color="auto"/>
            </w:tcBorders>
            <w:noWrap/>
            <w:vAlign w:val="bottom"/>
          </w:tcPr>
          <w:p w14:paraId="19057C8A" w14:textId="76B9EB03"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4</w:t>
            </w:r>
          </w:p>
        </w:tc>
        <w:tc>
          <w:tcPr>
            <w:tcW w:w="686" w:type="dxa"/>
            <w:tcBorders>
              <w:top w:val="nil"/>
              <w:left w:val="nil"/>
              <w:bottom w:val="single" w:sz="4" w:space="0" w:color="auto"/>
              <w:right w:val="single" w:sz="4" w:space="0" w:color="auto"/>
            </w:tcBorders>
            <w:noWrap/>
            <w:vAlign w:val="bottom"/>
          </w:tcPr>
          <w:p w14:paraId="028770E9" w14:textId="5579CDDF"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5</w:t>
            </w:r>
          </w:p>
        </w:tc>
        <w:tc>
          <w:tcPr>
            <w:tcW w:w="686" w:type="dxa"/>
            <w:tcBorders>
              <w:top w:val="nil"/>
              <w:left w:val="nil"/>
              <w:bottom w:val="single" w:sz="4" w:space="0" w:color="auto"/>
              <w:right w:val="single" w:sz="4" w:space="0" w:color="auto"/>
            </w:tcBorders>
            <w:noWrap/>
            <w:vAlign w:val="bottom"/>
          </w:tcPr>
          <w:p w14:paraId="210345A8" w14:textId="3CDBC08C"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5</w:t>
            </w:r>
          </w:p>
        </w:tc>
        <w:tc>
          <w:tcPr>
            <w:tcW w:w="686" w:type="dxa"/>
            <w:tcBorders>
              <w:top w:val="nil"/>
              <w:left w:val="nil"/>
              <w:bottom w:val="single" w:sz="4" w:space="0" w:color="auto"/>
              <w:right w:val="single" w:sz="4" w:space="0" w:color="auto"/>
            </w:tcBorders>
            <w:noWrap/>
            <w:vAlign w:val="bottom"/>
          </w:tcPr>
          <w:p w14:paraId="1593FB8D" w14:textId="6CF306E8"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x</w:t>
            </w:r>
          </w:p>
        </w:tc>
      </w:tr>
      <w:tr w:rsidR="001C60CA" w:rsidRPr="00D15EB9" w14:paraId="489F1404" w14:textId="77777777" w:rsidTr="009C2FE2">
        <w:trPr>
          <w:trHeight w:val="372"/>
        </w:trPr>
        <w:tc>
          <w:tcPr>
            <w:tcW w:w="4201" w:type="dxa"/>
            <w:tcBorders>
              <w:top w:val="nil"/>
              <w:left w:val="single" w:sz="4" w:space="0" w:color="auto"/>
              <w:bottom w:val="single" w:sz="4" w:space="0" w:color="auto"/>
              <w:right w:val="single" w:sz="4" w:space="0" w:color="auto"/>
            </w:tcBorders>
            <w:vAlign w:val="bottom"/>
            <w:hideMark/>
          </w:tcPr>
          <w:p w14:paraId="51CF03F8" w14:textId="77777777"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 xml:space="preserve">Podmioty CIS, ZAZ, WTZ na 100 tys. mieszkańców - Polska </w:t>
            </w:r>
          </w:p>
        </w:tc>
        <w:tc>
          <w:tcPr>
            <w:tcW w:w="686" w:type="dxa"/>
            <w:tcBorders>
              <w:top w:val="nil"/>
              <w:left w:val="nil"/>
              <w:bottom w:val="single" w:sz="4" w:space="0" w:color="auto"/>
              <w:right w:val="single" w:sz="4" w:space="0" w:color="auto"/>
            </w:tcBorders>
            <w:noWrap/>
            <w:vAlign w:val="bottom"/>
            <w:hideMark/>
          </w:tcPr>
          <w:p w14:paraId="0DD82893" w14:textId="77777777"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2,5</w:t>
            </w:r>
          </w:p>
        </w:tc>
        <w:tc>
          <w:tcPr>
            <w:tcW w:w="686" w:type="dxa"/>
            <w:tcBorders>
              <w:top w:val="nil"/>
              <w:left w:val="nil"/>
              <w:bottom w:val="single" w:sz="4" w:space="0" w:color="auto"/>
              <w:right w:val="single" w:sz="4" w:space="0" w:color="auto"/>
            </w:tcBorders>
            <w:noWrap/>
            <w:vAlign w:val="bottom"/>
            <w:hideMark/>
          </w:tcPr>
          <w:p w14:paraId="38993CF6" w14:textId="77777777"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2,6</w:t>
            </w:r>
          </w:p>
        </w:tc>
        <w:tc>
          <w:tcPr>
            <w:tcW w:w="686" w:type="dxa"/>
            <w:tcBorders>
              <w:top w:val="nil"/>
              <w:left w:val="nil"/>
              <w:bottom w:val="single" w:sz="4" w:space="0" w:color="auto"/>
              <w:right w:val="single" w:sz="4" w:space="0" w:color="auto"/>
            </w:tcBorders>
            <w:noWrap/>
            <w:vAlign w:val="bottom"/>
            <w:hideMark/>
          </w:tcPr>
          <w:p w14:paraId="69C46DA0" w14:textId="77777777"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2,7</w:t>
            </w:r>
          </w:p>
        </w:tc>
        <w:tc>
          <w:tcPr>
            <w:tcW w:w="686" w:type="dxa"/>
            <w:tcBorders>
              <w:top w:val="nil"/>
              <w:left w:val="nil"/>
              <w:bottom w:val="single" w:sz="4" w:space="0" w:color="auto"/>
              <w:right w:val="single" w:sz="4" w:space="0" w:color="auto"/>
            </w:tcBorders>
            <w:noWrap/>
            <w:vAlign w:val="bottom"/>
            <w:hideMark/>
          </w:tcPr>
          <w:p w14:paraId="2FAE7F2C" w14:textId="77777777"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2,7</w:t>
            </w:r>
          </w:p>
        </w:tc>
        <w:tc>
          <w:tcPr>
            <w:tcW w:w="686" w:type="dxa"/>
            <w:tcBorders>
              <w:top w:val="nil"/>
              <w:left w:val="nil"/>
              <w:bottom w:val="single" w:sz="4" w:space="0" w:color="auto"/>
              <w:right w:val="single" w:sz="4" w:space="0" w:color="auto"/>
            </w:tcBorders>
            <w:noWrap/>
            <w:vAlign w:val="bottom"/>
            <w:hideMark/>
          </w:tcPr>
          <w:p w14:paraId="545191FA" w14:textId="77777777"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2,7</w:t>
            </w:r>
          </w:p>
        </w:tc>
        <w:tc>
          <w:tcPr>
            <w:tcW w:w="686" w:type="dxa"/>
            <w:tcBorders>
              <w:top w:val="nil"/>
              <w:left w:val="nil"/>
              <w:bottom w:val="single" w:sz="4" w:space="0" w:color="auto"/>
              <w:right w:val="single" w:sz="4" w:space="0" w:color="auto"/>
            </w:tcBorders>
            <w:noWrap/>
            <w:vAlign w:val="bottom"/>
            <w:hideMark/>
          </w:tcPr>
          <w:p w14:paraId="5859F93D" w14:textId="77777777"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2,8</w:t>
            </w:r>
          </w:p>
        </w:tc>
        <w:tc>
          <w:tcPr>
            <w:tcW w:w="686" w:type="dxa"/>
            <w:tcBorders>
              <w:top w:val="nil"/>
              <w:left w:val="nil"/>
              <w:bottom w:val="single" w:sz="4" w:space="0" w:color="auto"/>
              <w:right w:val="single" w:sz="4" w:space="0" w:color="auto"/>
            </w:tcBorders>
            <w:noWrap/>
            <w:vAlign w:val="bottom"/>
            <w:hideMark/>
          </w:tcPr>
          <w:p w14:paraId="0EBB75B3" w14:textId="425CDAA8"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x</w:t>
            </w:r>
          </w:p>
        </w:tc>
      </w:tr>
      <w:tr w:rsidR="001C60CA" w:rsidRPr="00D15EB9" w14:paraId="4DA14041" w14:textId="77777777" w:rsidTr="001C60CA">
        <w:trPr>
          <w:trHeight w:val="350"/>
        </w:trPr>
        <w:tc>
          <w:tcPr>
            <w:tcW w:w="4201" w:type="dxa"/>
            <w:tcBorders>
              <w:top w:val="nil"/>
              <w:left w:val="single" w:sz="4" w:space="0" w:color="auto"/>
              <w:bottom w:val="nil"/>
              <w:right w:val="single" w:sz="4" w:space="0" w:color="auto"/>
            </w:tcBorders>
            <w:vAlign w:val="bottom"/>
            <w:hideMark/>
          </w:tcPr>
          <w:p w14:paraId="19CFBBF1" w14:textId="30184693"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 xml:space="preserve">Podmioty CIS, ZAZ, WTZ na 100 tys. mieszkańców - </w:t>
            </w:r>
            <w:r w:rsidRPr="00D15EB9">
              <w:rPr>
                <w:rFonts w:eastAsia="Times New Roman" w:cstheme="minorHAnsi"/>
                <w:kern w:val="0"/>
                <w:sz w:val="24"/>
                <w:szCs w:val="24"/>
                <w:lang w:eastAsia="pl-PL"/>
                <w14:ligatures w14:val="none"/>
              </w:rPr>
              <w:br/>
              <w:t>woj. opolskie</w:t>
            </w:r>
          </w:p>
        </w:tc>
        <w:tc>
          <w:tcPr>
            <w:tcW w:w="686" w:type="dxa"/>
            <w:tcBorders>
              <w:top w:val="nil"/>
              <w:left w:val="nil"/>
              <w:bottom w:val="nil"/>
              <w:right w:val="single" w:sz="4" w:space="0" w:color="auto"/>
            </w:tcBorders>
            <w:noWrap/>
            <w:vAlign w:val="bottom"/>
            <w:hideMark/>
          </w:tcPr>
          <w:p w14:paraId="5169C1E6" w14:textId="77777777"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2,2</w:t>
            </w:r>
          </w:p>
        </w:tc>
        <w:tc>
          <w:tcPr>
            <w:tcW w:w="686" w:type="dxa"/>
            <w:tcBorders>
              <w:top w:val="nil"/>
              <w:left w:val="nil"/>
              <w:bottom w:val="nil"/>
              <w:right w:val="single" w:sz="4" w:space="0" w:color="auto"/>
            </w:tcBorders>
            <w:noWrap/>
            <w:vAlign w:val="bottom"/>
            <w:hideMark/>
          </w:tcPr>
          <w:p w14:paraId="61407AFB" w14:textId="77777777"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2,2</w:t>
            </w:r>
          </w:p>
        </w:tc>
        <w:tc>
          <w:tcPr>
            <w:tcW w:w="686" w:type="dxa"/>
            <w:tcBorders>
              <w:top w:val="nil"/>
              <w:left w:val="nil"/>
              <w:bottom w:val="nil"/>
              <w:right w:val="single" w:sz="4" w:space="0" w:color="auto"/>
            </w:tcBorders>
            <w:noWrap/>
            <w:vAlign w:val="bottom"/>
            <w:hideMark/>
          </w:tcPr>
          <w:p w14:paraId="01BAD4A4" w14:textId="77777777"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2,2</w:t>
            </w:r>
          </w:p>
        </w:tc>
        <w:tc>
          <w:tcPr>
            <w:tcW w:w="686" w:type="dxa"/>
            <w:tcBorders>
              <w:top w:val="nil"/>
              <w:left w:val="nil"/>
              <w:bottom w:val="nil"/>
              <w:right w:val="single" w:sz="4" w:space="0" w:color="auto"/>
            </w:tcBorders>
            <w:noWrap/>
            <w:vAlign w:val="bottom"/>
            <w:hideMark/>
          </w:tcPr>
          <w:p w14:paraId="777C48CE" w14:textId="77777777"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2,4</w:t>
            </w:r>
          </w:p>
        </w:tc>
        <w:tc>
          <w:tcPr>
            <w:tcW w:w="686" w:type="dxa"/>
            <w:tcBorders>
              <w:top w:val="nil"/>
              <w:left w:val="nil"/>
              <w:bottom w:val="nil"/>
              <w:right w:val="single" w:sz="4" w:space="0" w:color="auto"/>
            </w:tcBorders>
            <w:noWrap/>
            <w:vAlign w:val="bottom"/>
            <w:hideMark/>
          </w:tcPr>
          <w:p w14:paraId="7601EDA3" w14:textId="77777777"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2,7</w:t>
            </w:r>
          </w:p>
        </w:tc>
        <w:tc>
          <w:tcPr>
            <w:tcW w:w="686" w:type="dxa"/>
            <w:tcBorders>
              <w:top w:val="nil"/>
              <w:left w:val="nil"/>
              <w:bottom w:val="nil"/>
              <w:right w:val="single" w:sz="4" w:space="0" w:color="auto"/>
            </w:tcBorders>
            <w:noWrap/>
            <w:vAlign w:val="bottom"/>
            <w:hideMark/>
          </w:tcPr>
          <w:p w14:paraId="43067F39" w14:textId="77777777"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2,8</w:t>
            </w:r>
          </w:p>
        </w:tc>
        <w:tc>
          <w:tcPr>
            <w:tcW w:w="686" w:type="dxa"/>
            <w:tcBorders>
              <w:top w:val="nil"/>
              <w:left w:val="nil"/>
              <w:bottom w:val="nil"/>
              <w:right w:val="single" w:sz="4" w:space="0" w:color="auto"/>
            </w:tcBorders>
            <w:noWrap/>
            <w:vAlign w:val="bottom"/>
            <w:hideMark/>
          </w:tcPr>
          <w:p w14:paraId="6B4B9508" w14:textId="7F3D39EA" w:rsidR="001C60CA" w:rsidRPr="00D15EB9" w:rsidRDefault="001C60CA"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x</w:t>
            </w:r>
          </w:p>
        </w:tc>
      </w:tr>
      <w:tr w:rsidR="00D15EB9" w:rsidRPr="00D15EB9" w14:paraId="5CE17873" w14:textId="77777777" w:rsidTr="00D15EB9">
        <w:trPr>
          <w:trHeight w:val="350"/>
        </w:trPr>
        <w:tc>
          <w:tcPr>
            <w:tcW w:w="4201" w:type="dxa"/>
            <w:tcBorders>
              <w:top w:val="nil"/>
              <w:left w:val="single" w:sz="4" w:space="0" w:color="auto"/>
              <w:right w:val="single" w:sz="4" w:space="0" w:color="auto"/>
            </w:tcBorders>
            <w:vAlign w:val="bottom"/>
          </w:tcPr>
          <w:p w14:paraId="0F533B4C" w14:textId="77777777" w:rsidR="00D15EB9" w:rsidRPr="00D15EB9" w:rsidRDefault="00D15EB9" w:rsidP="00B44EE0">
            <w:pPr>
              <w:spacing w:after="0" w:line="240" w:lineRule="auto"/>
              <w:jc w:val="both"/>
              <w:rPr>
                <w:rFonts w:eastAsia="Times New Roman" w:cstheme="minorHAnsi"/>
                <w:kern w:val="0"/>
                <w:sz w:val="24"/>
                <w:szCs w:val="24"/>
                <w:lang w:eastAsia="pl-PL"/>
                <w14:ligatures w14:val="none"/>
              </w:rPr>
            </w:pPr>
          </w:p>
        </w:tc>
        <w:tc>
          <w:tcPr>
            <w:tcW w:w="686" w:type="dxa"/>
            <w:tcBorders>
              <w:top w:val="nil"/>
              <w:left w:val="nil"/>
              <w:right w:val="single" w:sz="4" w:space="0" w:color="auto"/>
            </w:tcBorders>
            <w:noWrap/>
            <w:vAlign w:val="bottom"/>
          </w:tcPr>
          <w:p w14:paraId="07169E37" w14:textId="77777777" w:rsidR="00D15EB9" w:rsidRPr="00D15EB9" w:rsidRDefault="00D15EB9" w:rsidP="00B44EE0">
            <w:pPr>
              <w:spacing w:after="0" w:line="240" w:lineRule="auto"/>
              <w:jc w:val="both"/>
              <w:rPr>
                <w:rFonts w:eastAsia="Times New Roman" w:cstheme="minorHAnsi"/>
                <w:kern w:val="0"/>
                <w:sz w:val="24"/>
                <w:szCs w:val="24"/>
                <w:lang w:eastAsia="pl-PL"/>
                <w14:ligatures w14:val="none"/>
              </w:rPr>
            </w:pPr>
          </w:p>
        </w:tc>
        <w:tc>
          <w:tcPr>
            <w:tcW w:w="686" w:type="dxa"/>
            <w:tcBorders>
              <w:top w:val="nil"/>
              <w:left w:val="nil"/>
              <w:right w:val="single" w:sz="4" w:space="0" w:color="auto"/>
            </w:tcBorders>
            <w:noWrap/>
            <w:vAlign w:val="bottom"/>
          </w:tcPr>
          <w:p w14:paraId="09C06206" w14:textId="77777777" w:rsidR="00D15EB9" w:rsidRPr="00D15EB9" w:rsidRDefault="00D15EB9" w:rsidP="00B44EE0">
            <w:pPr>
              <w:spacing w:after="0" w:line="240" w:lineRule="auto"/>
              <w:jc w:val="both"/>
              <w:rPr>
                <w:rFonts w:eastAsia="Times New Roman" w:cstheme="minorHAnsi"/>
                <w:kern w:val="0"/>
                <w:sz w:val="24"/>
                <w:szCs w:val="24"/>
                <w:lang w:eastAsia="pl-PL"/>
                <w14:ligatures w14:val="none"/>
              </w:rPr>
            </w:pPr>
          </w:p>
        </w:tc>
        <w:tc>
          <w:tcPr>
            <w:tcW w:w="686" w:type="dxa"/>
            <w:tcBorders>
              <w:top w:val="nil"/>
              <w:left w:val="nil"/>
              <w:right w:val="single" w:sz="4" w:space="0" w:color="auto"/>
            </w:tcBorders>
            <w:noWrap/>
            <w:vAlign w:val="bottom"/>
          </w:tcPr>
          <w:p w14:paraId="347D42F1" w14:textId="77777777" w:rsidR="00D15EB9" w:rsidRPr="00D15EB9" w:rsidRDefault="00D15EB9" w:rsidP="00B44EE0">
            <w:pPr>
              <w:spacing w:after="0" w:line="240" w:lineRule="auto"/>
              <w:jc w:val="both"/>
              <w:rPr>
                <w:rFonts w:eastAsia="Times New Roman" w:cstheme="minorHAnsi"/>
                <w:kern w:val="0"/>
                <w:sz w:val="24"/>
                <w:szCs w:val="24"/>
                <w:lang w:eastAsia="pl-PL"/>
                <w14:ligatures w14:val="none"/>
              </w:rPr>
            </w:pPr>
          </w:p>
        </w:tc>
        <w:tc>
          <w:tcPr>
            <w:tcW w:w="686" w:type="dxa"/>
            <w:tcBorders>
              <w:top w:val="nil"/>
              <w:left w:val="nil"/>
              <w:right w:val="single" w:sz="4" w:space="0" w:color="auto"/>
            </w:tcBorders>
            <w:noWrap/>
            <w:vAlign w:val="bottom"/>
          </w:tcPr>
          <w:p w14:paraId="447DEB52" w14:textId="77777777" w:rsidR="00D15EB9" w:rsidRPr="00D15EB9" w:rsidRDefault="00D15EB9" w:rsidP="00B44EE0">
            <w:pPr>
              <w:spacing w:after="0" w:line="240" w:lineRule="auto"/>
              <w:jc w:val="both"/>
              <w:rPr>
                <w:rFonts w:eastAsia="Times New Roman" w:cstheme="minorHAnsi"/>
                <w:kern w:val="0"/>
                <w:sz w:val="24"/>
                <w:szCs w:val="24"/>
                <w:lang w:eastAsia="pl-PL"/>
                <w14:ligatures w14:val="none"/>
              </w:rPr>
            </w:pPr>
          </w:p>
        </w:tc>
        <w:tc>
          <w:tcPr>
            <w:tcW w:w="686" w:type="dxa"/>
            <w:tcBorders>
              <w:top w:val="nil"/>
              <w:left w:val="nil"/>
              <w:right w:val="single" w:sz="4" w:space="0" w:color="auto"/>
            </w:tcBorders>
            <w:noWrap/>
            <w:vAlign w:val="bottom"/>
          </w:tcPr>
          <w:p w14:paraId="2DB9857A" w14:textId="77777777" w:rsidR="00D15EB9" w:rsidRPr="00D15EB9" w:rsidRDefault="00D15EB9" w:rsidP="00B44EE0">
            <w:pPr>
              <w:spacing w:after="0" w:line="240" w:lineRule="auto"/>
              <w:jc w:val="both"/>
              <w:rPr>
                <w:rFonts w:eastAsia="Times New Roman" w:cstheme="minorHAnsi"/>
                <w:kern w:val="0"/>
                <w:sz w:val="24"/>
                <w:szCs w:val="24"/>
                <w:lang w:eastAsia="pl-PL"/>
                <w14:ligatures w14:val="none"/>
              </w:rPr>
            </w:pPr>
          </w:p>
        </w:tc>
        <w:tc>
          <w:tcPr>
            <w:tcW w:w="686" w:type="dxa"/>
            <w:tcBorders>
              <w:top w:val="nil"/>
              <w:left w:val="nil"/>
              <w:right w:val="single" w:sz="4" w:space="0" w:color="auto"/>
            </w:tcBorders>
            <w:noWrap/>
            <w:vAlign w:val="bottom"/>
          </w:tcPr>
          <w:p w14:paraId="4142673F" w14:textId="77777777" w:rsidR="00D15EB9" w:rsidRPr="00D15EB9" w:rsidRDefault="00D15EB9" w:rsidP="00B44EE0">
            <w:pPr>
              <w:spacing w:after="0" w:line="240" w:lineRule="auto"/>
              <w:jc w:val="both"/>
              <w:rPr>
                <w:rFonts w:eastAsia="Times New Roman" w:cstheme="minorHAnsi"/>
                <w:kern w:val="0"/>
                <w:sz w:val="24"/>
                <w:szCs w:val="24"/>
                <w:lang w:eastAsia="pl-PL"/>
                <w14:ligatures w14:val="none"/>
              </w:rPr>
            </w:pPr>
          </w:p>
        </w:tc>
        <w:tc>
          <w:tcPr>
            <w:tcW w:w="686" w:type="dxa"/>
            <w:tcBorders>
              <w:top w:val="nil"/>
              <w:left w:val="nil"/>
              <w:right w:val="single" w:sz="4" w:space="0" w:color="auto"/>
            </w:tcBorders>
            <w:noWrap/>
            <w:vAlign w:val="bottom"/>
          </w:tcPr>
          <w:p w14:paraId="2B7FB221" w14:textId="77777777" w:rsidR="00D15EB9" w:rsidRPr="00D15EB9" w:rsidRDefault="00D15EB9" w:rsidP="00B44EE0">
            <w:pPr>
              <w:spacing w:after="0" w:line="240" w:lineRule="auto"/>
              <w:jc w:val="both"/>
              <w:rPr>
                <w:rFonts w:eastAsia="Times New Roman" w:cstheme="minorHAnsi"/>
                <w:kern w:val="0"/>
                <w:sz w:val="24"/>
                <w:szCs w:val="24"/>
                <w:lang w:eastAsia="pl-PL"/>
                <w14:ligatures w14:val="none"/>
              </w:rPr>
            </w:pPr>
          </w:p>
        </w:tc>
      </w:tr>
      <w:tr w:rsidR="00D15EB9" w:rsidRPr="00D15EB9" w14:paraId="7977D9AE" w14:textId="77777777" w:rsidTr="00D15EB9">
        <w:trPr>
          <w:trHeight w:val="350"/>
        </w:trPr>
        <w:tc>
          <w:tcPr>
            <w:tcW w:w="4201" w:type="dxa"/>
            <w:tcBorders>
              <w:top w:val="nil"/>
              <w:left w:val="single" w:sz="4" w:space="0" w:color="auto"/>
              <w:bottom w:val="single" w:sz="4" w:space="0" w:color="auto"/>
              <w:right w:val="single" w:sz="4" w:space="0" w:color="auto"/>
            </w:tcBorders>
            <w:vAlign w:val="bottom"/>
          </w:tcPr>
          <w:p w14:paraId="7053B1D4" w14:textId="77777777" w:rsidR="00D15EB9" w:rsidRPr="00D15EB9" w:rsidRDefault="00D15EB9" w:rsidP="00B44EE0">
            <w:pPr>
              <w:spacing w:after="0" w:line="240" w:lineRule="auto"/>
              <w:jc w:val="both"/>
              <w:rPr>
                <w:rFonts w:eastAsia="Times New Roman" w:cstheme="minorHAnsi"/>
                <w:kern w:val="0"/>
                <w:sz w:val="24"/>
                <w:szCs w:val="24"/>
                <w:lang w:eastAsia="pl-PL"/>
                <w14:ligatures w14:val="none"/>
              </w:rPr>
            </w:pPr>
          </w:p>
        </w:tc>
        <w:tc>
          <w:tcPr>
            <w:tcW w:w="686" w:type="dxa"/>
            <w:tcBorders>
              <w:top w:val="nil"/>
              <w:left w:val="nil"/>
              <w:bottom w:val="single" w:sz="4" w:space="0" w:color="auto"/>
              <w:right w:val="single" w:sz="4" w:space="0" w:color="auto"/>
            </w:tcBorders>
            <w:noWrap/>
            <w:vAlign w:val="bottom"/>
          </w:tcPr>
          <w:p w14:paraId="55DA0601" w14:textId="77777777" w:rsidR="00D15EB9" w:rsidRPr="00D15EB9" w:rsidRDefault="00D15EB9" w:rsidP="00B44EE0">
            <w:pPr>
              <w:spacing w:after="0" w:line="240" w:lineRule="auto"/>
              <w:jc w:val="both"/>
              <w:rPr>
                <w:rFonts w:eastAsia="Times New Roman" w:cstheme="minorHAnsi"/>
                <w:kern w:val="0"/>
                <w:sz w:val="24"/>
                <w:szCs w:val="24"/>
                <w:lang w:eastAsia="pl-PL"/>
                <w14:ligatures w14:val="none"/>
              </w:rPr>
            </w:pPr>
          </w:p>
        </w:tc>
        <w:tc>
          <w:tcPr>
            <w:tcW w:w="686" w:type="dxa"/>
            <w:tcBorders>
              <w:top w:val="nil"/>
              <w:left w:val="nil"/>
              <w:bottom w:val="single" w:sz="4" w:space="0" w:color="auto"/>
              <w:right w:val="single" w:sz="4" w:space="0" w:color="auto"/>
            </w:tcBorders>
            <w:noWrap/>
            <w:vAlign w:val="bottom"/>
          </w:tcPr>
          <w:p w14:paraId="28253519" w14:textId="77777777" w:rsidR="00D15EB9" w:rsidRPr="00D15EB9" w:rsidRDefault="00D15EB9" w:rsidP="00B44EE0">
            <w:pPr>
              <w:spacing w:after="0" w:line="240" w:lineRule="auto"/>
              <w:jc w:val="both"/>
              <w:rPr>
                <w:rFonts w:eastAsia="Times New Roman" w:cstheme="minorHAnsi"/>
                <w:kern w:val="0"/>
                <w:sz w:val="24"/>
                <w:szCs w:val="24"/>
                <w:lang w:eastAsia="pl-PL"/>
                <w14:ligatures w14:val="none"/>
              </w:rPr>
            </w:pPr>
          </w:p>
        </w:tc>
        <w:tc>
          <w:tcPr>
            <w:tcW w:w="686" w:type="dxa"/>
            <w:tcBorders>
              <w:top w:val="nil"/>
              <w:left w:val="nil"/>
              <w:bottom w:val="single" w:sz="4" w:space="0" w:color="auto"/>
              <w:right w:val="single" w:sz="4" w:space="0" w:color="auto"/>
            </w:tcBorders>
            <w:noWrap/>
            <w:vAlign w:val="bottom"/>
          </w:tcPr>
          <w:p w14:paraId="3672C6AA" w14:textId="77777777" w:rsidR="00D15EB9" w:rsidRPr="00D15EB9" w:rsidRDefault="00D15EB9" w:rsidP="00B44EE0">
            <w:pPr>
              <w:spacing w:after="0" w:line="240" w:lineRule="auto"/>
              <w:jc w:val="both"/>
              <w:rPr>
                <w:rFonts w:eastAsia="Times New Roman" w:cstheme="minorHAnsi"/>
                <w:kern w:val="0"/>
                <w:sz w:val="24"/>
                <w:szCs w:val="24"/>
                <w:lang w:eastAsia="pl-PL"/>
                <w14:ligatures w14:val="none"/>
              </w:rPr>
            </w:pPr>
          </w:p>
        </w:tc>
        <w:tc>
          <w:tcPr>
            <w:tcW w:w="686" w:type="dxa"/>
            <w:tcBorders>
              <w:top w:val="nil"/>
              <w:left w:val="nil"/>
              <w:bottom w:val="single" w:sz="4" w:space="0" w:color="auto"/>
              <w:right w:val="single" w:sz="4" w:space="0" w:color="auto"/>
            </w:tcBorders>
            <w:noWrap/>
            <w:vAlign w:val="bottom"/>
          </w:tcPr>
          <w:p w14:paraId="6C3C45A4" w14:textId="77777777" w:rsidR="00D15EB9" w:rsidRPr="00D15EB9" w:rsidRDefault="00D15EB9" w:rsidP="00B44EE0">
            <w:pPr>
              <w:spacing w:after="0" w:line="240" w:lineRule="auto"/>
              <w:jc w:val="both"/>
              <w:rPr>
                <w:rFonts w:eastAsia="Times New Roman" w:cstheme="minorHAnsi"/>
                <w:kern w:val="0"/>
                <w:sz w:val="24"/>
                <w:szCs w:val="24"/>
                <w:lang w:eastAsia="pl-PL"/>
                <w14:ligatures w14:val="none"/>
              </w:rPr>
            </w:pPr>
          </w:p>
        </w:tc>
        <w:tc>
          <w:tcPr>
            <w:tcW w:w="686" w:type="dxa"/>
            <w:tcBorders>
              <w:top w:val="nil"/>
              <w:left w:val="nil"/>
              <w:bottom w:val="single" w:sz="4" w:space="0" w:color="auto"/>
              <w:right w:val="single" w:sz="4" w:space="0" w:color="auto"/>
            </w:tcBorders>
            <w:noWrap/>
            <w:vAlign w:val="bottom"/>
          </w:tcPr>
          <w:p w14:paraId="5F489545" w14:textId="77777777" w:rsidR="00D15EB9" w:rsidRPr="00D15EB9" w:rsidRDefault="00D15EB9" w:rsidP="00B44EE0">
            <w:pPr>
              <w:spacing w:after="0" w:line="240" w:lineRule="auto"/>
              <w:jc w:val="both"/>
              <w:rPr>
                <w:rFonts w:eastAsia="Times New Roman" w:cstheme="minorHAnsi"/>
                <w:kern w:val="0"/>
                <w:sz w:val="24"/>
                <w:szCs w:val="24"/>
                <w:lang w:eastAsia="pl-PL"/>
                <w14:ligatures w14:val="none"/>
              </w:rPr>
            </w:pPr>
          </w:p>
        </w:tc>
        <w:tc>
          <w:tcPr>
            <w:tcW w:w="686" w:type="dxa"/>
            <w:tcBorders>
              <w:top w:val="nil"/>
              <w:left w:val="nil"/>
              <w:bottom w:val="single" w:sz="4" w:space="0" w:color="auto"/>
              <w:right w:val="single" w:sz="4" w:space="0" w:color="auto"/>
            </w:tcBorders>
            <w:noWrap/>
            <w:vAlign w:val="bottom"/>
          </w:tcPr>
          <w:p w14:paraId="7E935918" w14:textId="77777777" w:rsidR="00D15EB9" w:rsidRPr="00D15EB9" w:rsidRDefault="00D15EB9" w:rsidP="00B44EE0">
            <w:pPr>
              <w:spacing w:after="0" w:line="240" w:lineRule="auto"/>
              <w:jc w:val="both"/>
              <w:rPr>
                <w:rFonts w:eastAsia="Times New Roman" w:cstheme="minorHAnsi"/>
                <w:kern w:val="0"/>
                <w:sz w:val="24"/>
                <w:szCs w:val="24"/>
                <w:lang w:eastAsia="pl-PL"/>
                <w14:ligatures w14:val="none"/>
              </w:rPr>
            </w:pPr>
          </w:p>
        </w:tc>
        <w:tc>
          <w:tcPr>
            <w:tcW w:w="686" w:type="dxa"/>
            <w:tcBorders>
              <w:top w:val="nil"/>
              <w:left w:val="nil"/>
              <w:bottom w:val="single" w:sz="4" w:space="0" w:color="auto"/>
              <w:right w:val="single" w:sz="4" w:space="0" w:color="auto"/>
            </w:tcBorders>
            <w:noWrap/>
            <w:vAlign w:val="bottom"/>
          </w:tcPr>
          <w:p w14:paraId="75CDF689" w14:textId="77777777" w:rsidR="00D15EB9" w:rsidRPr="00D15EB9" w:rsidRDefault="00D15EB9" w:rsidP="00B44EE0">
            <w:pPr>
              <w:spacing w:after="0" w:line="240" w:lineRule="auto"/>
              <w:jc w:val="both"/>
              <w:rPr>
                <w:rFonts w:eastAsia="Times New Roman" w:cstheme="minorHAnsi"/>
                <w:kern w:val="0"/>
                <w:sz w:val="24"/>
                <w:szCs w:val="24"/>
                <w:lang w:eastAsia="pl-PL"/>
                <w14:ligatures w14:val="none"/>
              </w:rPr>
            </w:pPr>
          </w:p>
        </w:tc>
      </w:tr>
    </w:tbl>
    <w:p w14:paraId="311AFADD" w14:textId="77777777" w:rsidR="00535E98" w:rsidRPr="00863A31" w:rsidRDefault="00535E98" w:rsidP="00B44EE0">
      <w:pPr>
        <w:pStyle w:val="Bezodstpw"/>
        <w:jc w:val="both"/>
        <w:rPr>
          <w:rFonts w:ascii="Arial" w:hAnsi="Arial" w:cs="Arial"/>
          <w:sz w:val="16"/>
          <w:szCs w:val="16"/>
        </w:rPr>
      </w:pPr>
    </w:p>
    <w:p w14:paraId="411DA16F" w14:textId="2F842AB0" w:rsidR="009C2FE2" w:rsidRPr="00863A31" w:rsidRDefault="009C2FE2" w:rsidP="00B44EE0">
      <w:pPr>
        <w:pStyle w:val="Bezodstpw"/>
        <w:jc w:val="both"/>
        <w:rPr>
          <w:rFonts w:ascii="Arial" w:hAnsi="Arial" w:cs="Arial"/>
          <w:sz w:val="16"/>
          <w:szCs w:val="16"/>
        </w:rPr>
      </w:pPr>
      <w:r w:rsidRPr="00863A31">
        <w:rPr>
          <w:rFonts w:ascii="Arial" w:hAnsi="Arial" w:cs="Arial"/>
          <w:sz w:val="16"/>
          <w:szCs w:val="16"/>
        </w:rPr>
        <w:t>Źródło: opracowanie własne na podstawie BDL, tablica: Gospodarka Społeczna</w:t>
      </w:r>
    </w:p>
    <w:p w14:paraId="7F997623" w14:textId="7B2F5B84" w:rsidR="009C2FE2" w:rsidRPr="00863A31" w:rsidRDefault="009C2FE2" w:rsidP="00B44EE0">
      <w:pPr>
        <w:pStyle w:val="Bezodstpw"/>
        <w:jc w:val="both"/>
        <w:rPr>
          <w:rFonts w:ascii="Arial" w:hAnsi="Arial" w:cs="Arial"/>
          <w:sz w:val="16"/>
          <w:szCs w:val="16"/>
        </w:rPr>
      </w:pPr>
      <w:r w:rsidRPr="00863A31">
        <w:rPr>
          <w:rFonts w:ascii="Arial" w:hAnsi="Arial" w:cs="Arial"/>
          <w:sz w:val="16"/>
          <w:szCs w:val="16"/>
        </w:rPr>
        <w:t xml:space="preserve">x- dane jeszcze nieopublikowane </w:t>
      </w:r>
    </w:p>
    <w:p w14:paraId="49D6DC02" w14:textId="77777777" w:rsidR="00535E98" w:rsidRPr="00863A31" w:rsidRDefault="00535E98" w:rsidP="00B44EE0">
      <w:pPr>
        <w:jc w:val="both"/>
        <w:rPr>
          <w:rFonts w:ascii="Arial" w:hAnsi="Arial" w:cs="Arial"/>
        </w:rPr>
      </w:pPr>
    </w:p>
    <w:p w14:paraId="7239D0D4" w14:textId="57F60349" w:rsidR="00844B1D" w:rsidRPr="000F353E" w:rsidRDefault="007C5707" w:rsidP="00B44EE0">
      <w:pPr>
        <w:spacing w:line="360" w:lineRule="auto"/>
        <w:jc w:val="both"/>
        <w:rPr>
          <w:rFonts w:cstheme="minorHAnsi"/>
          <w:sz w:val="24"/>
          <w:szCs w:val="24"/>
        </w:rPr>
      </w:pPr>
      <w:r w:rsidRPr="000F353E">
        <w:rPr>
          <w:rFonts w:cstheme="minorHAnsi"/>
          <w:sz w:val="24"/>
          <w:szCs w:val="24"/>
        </w:rPr>
        <w:t>Ukazanie wpływu udzielanego wsparcia na rzecz osób zagrożonych ubóstwem i wykluczeniem społecznym najpełniej można zilustrować</w:t>
      </w:r>
      <w:r w:rsidR="00152E1B" w:rsidRPr="000F353E">
        <w:rPr>
          <w:rFonts w:cstheme="minorHAnsi"/>
          <w:sz w:val="24"/>
          <w:szCs w:val="24"/>
        </w:rPr>
        <w:t>,</w:t>
      </w:r>
      <w:r w:rsidRPr="000F353E">
        <w:rPr>
          <w:rFonts w:cstheme="minorHAnsi"/>
          <w:sz w:val="24"/>
          <w:szCs w:val="24"/>
        </w:rPr>
        <w:t xml:space="preserve"> analizując sprawozdania z  działalności CIS, gdyż tylko te pozwalają na uwzględnienie zróżnicowanych grup docelowych</w:t>
      </w:r>
      <w:r w:rsidR="00844B1D" w:rsidRPr="000F353E">
        <w:rPr>
          <w:rFonts w:cstheme="minorHAnsi"/>
          <w:sz w:val="24"/>
          <w:szCs w:val="24"/>
        </w:rPr>
        <w:t xml:space="preserve"> </w:t>
      </w:r>
      <w:r w:rsidRPr="000F353E">
        <w:rPr>
          <w:rFonts w:cstheme="minorHAnsi"/>
          <w:sz w:val="24"/>
          <w:szCs w:val="24"/>
        </w:rPr>
        <w:t xml:space="preserve">posiadających cechy wpływające na ryzyko bierności i wykluczenia społecznego. </w:t>
      </w:r>
      <w:r w:rsidR="00070389" w:rsidRPr="000F353E">
        <w:rPr>
          <w:rFonts w:cstheme="minorHAnsi"/>
          <w:sz w:val="24"/>
          <w:szCs w:val="24"/>
        </w:rPr>
        <w:t>Niestety dla uczestników ZAZ i</w:t>
      </w:r>
      <w:r w:rsidR="00AC5A30" w:rsidRPr="000F353E">
        <w:rPr>
          <w:rFonts w:cstheme="minorHAnsi"/>
          <w:sz w:val="24"/>
          <w:szCs w:val="24"/>
        </w:rPr>
        <w:t> </w:t>
      </w:r>
      <w:r w:rsidR="00070389" w:rsidRPr="000F353E">
        <w:rPr>
          <w:rFonts w:cstheme="minorHAnsi"/>
          <w:sz w:val="24"/>
          <w:szCs w:val="24"/>
        </w:rPr>
        <w:t xml:space="preserve">WTZ </w:t>
      </w:r>
      <w:r w:rsidR="00620B85" w:rsidRPr="000F353E">
        <w:rPr>
          <w:rFonts w:cstheme="minorHAnsi"/>
          <w:sz w:val="24"/>
          <w:szCs w:val="24"/>
        </w:rPr>
        <w:t xml:space="preserve">taks szczegółowy opis struktura nie jest możliwy.  </w:t>
      </w:r>
      <w:r w:rsidR="00070389" w:rsidRPr="000F353E">
        <w:rPr>
          <w:rFonts w:cstheme="minorHAnsi"/>
          <w:sz w:val="24"/>
          <w:szCs w:val="24"/>
        </w:rPr>
        <w:t xml:space="preserve"> </w:t>
      </w:r>
    </w:p>
    <w:p w14:paraId="569C1297" w14:textId="4CB97DD8" w:rsidR="0011576E" w:rsidRPr="000F353E" w:rsidRDefault="0028186D" w:rsidP="00B44EE0">
      <w:pPr>
        <w:spacing w:line="360" w:lineRule="auto"/>
        <w:jc w:val="both"/>
        <w:rPr>
          <w:rFonts w:cstheme="minorHAnsi"/>
          <w:sz w:val="24"/>
          <w:szCs w:val="24"/>
        </w:rPr>
      </w:pPr>
      <w:r w:rsidRPr="000F353E">
        <w:rPr>
          <w:rFonts w:cstheme="minorHAnsi"/>
          <w:sz w:val="24"/>
          <w:szCs w:val="24"/>
        </w:rPr>
        <w:lastRenderedPageBreak/>
        <w:t>Na podstawie danych ze sprawozdania z realizacji działalności CIS</w:t>
      </w:r>
      <w:r w:rsidRPr="000F353E">
        <w:rPr>
          <w:rStyle w:val="Odwoanieprzypisudolnego"/>
          <w:rFonts w:cstheme="minorHAnsi"/>
          <w:sz w:val="24"/>
          <w:szCs w:val="24"/>
        </w:rPr>
        <w:footnoteReference w:id="6"/>
      </w:r>
      <w:r w:rsidRPr="000F353E">
        <w:rPr>
          <w:rFonts w:cstheme="minorHAnsi"/>
          <w:sz w:val="24"/>
          <w:szCs w:val="24"/>
        </w:rPr>
        <w:t xml:space="preserve"> w województwie opolskim wnioskować można, że skala wsparcia wykazuje niewielką tendencję wzrostową. W okresie od 2016 do 202</w:t>
      </w:r>
      <w:r w:rsidR="009C2FE2" w:rsidRPr="000F353E">
        <w:rPr>
          <w:rFonts w:cstheme="minorHAnsi"/>
          <w:sz w:val="24"/>
          <w:szCs w:val="24"/>
        </w:rPr>
        <w:t>2</w:t>
      </w:r>
      <w:r w:rsidRPr="000F353E">
        <w:rPr>
          <w:rFonts w:cstheme="minorHAnsi"/>
          <w:sz w:val="24"/>
          <w:szCs w:val="24"/>
        </w:rPr>
        <w:t xml:space="preserve"> roku łącznie wsparciem objęto 1 </w:t>
      </w:r>
      <w:r w:rsidR="00672A75" w:rsidRPr="000F353E">
        <w:rPr>
          <w:rFonts w:cstheme="minorHAnsi"/>
          <w:sz w:val="24"/>
          <w:szCs w:val="24"/>
        </w:rPr>
        <w:t>597</w:t>
      </w:r>
      <w:r w:rsidRPr="000F353E">
        <w:rPr>
          <w:rFonts w:cstheme="minorHAnsi"/>
          <w:sz w:val="24"/>
          <w:szCs w:val="24"/>
        </w:rPr>
        <w:t xml:space="preserve"> osób</w:t>
      </w:r>
      <w:r w:rsidR="00152E1B" w:rsidRPr="000F353E">
        <w:rPr>
          <w:rFonts w:cstheme="minorHAnsi"/>
          <w:sz w:val="24"/>
          <w:szCs w:val="24"/>
        </w:rPr>
        <w:t>. W</w:t>
      </w:r>
      <w:r w:rsidR="00837D53" w:rsidRPr="000F353E">
        <w:rPr>
          <w:rFonts w:cstheme="minorHAnsi"/>
          <w:sz w:val="24"/>
          <w:szCs w:val="24"/>
        </w:rPr>
        <w:t xml:space="preserve"> badanym okresie nastąpił </w:t>
      </w:r>
      <w:r w:rsidR="00672A75" w:rsidRPr="000F353E">
        <w:rPr>
          <w:rFonts w:cstheme="minorHAnsi"/>
          <w:sz w:val="24"/>
          <w:szCs w:val="24"/>
        </w:rPr>
        <w:t>34</w:t>
      </w:r>
      <w:r w:rsidR="00837D53" w:rsidRPr="000F353E">
        <w:rPr>
          <w:rFonts w:cstheme="minorHAnsi"/>
          <w:sz w:val="24"/>
          <w:szCs w:val="24"/>
        </w:rPr>
        <w:t xml:space="preserve">% przyrost liczby uczestników. </w:t>
      </w:r>
    </w:p>
    <w:p w14:paraId="531D1953" w14:textId="77777777" w:rsidR="00837D53" w:rsidRDefault="00837D53" w:rsidP="00B44EE0">
      <w:pPr>
        <w:jc w:val="both"/>
        <w:rPr>
          <w:rFonts w:ascii="Arial" w:hAnsi="Arial" w:cs="Arial"/>
        </w:rPr>
      </w:pPr>
    </w:p>
    <w:p w14:paraId="79ED9E6C" w14:textId="7DEA6C28" w:rsidR="0028186D" w:rsidRDefault="00837D53" w:rsidP="00B44EE0">
      <w:pPr>
        <w:pStyle w:val="Legenda"/>
        <w:jc w:val="both"/>
      </w:pPr>
      <w:r>
        <w:t xml:space="preserve">Wykres </w:t>
      </w:r>
      <w:r w:rsidR="00A22F0F">
        <w:rPr>
          <w:noProof/>
        </w:rPr>
        <w:fldChar w:fldCharType="begin"/>
      </w:r>
      <w:r w:rsidR="00A22F0F">
        <w:rPr>
          <w:noProof/>
        </w:rPr>
        <w:instrText xml:space="preserve"> SEQ Wykres \* ARABIC </w:instrText>
      </w:r>
      <w:r w:rsidR="00A22F0F">
        <w:rPr>
          <w:noProof/>
        </w:rPr>
        <w:fldChar w:fldCharType="separate"/>
      </w:r>
      <w:r w:rsidR="004C20B5">
        <w:rPr>
          <w:noProof/>
        </w:rPr>
        <w:t>1</w:t>
      </w:r>
      <w:r w:rsidR="00A22F0F">
        <w:rPr>
          <w:noProof/>
        </w:rPr>
        <w:fldChar w:fldCharType="end"/>
      </w:r>
      <w:r>
        <w:t>. Liczba uczestników zajęć w CIS w województwie opolskim w latach 201</w:t>
      </w:r>
      <w:r w:rsidR="00672A75">
        <w:t>7</w:t>
      </w:r>
      <w:r>
        <w:t>-202</w:t>
      </w:r>
      <w:r w:rsidR="009C2FE2">
        <w:t>2</w:t>
      </w:r>
    </w:p>
    <w:p w14:paraId="5D9A5946" w14:textId="66EFB286" w:rsidR="00837D53" w:rsidRPr="00837D53" w:rsidRDefault="00672A75" w:rsidP="00B44EE0">
      <w:pPr>
        <w:jc w:val="both"/>
      </w:pPr>
      <w:r>
        <w:rPr>
          <w:noProof/>
          <w:lang w:eastAsia="pl-PL"/>
        </w:rPr>
        <w:drawing>
          <wp:inline distT="0" distB="0" distL="0" distR="0" wp14:anchorId="14A0BE6F" wp14:editId="54BD9E9D">
            <wp:extent cx="5760720" cy="2624455"/>
            <wp:effectExtent l="0" t="0" r="11430" b="4445"/>
            <wp:docPr id="669698153" name="Wykres 1">
              <a:extLst xmlns:a="http://schemas.openxmlformats.org/drawingml/2006/main">
                <a:ext uri="{FF2B5EF4-FFF2-40B4-BE49-F238E27FC236}">
                  <a16:creationId xmlns:a16="http://schemas.microsoft.com/office/drawing/2014/main" id="{7438EE3C-3803-7ED3-CD63-5BA9666B17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A51E1A" w14:textId="77777777" w:rsidR="00AC5A30" w:rsidRDefault="00AC5A30" w:rsidP="00B44EE0">
      <w:pPr>
        <w:jc w:val="both"/>
        <w:rPr>
          <w:rFonts w:ascii="Arial" w:hAnsi="Arial" w:cs="Arial"/>
        </w:rPr>
      </w:pPr>
    </w:p>
    <w:p w14:paraId="5864E7A5" w14:textId="43D49FC5" w:rsidR="0003733F" w:rsidRDefault="0003733F" w:rsidP="00B44EE0">
      <w:pPr>
        <w:pStyle w:val="Legenda"/>
        <w:jc w:val="both"/>
        <w:rPr>
          <w:rFonts w:ascii="Arial" w:hAnsi="Arial" w:cs="Arial"/>
        </w:rPr>
      </w:pPr>
      <w:r>
        <w:t xml:space="preserve">Wykres </w:t>
      </w:r>
      <w:r w:rsidR="00A22F0F">
        <w:rPr>
          <w:noProof/>
        </w:rPr>
        <w:fldChar w:fldCharType="begin"/>
      </w:r>
      <w:r w:rsidR="00A22F0F">
        <w:rPr>
          <w:noProof/>
        </w:rPr>
        <w:instrText xml:space="preserve"> SEQ Wykres \* ARABIC </w:instrText>
      </w:r>
      <w:r w:rsidR="00A22F0F">
        <w:rPr>
          <w:noProof/>
        </w:rPr>
        <w:fldChar w:fldCharType="separate"/>
      </w:r>
      <w:r w:rsidR="004C20B5">
        <w:rPr>
          <w:noProof/>
        </w:rPr>
        <w:t>2</w:t>
      </w:r>
      <w:r w:rsidR="00A22F0F">
        <w:rPr>
          <w:noProof/>
        </w:rPr>
        <w:fldChar w:fldCharType="end"/>
      </w:r>
      <w:r>
        <w:t>. Struktura uczestników zajęć w CIS w województwie opolskim w latach 2017-202</w:t>
      </w:r>
      <w:r w:rsidR="009C2FE2">
        <w:t>2</w:t>
      </w:r>
    </w:p>
    <w:p w14:paraId="4CA0B6B9" w14:textId="51E9568A" w:rsidR="0003733F" w:rsidRDefault="00CC3671" w:rsidP="00B44EE0">
      <w:pPr>
        <w:jc w:val="both"/>
        <w:rPr>
          <w:rFonts w:ascii="Arial" w:hAnsi="Arial" w:cs="Arial"/>
        </w:rPr>
      </w:pPr>
      <w:r>
        <w:rPr>
          <w:rFonts w:ascii="Arial" w:hAnsi="Arial" w:cs="Arial"/>
          <w:noProof/>
          <w:lang w:eastAsia="pl-PL"/>
        </w:rPr>
        <w:drawing>
          <wp:inline distT="0" distB="0" distL="0" distR="0" wp14:anchorId="7E5AA894" wp14:editId="7F897B9D">
            <wp:extent cx="5725277" cy="3260271"/>
            <wp:effectExtent l="0" t="0" r="8890" b="0"/>
            <wp:docPr id="95276865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6941" cy="3278302"/>
                    </a:xfrm>
                    <a:prstGeom prst="rect">
                      <a:avLst/>
                    </a:prstGeom>
                    <a:noFill/>
                  </pic:spPr>
                </pic:pic>
              </a:graphicData>
            </a:graphic>
          </wp:inline>
        </w:drawing>
      </w:r>
    </w:p>
    <w:p w14:paraId="178CFDA8" w14:textId="77777777" w:rsidR="0003733F" w:rsidRDefault="0003733F" w:rsidP="00B44EE0">
      <w:pPr>
        <w:jc w:val="both"/>
        <w:rPr>
          <w:rFonts w:ascii="Arial" w:hAnsi="Arial" w:cs="Arial"/>
        </w:rPr>
      </w:pPr>
    </w:p>
    <w:p w14:paraId="24EFADC3" w14:textId="01CB4633" w:rsidR="009A6248" w:rsidRPr="000F353E" w:rsidRDefault="009C2FE2" w:rsidP="00B44EE0">
      <w:pPr>
        <w:spacing w:line="360" w:lineRule="auto"/>
        <w:jc w:val="both"/>
        <w:rPr>
          <w:rFonts w:cstheme="minorHAnsi"/>
          <w:sz w:val="24"/>
          <w:szCs w:val="24"/>
        </w:rPr>
      </w:pPr>
      <w:r w:rsidRPr="000F353E">
        <w:rPr>
          <w:rFonts w:cstheme="minorHAnsi"/>
          <w:sz w:val="24"/>
          <w:szCs w:val="24"/>
        </w:rPr>
        <w:t xml:space="preserve">Szczegółowa analiza sprawozdań </w:t>
      </w:r>
      <w:r w:rsidR="00C201E1" w:rsidRPr="000F353E">
        <w:rPr>
          <w:rFonts w:cstheme="minorHAnsi"/>
          <w:sz w:val="24"/>
          <w:szCs w:val="24"/>
        </w:rPr>
        <w:t>wskazuj</w:t>
      </w:r>
      <w:r w:rsidRPr="000F353E">
        <w:rPr>
          <w:rFonts w:cstheme="minorHAnsi"/>
          <w:sz w:val="24"/>
          <w:szCs w:val="24"/>
        </w:rPr>
        <w:t>e</w:t>
      </w:r>
      <w:r w:rsidR="00C201E1" w:rsidRPr="000F353E">
        <w:rPr>
          <w:rFonts w:cstheme="minorHAnsi"/>
          <w:sz w:val="24"/>
          <w:szCs w:val="24"/>
        </w:rPr>
        <w:t xml:space="preserve">, że stosunkowo najczęściej wspierane są osoby długotrwale bezrobotne. </w:t>
      </w:r>
      <w:r w:rsidR="00CC3671" w:rsidRPr="000F353E">
        <w:rPr>
          <w:rFonts w:cstheme="minorHAnsi"/>
          <w:sz w:val="24"/>
          <w:szCs w:val="24"/>
        </w:rPr>
        <w:t>W całym badanym  okresie łącznie spośród wszystkich w</w:t>
      </w:r>
      <w:r w:rsidR="00157236" w:rsidRPr="000F353E">
        <w:rPr>
          <w:rFonts w:cstheme="minorHAnsi"/>
          <w:sz w:val="24"/>
          <w:szCs w:val="24"/>
        </w:rPr>
        <w:t>s</w:t>
      </w:r>
      <w:r w:rsidR="00CC3671" w:rsidRPr="000F353E">
        <w:rPr>
          <w:rFonts w:cstheme="minorHAnsi"/>
          <w:sz w:val="24"/>
          <w:szCs w:val="24"/>
        </w:rPr>
        <w:t xml:space="preserve">pieranych grup długotrwale bezrobotni stanowili 44,5%. </w:t>
      </w:r>
      <w:r w:rsidR="00C201E1" w:rsidRPr="000F353E">
        <w:rPr>
          <w:rFonts w:cstheme="minorHAnsi"/>
          <w:sz w:val="24"/>
          <w:szCs w:val="24"/>
        </w:rPr>
        <w:t>Bezrobocie, zwłaszcza przedłużające się</w:t>
      </w:r>
      <w:r w:rsidR="00152E1B" w:rsidRPr="000F353E">
        <w:rPr>
          <w:rFonts w:cstheme="minorHAnsi"/>
          <w:sz w:val="24"/>
          <w:szCs w:val="24"/>
        </w:rPr>
        <w:t>,</w:t>
      </w:r>
      <w:r w:rsidR="00C201E1" w:rsidRPr="000F353E">
        <w:rPr>
          <w:rFonts w:cstheme="minorHAnsi"/>
          <w:sz w:val="24"/>
          <w:szCs w:val="24"/>
        </w:rPr>
        <w:t xml:space="preserve"> związane jest bezpośrednio z negatywnymi następstwami psychologiczno-społecznymi (apatia, rezygnacja, obniżenie wartości, redukcja aspiracji i potrzeb), które mogą prowadzić do wykluczenia z rynku pracy. Warto jednak zaznaczyć, że osoby takie mogą być obejmowane wsparciem przez Publiczne Służby Zatrudnienia, co oznacza możliwość zwielokrotnionego wsparcia np. poprzez programy specjalne dedykowane dla tej grupy bezrobotnych. Pomimo że udział tego typu beneficjentów wśród CIS wykazuje tendencje malejącą, warto </w:t>
      </w:r>
      <w:r w:rsidR="00355490" w:rsidRPr="000F353E">
        <w:rPr>
          <w:rFonts w:cstheme="minorHAnsi"/>
          <w:sz w:val="24"/>
          <w:szCs w:val="24"/>
        </w:rPr>
        <w:t>położyć większy nacisk na wsparcie innych osób, które posiadają cechy wykluczające</w:t>
      </w:r>
      <w:r w:rsidR="00835E31" w:rsidRPr="000F353E">
        <w:rPr>
          <w:rFonts w:cstheme="minorHAnsi"/>
          <w:sz w:val="24"/>
          <w:szCs w:val="24"/>
        </w:rPr>
        <w:t xml:space="preserve">. </w:t>
      </w:r>
      <w:r w:rsidR="009A6248" w:rsidRPr="000F353E">
        <w:rPr>
          <w:rFonts w:cstheme="minorHAnsi"/>
          <w:sz w:val="24"/>
          <w:szCs w:val="24"/>
        </w:rPr>
        <w:t>Grupy klientów znajdujące się w mniejszości to przede wszystkim: osoby uzależnione od narkotyków (0,3%), osoby chore psychicznie (0,7%) a także bezdomni (4,3%) oraz osoby opuszczające zakłady karne (5%).</w:t>
      </w:r>
    </w:p>
    <w:p w14:paraId="1407F6C4" w14:textId="6E50D390" w:rsidR="009A6248" w:rsidRPr="000F353E" w:rsidRDefault="00835E31" w:rsidP="00B44EE0">
      <w:pPr>
        <w:spacing w:line="360" w:lineRule="auto"/>
        <w:jc w:val="both"/>
        <w:rPr>
          <w:rFonts w:cstheme="minorHAnsi"/>
          <w:sz w:val="24"/>
          <w:szCs w:val="24"/>
        </w:rPr>
      </w:pPr>
      <w:r w:rsidRPr="000F353E">
        <w:rPr>
          <w:rFonts w:cstheme="minorHAnsi"/>
          <w:sz w:val="24"/>
          <w:szCs w:val="24"/>
        </w:rPr>
        <w:t>Mając na uwadze dane sprawozdawcze dotyczące bilansu wsparcia w poszczególnych grupach</w:t>
      </w:r>
      <w:r w:rsidR="00152E1B" w:rsidRPr="000F353E">
        <w:rPr>
          <w:rFonts w:cstheme="minorHAnsi"/>
          <w:sz w:val="24"/>
          <w:szCs w:val="24"/>
        </w:rPr>
        <w:t>,</w:t>
      </w:r>
      <w:r w:rsidR="009A6248" w:rsidRPr="000F353E">
        <w:rPr>
          <w:rFonts w:cstheme="minorHAnsi"/>
          <w:sz w:val="24"/>
          <w:szCs w:val="24"/>
        </w:rPr>
        <w:t xml:space="preserve"> </w:t>
      </w:r>
      <w:r w:rsidRPr="000F353E">
        <w:rPr>
          <w:rFonts w:cstheme="minorHAnsi"/>
          <w:sz w:val="24"/>
          <w:szCs w:val="24"/>
        </w:rPr>
        <w:t xml:space="preserve">utworzono wskaźnik odzwierciedlający stopień trudności aktywizacji. Jest to relacja liczby osób kończących program w stosunku do liczby osób rozpoczynających wsparcie. Wskaźnik ten dotyczy całego badanego okresu (2017-2022) i w przybliżeniu określa, które grupy </w:t>
      </w:r>
      <w:r w:rsidR="00152E1B" w:rsidRPr="000F353E">
        <w:rPr>
          <w:rFonts w:cstheme="minorHAnsi"/>
          <w:sz w:val="24"/>
          <w:szCs w:val="24"/>
        </w:rPr>
        <w:t>są najtrudniejsze do aktywizacji</w:t>
      </w:r>
      <w:r w:rsidRPr="000F353E">
        <w:rPr>
          <w:rFonts w:cstheme="minorHAnsi"/>
          <w:sz w:val="24"/>
          <w:szCs w:val="24"/>
        </w:rPr>
        <w:t xml:space="preserve">. U podstaw jego leży założenie, że aktywizacja przebiega </w:t>
      </w:r>
      <w:r w:rsidR="009A6248" w:rsidRPr="000F353E">
        <w:rPr>
          <w:rFonts w:cstheme="minorHAnsi"/>
          <w:sz w:val="24"/>
          <w:szCs w:val="24"/>
        </w:rPr>
        <w:t>sprawnie, gdy liczba rozpoczynających jest co najmniej równa liczbie kończących udział w programie</w:t>
      </w:r>
      <w:r w:rsidR="005B3866" w:rsidRPr="000F353E">
        <w:rPr>
          <w:rStyle w:val="Odwoanieprzypisudolnego"/>
          <w:rFonts w:cstheme="minorHAnsi"/>
          <w:sz w:val="24"/>
          <w:szCs w:val="24"/>
        </w:rPr>
        <w:footnoteReference w:id="7"/>
      </w:r>
      <w:r w:rsidR="009A6248" w:rsidRPr="000F353E">
        <w:rPr>
          <w:rFonts w:cstheme="minorHAnsi"/>
          <w:sz w:val="24"/>
          <w:szCs w:val="24"/>
        </w:rPr>
        <w:t>. Stoi za tym zdolność CIS do utrzymani</w:t>
      </w:r>
      <w:r w:rsidR="009C2FE2" w:rsidRPr="000F353E">
        <w:rPr>
          <w:rFonts w:cstheme="minorHAnsi"/>
          <w:sz w:val="24"/>
          <w:szCs w:val="24"/>
        </w:rPr>
        <w:t>a</w:t>
      </w:r>
      <w:r w:rsidR="009A6248" w:rsidRPr="000F353E">
        <w:rPr>
          <w:rFonts w:cstheme="minorHAnsi"/>
          <w:sz w:val="24"/>
          <w:szCs w:val="24"/>
        </w:rPr>
        <w:t xml:space="preserve"> uwagi i zaangażowania klientów. </w:t>
      </w:r>
      <w:r w:rsidR="00AB07ED" w:rsidRPr="000F353E">
        <w:rPr>
          <w:rFonts w:cstheme="minorHAnsi"/>
          <w:sz w:val="24"/>
          <w:szCs w:val="24"/>
        </w:rPr>
        <w:t>Ogólna wartość tego wskaźnika wynosi 0,68, co w przybliżeniu oznacza, że na 100 klientów objętych wsparciem 68 kończy je.</w:t>
      </w:r>
      <w:r w:rsidR="00F0248A" w:rsidRPr="000F353E">
        <w:rPr>
          <w:rFonts w:cstheme="minorHAnsi"/>
          <w:sz w:val="24"/>
          <w:szCs w:val="24"/>
        </w:rPr>
        <w:t xml:space="preserve"> Im wyższa wartość</w:t>
      </w:r>
      <w:r w:rsidR="00152E1B" w:rsidRPr="000F353E">
        <w:rPr>
          <w:rFonts w:cstheme="minorHAnsi"/>
          <w:sz w:val="24"/>
          <w:szCs w:val="24"/>
        </w:rPr>
        <w:t>,</w:t>
      </w:r>
      <w:r w:rsidR="00F0248A" w:rsidRPr="000F353E">
        <w:rPr>
          <w:rFonts w:cstheme="minorHAnsi"/>
          <w:sz w:val="24"/>
          <w:szCs w:val="24"/>
        </w:rPr>
        <w:t xml:space="preserve"> tym sytuacja jest korzystniejsza.</w:t>
      </w:r>
      <w:r w:rsidR="00AB07ED" w:rsidRPr="000F353E">
        <w:rPr>
          <w:rFonts w:cstheme="minorHAnsi"/>
          <w:sz w:val="24"/>
          <w:szCs w:val="24"/>
        </w:rPr>
        <w:t xml:space="preserve"> </w:t>
      </w:r>
      <w:r w:rsidR="009A6248" w:rsidRPr="000F353E">
        <w:rPr>
          <w:rFonts w:cstheme="minorHAnsi"/>
          <w:sz w:val="24"/>
          <w:szCs w:val="24"/>
        </w:rPr>
        <w:t xml:space="preserve">Wskaźnik ten </w:t>
      </w:r>
      <w:r w:rsidR="00F0248A" w:rsidRPr="000F353E">
        <w:rPr>
          <w:rFonts w:cstheme="minorHAnsi"/>
          <w:sz w:val="24"/>
          <w:szCs w:val="24"/>
        </w:rPr>
        <w:t xml:space="preserve">jednak </w:t>
      </w:r>
      <w:r w:rsidR="009A6248" w:rsidRPr="000F353E">
        <w:rPr>
          <w:rFonts w:cstheme="minorHAnsi"/>
          <w:sz w:val="24"/>
          <w:szCs w:val="24"/>
        </w:rPr>
        <w:t>nie może być intepretowany w kategoriach efektywności, gdyż nie ocenia rezultatu udzielonego wsparcia.</w:t>
      </w:r>
    </w:p>
    <w:p w14:paraId="3C20822A" w14:textId="4FF587DF" w:rsidR="009A6248" w:rsidRPr="000F353E" w:rsidRDefault="00147255" w:rsidP="00B44EE0">
      <w:pPr>
        <w:spacing w:line="360" w:lineRule="auto"/>
        <w:jc w:val="both"/>
        <w:rPr>
          <w:rFonts w:cstheme="minorHAnsi"/>
          <w:sz w:val="24"/>
          <w:szCs w:val="24"/>
        </w:rPr>
      </w:pPr>
      <w:r w:rsidRPr="000F353E">
        <w:rPr>
          <w:rFonts w:cstheme="minorHAnsi"/>
          <w:sz w:val="24"/>
          <w:szCs w:val="24"/>
        </w:rPr>
        <w:t xml:space="preserve">Odwołując się do </w:t>
      </w:r>
      <w:r w:rsidR="005B3866" w:rsidRPr="000F353E">
        <w:rPr>
          <w:rFonts w:cstheme="minorHAnsi"/>
          <w:sz w:val="24"/>
          <w:szCs w:val="24"/>
        </w:rPr>
        <w:t>struktur</w:t>
      </w:r>
      <w:r w:rsidRPr="000F353E">
        <w:rPr>
          <w:rFonts w:cstheme="minorHAnsi"/>
          <w:sz w:val="24"/>
          <w:szCs w:val="24"/>
        </w:rPr>
        <w:t>y</w:t>
      </w:r>
      <w:r w:rsidR="005B3866" w:rsidRPr="000F353E">
        <w:rPr>
          <w:rFonts w:cstheme="minorHAnsi"/>
          <w:sz w:val="24"/>
          <w:szCs w:val="24"/>
        </w:rPr>
        <w:t xml:space="preserve"> uczestników oraz skal</w:t>
      </w:r>
      <w:r w:rsidRPr="000F353E">
        <w:rPr>
          <w:rFonts w:cstheme="minorHAnsi"/>
          <w:sz w:val="24"/>
          <w:szCs w:val="24"/>
        </w:rPr>
        <w:t>i</w:t>
      </w:r>
      <w:r w:rsidR="005B3866" w:rsidRPr="000F353E">
        <w:rPr>
          <w:rFonts w:cstheme="minorHAnsi"/>
          <w:sz w:val="24"/>
          <w:szCs w:val="24"/>
        </w:rPr>
        <w:t xml:space="preserve"> trudności wsparcia</w:t>
      </w:r>
      <w:r w:rsidR="00152E1B" w:rsidRPr="000F353E">
        <w:rPr>
          <w:rFonts w:cstheme="minorHAnsi"/>
          <w:sz w:val="24"/>
          <w:szCs w:val="24"/>
        </w:rPr>
        <w:t>,</w:t>
      </w:r>
      <w:r w:rsidR="005B3866" w:rsidRPr="000F353E">
        <w:rPr>
          <w:rFonts w:cstheme="minorHAnsi"/>
          <w:sz w:val="24"/>
          <w:szCs w:val="24"/>
        </w:rPr>
        <w:t xml:space="preserve"> zauważyć można, że pewne grupy znajdują się w szczególnie niekorzystnym położeniu. Dotyczy to przede wszystkim osób uzależnionych od narkotyków. Stanowili oni raptem 0,3% wszystkich klientów CIS </w:t>
      </w:r>
      <w:r w:rsidR="00C20CE9">
        <w:rPr>
          <w:rFonts w:cstheme="minorHAnsi"/>
          <w:sz w:val="24"/>
          <w:szCs w:val="24"/>
        </w:rPr>
        <w:br/>
      </w:r>
      <w:r w:rsidR="005B3866" w:rsidRPr="000F353E">
        <w:rPr>
          <w:rFonts w:cstheme="minorHAnsi"/>
          <w:sz w:val="24"/>
          <w:szCs w:val="24"/>
        </w:rPr>
        <w:lastRenderedPageBreak/>
        <w:t xml:space="preserve">w okresie 2017-2022, a bilans wskazuje, że jest to grupa najtrudniejsza </w:t>
      </w:r>
      <w:r w:rsidRPr="000F353E">
        <w:rPr>
          <w:rFonts w:cstheme="minorHAnsi"/>
          <w:sz w:val="24"/>
          <w:szCs w:val="24"/>
        </w:rPr>
        <w:t>d</w:t>
      </w:r>
      <w:r w:rsidR="005B3866" w:rsidRPr="000F353E">
        <w:rPr>
          <w:rFonts w:cstheme="minorHAnsi"/>
          <w:sz w:val="24"/>
          <w:szCs w:val="24"/>
        </w:rPr>
        <w:t xml:space="preserve">o </w:t>
      </w:r>
      <w:r w:rsidR="00AB07ED" w:rsidRPr="000F353E">
        <w:rPr>
          <w:rFonts w:cstheme="minorHAnsi"/>
          <w:sz w:val="24"/>
          <w:szCs w:val="24"/>
        </w:rPr>
        <w:t xml:space="preserve">pomocy (0,33). </w:t>
      </w:r>
      <w:r w:rsidR="00C20CE9">
        <w:rPr>
          <w:rFonts w:cstheme="minorHAnsi"/>
          <w:sz w:val="24"/>
          <w:szCs w:val="24"/>
        </w:rPr>
        <w:br/>
      </w:r>
      <w:r w:rsidR="00AB07ED" w:rsidRPr="000F353E">
        <w:rPr>
          <w:rFonts w:cstheme="minorHAnsi"/>
          <w:sz w:val="24"/>
          <w:szCs w:val="24"/>
        </w:rPr>
        <w:t xml:space="preserve">W podobnej sytuacji znajdują się osoby zwalniane z </w:t>
      </w:r>
      <w:r w:rsidR="005B3866" w:rsidRPr="000F353E">
        <w:rPr>
          <w:rFonts w:cstheme="minorHAnsi"/>
          <w:sz w:val="24"/>
          <w:szCs w:val="24"/>
        </w:rPr>
        <w:t xml:space="preserve">zakładów karnych. </w:t>
      </w:r>
      <w:r w:rsidR="00AB07ED" w:rsidRPr="000F353E">
        <w:rPr>
          <w:rFonts w:cstheme="minorHAnsi"/>
          <w:sz w:val="24"/>
          <w:szCs w:val="24"/>
        </w:rPr>
        <w:t xml:space="preserve">W ich przypadku udział grupy sięga 5%, a wskaźnik trudności wsparcia wynosi 0,41. Osoby te mogą stać się priorytetem wsparcia. </w:t>
      </w:r>
    </w:p>
    <w:p w14:paraId="7263261C" w14:textId="1261169C" w:rsidR="005B3866" w:rsidRPr="000F353E" w:rsidRDefault="00CE072C" w:rsidP="00B44EE0">
      <w:pPr>
        <w:spacing w:line="360" w:lineRule="auto"/>
        <w:jc w:val="both"/>
        <w:rPr>
          <w:rFonts w:cstheme="minorHAnsi"/>
          <w:sz w:val="24"/>
          <w:szCs w:val="24"/>
        </w:rPr>
      </w:pPr>
      <w:r w:rsidRPr="000F353E">
        <w:rPr>
          <w:rFonts w:cstheme="minorHAnsi"/>
          <w:sz w:val="24"/>
          <w:szCs w:val="24"/>
        </w:rPr>
        <w:t>Wśród uczestników wyróżnić również można dwie grupy, dla których wskaźnik trudności wsparcia przekracza 1, a jednocześnie ich udział w ogólnej liczbie uczestników również jest marginalny</w:t>
      </w:r>
      <w:r w:rsidR="00F0248A" w:rsidRPr="000F353E">
        <w:rPr>
          <w:rFonts w:cstheme="minorHAnsi"/>
          <w:sz w:val="24"/>
          <w:szCs w:val="24"/>
        </w:rPr>
        <w:t>. Są to osoby chore psychicznie (udział 0,7%, wskaźnik trudności wsparcia 2,25) oraz osoby bezdomne (4,3%; 1,02). Na tę grupę również należałoby zwrócić szczególną uwagę</w:t>
      </w:r>
      <w:r w:rsidR="00152E1B" w:rsidRPr="000F353E">
        <w:rPr>
          <w:rFonts w:cstheme="minorHAnsi"/>
          <w:sz w:val="24"/>
          <w:szCs w:val="24"/>
        </w:rPr>
        <w:t>,</w:t>
      </w:r>
      <w:r w:rsidR="00F0248A" w:rsidRPr="000F353E">
        <w:rPr>
          <w:rFonts w:cstheme="minorHAnsi"/>
          <w:sz w:val="24"/>
          <w:szCs w:val="24"/>
        </w:rPr>
        <w:t xml:space="preserve"> dążąc do zwiększenia liczby uczestników, zwłaszcza w przypadku osób chorych psychicznie. Wsparcie dedykowane dla osób bezdomnych nie może być jednak oderwane od oceny możliwości instytucjonalnych, zwłaszcza w odniesieniu do mieszkań chronionych. Dlatego też nie można kategorycznie dążyć do zwiększenia wsparcia dla tej grupy docelowej bez rozważenia dostępności wymaganej infrastruktury. </w:t>
      </w:r>
    </w:p>
    <w:p w14:paraId="5F211F2E" w14:textId="31AD1226" w:rsidR="00147255" w:rsidRPr="000F353E" w:rsidRDefault="00147255" w:rsidP="00B44EE0">
      <w:pPr>
        <w:spacing w:line="360" w:lineRule="auto"/>
        <w:jc w:val="both"/>
        <w:rPr>
          <w:rFonts w:cstheme="minorHAnsi"/>
          <w:sz w:val="24"/>
          <w:szCs w:val="24"/>
        </w:rPr>
      </w:pPr>
      <w:r w:rsidRPr="000F353E">
        <w:rPr>
          <w:rFonts w:cstheme="minorHAnsi"/>
          <w:sz w:val="24"/>
          <w:szCs w:val="24"/>
        </w:rPr>
        <w:t xml:space="preserve">Osobną grupą beneficjentów są klienci z niepełnosprawnościami. Ich udział jest już wyższy niż w przypadku wcześniejszych grup i sięga 11,8%, co </w:t>
      </w:r>
      <w:r w:rsidR="00351A29" w:rsidRPr="000F353E">
        <w:rPr>
          <w:rFonts w:cstheme="minorHAnsi"/>
          <w:sz w:val="24"/>
          <w:szCs w:val="24"/>
        </w:rPr>
        <w:t xml:space="preserve">i tak </w:t>
      </w:r>
      <w:r w:rsidR="00152E1B" w:rsidRPr="000F353E">
        <w:rPr>
          <w:rFonts w:cstheme="minorHAnsi"/>
          <w:sz w:val="24"/>
          <w:szCs w:val="24"/>
        </w:rPr>
        <w:t xml:space="preserve">jest </w:t>
      </w:r>
      <w:r w:rsidRPr="000F353E">
        <w:rPr>
          <w:rFonts w:cstheme="minorHAnsi"/>
          <w:sz w:val="24"/>
          <w:szCs w:val="24"/>
        </w:rPr>
        <w:t>wartością niewielką</w:t>
      </w:r>
      <w:r w:rsidR="00351A29" w:rsidRPr="000F353E">
        <w:rPr>
          <w:rFonts w:cstheme="minorHAnsi"/>
          <w:sz w:val="24"/>
          <w:szCs w:val="24"/>
        </w:rPr>
        <w:t>.</w:t>
      </w:r>
      <w:r w:rsidRPr="000F353E">
        <w:rPr>
          <w:rFonts w:cstheme="minorHAnsi"/>
          <w:sz w:val="24"/>
          <w:szCs w:val="24"/>
        </w:rPr>
        <w:t xml:space="preserve"> </w:t>
      </w:r>
      <w:r w:rsidR="00351A29" w:rsidRPr="000F353E">
        <w:rPr>
          <w:rFonts w:cstheme="minorHAnsi"/>
          <w:sz w:val="24"/>
          <w:szCs w:val="24"/>
        </w:rPr>
        <w:t>D</w:t>
      </w:r>
      <w:r w:rsidRPr="000F353E">
        <w:rPr>
          <w:rFonts w:cstheme="minorHAnsi"/>
          <w:sz w:val="24"/>
          <w:szCs w:val="24"/>
        </w:rPr>
        <w:t xml:space="preserve">ane wskazują, że pomoc tym osobom na tle innych grup docelowych jest względnie łatwiejsza. Wskaźnik trudności wsparcia jest wyższy od wartości przeciętnej i wynosi 0,82. Pomimo tego grupę tę należałoby szczególnie aktywizować z racji silnego wpływu niepełnosprawności na bierność zawodową.  </w:t>
      </w:r>
    </w:p>
    <w:p w14:paraId="02F2A860" w14:textId="63FBC4A4" w:rsidR="002650C7" w:rsidRPr="000F353E" w:rsidRDefault="00147255" w:rsidP="00B44EE0">
      <w:pPr>
        <w:spacing w:line="360" w:lineRule="auto"/>
        <w:jc w:val="both"/>
        <w:rPr>
          <w:rFonts w:cstheme="minorHAnsi"/>
          <w:sz w:val="24"/>
          <w:szCs w:val="24"/>
        </w:rPr>
      </w:pPr>
      <w:r w:rsidRPr="000F353E">
        <w:rPr>
          <w:rFonts w:cstheme="minorHAnsi"/>
          <w:sz w:val="24"/>
          <w:szCs w:val="24"/>
        </w:rPr>
        <w:t>Szczególną grupą są również osoby uzależnione od alkoholu, których udział jest drugi co do wielkości i wynosi 18%</w:t>
      </w:r>
      <w:r w:rsidR="00366BED" w:rsidRPr="000F353E">
        <w:rPr>
          <w:rFonts w:cstheme="minorHAnsi"/>
          <w:sz w:val="24"/>
          <w:szCs w:val="24"/>
        </w:rPr>
        <w:t xml:space="preserve">, a </w:t>
      </w:r>
      <w:r w:rsidR="00351A29" w:rsidRPr="000F353E">
        <w:rPr>
          <w:rFonts w:cstheme="minorHAnsi"/>
          <w:sz w:val="24"/>
          <w:szCs w:val="24"/>
        </w:rPr>
        <w:t xml:space="preserve">równocześnie </w:t>
      </w:r>
      <w:r w:rsidR="00366BED" w:rsidRPr="000F353E">
        <w:rPr>
          <w:rFonts w:cstheme="minorHAnsi"/>
          <w:sz w:val="24"/>
          <w:szCs w:val="24"/>
        </w:rPr>
        <w:t xml:space="preserve">widać relatywnie dużą trudność w aktywizacji – w ich przypadku wskaźnik </w:t>
      </w:r>
      <w:r w:rsidR="00351A29" w:rsidRPr="000F353E">
        <w:rPr>
          <w:rFonts w:cstheme="minorHAnsi"/>
          <w:sz w:val="24"/>
          <w:szCs w:val="24"/>
        </w:rPr>
        <w:t xml:space="preserve">trudności wsparcia </w:t>
      </w:r>
      <w:r w:rsidR="00366BED" w:rsidRPr="000F353E">
        <w:rPr>
          <w:rFonts w:cstheme="minorHAnsi"/>
          <w:sz w:val="24"/>
          <w:szCs w:val="24"/>
        </w:rPr>
        <w:t>wynosi 0,45, co zapewne związane jest z częstą rezygnacją klientów z udziału w programach integracyjnych. Sugeruje się zatem wsparcie takich osób, mając na uwadze nie tyle zwiększenie ich udziału w ogólnej populacji, co położenie akcentu na kompleksowość wsparcia. Wymagać to prawdopodobnie będzie rozwoju infrastruktury, w tym posiadania adekwatnego personelu w liczbie zapewniającej sprawne działanie</w:t>
      </w:r>
      <w:r w:rsidR="00351A29" w:rsidRPr="000F353E">
        <w:rPr>
          <w:rFonts w:cstheme="minorHAnsi"/>
          <w:sz w:val="24"/>
          <w:szCs w:val="24"/>
        </w:rPr>
        <w:t xml:space="preserve">. Uwaga ta w równym stopniu dotyczy </w:t>
      </w:r>
      <w:r w:rsidR="00366BED" w:rsidRPr="000F353E">
        <w:rPr>
          <w:rFonts w:cstheme="minorHAnsi"/>
          <w:sz w:val="24"/>
          <w:szCs w:val="24"/>
        </w:rPr>
        <w:t>osób uzależnionych od narkotyków.</w:t>
      </w:r>
    </w:p>
    <w:p w14:paraId="4A21B915" w14:textId="77777777" w:rsidR="002650C7" w:rsidRPr="002650C7" w:rsidRDefault="002650C7" w:rsidP="00B44EE0">
      <w:pPr>
        <w:spacing w:line="360" w:lineRule="auto"/>
        <w:jc w:val="both"/>
        <w:rPr>
          <w:rFonts w:ascii="Arial" w:hAnsi="Arial" w:cs="Arial"/>
          <w:sz w:val="24"/>
          <w:szCs w:val="24"/>
        </w:rPr>
      </w:pPr>
    </w:p>
    <w:p w14:paraId="78AA7A4A" w14:textId="2CA33571" w:rsidR="009A6248" w:rsidRDefault="009A6248" w:rsidP="00B44EE0">
      <w:pPr>
        <w:pStyle w:val="Legenda"/>
        <w:jc w:val="both"/>
        <w:rPr>
          <w:rFonts w:ascii="Arial" w:hAnsi="Arial" w:cs="Arial"/>
        </w:rPr>
      </w:pPr>
      <w:r>
        <w:t xml:space="preserve">Tabela </w:t>
      </w:r>
      <w:r w:rsidR="00A22F0F">
        <w:rPr>
          <w:noProof/>
        </w:rPr>
        <w:fldChar w:fldCharType="begin"/>
      </w:r>
      <w:r w:rsidR="00A22F0F">
        <w:rPr>
          <w:noProof/>
        </w:rPr>
        <w:instrText xml:space="preserve"> SEQ Tabela \* ARABIC </w:instrText>
      </w:r>
      <w:r w:rsidR="00A22F0F">
        <w:rPr>
          <w:noProof/>
        </w:rPr>
        <w:fldChar w:fldCharType="separate"/>
      </w:r>
      <w:r w:rsidR="004C20B5">
        <w:rPr>
          <w:noProof/>
        </w:rPr>
        <w:t>3</w:t>
      </w:r>
      <w:r w:rsidR="00A22F0F">
        <w:rPr>
          <w:noProof/>
        </w:rPr>
        <w:fldChar w:fldCharType="end"/>
      </w:r>
      <w:r>
        <w:t>. Wskaźnik trudności wsparcia klientów CIS</w:t>
      </w: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8"/>
        <w:gridCol w:w="1988"/>
        <w:gridCol w:w="1988"/>
      </w:tblGrid>
      <w:tr w:rsidR="009A6248" w:rsidRPr="00351A29" w14:paraId="7D71150A" w14:textId="77777777" w:rsidTr="00AC5A30">
        <w:trPr>
          <w:trHeight w:val="312"/>
        </w:trPr>
        <w:tc>
          <w:tcPr>
            <w:tcW w:w="5108" w:type="dxa"/>
            <w:noWrap/>
            <w:vAlign w:val="center"/>
            <w:hideMark/>
          </w:tcPr>
          <w:p w14:paraId="6B70D4A1" w14:textId="77777777" w:rsidR="009A6248" w:rsidRPr="00351A29" w:rsidRDefault="009A6248" w:rsidP="00B44EE0">
            <w:pPr>
              <w:spacing w:after="0" w:line="240" w:lineRule="auto"/>
              <w:jc w:val="both"/>
              <w:rPr>
                <w:rFonts w:ascii="Arial" w:eastAsia="Times New Roman" w:hAnsi="Arial" w:cs="Arial"/>
                <w:b/>
                <w:bCs/>
                <w:color w:val="000000"/>
                <w:kern w:val="0"/>
                <w:sz w:val="20"/>
                <w:szCs w:val="20"/>
                <w:lang w:eastAsia="pl-PL"/>
                <w14:ligatures w14:val="none"/>
              </w:rPr>
            </w:pPr>
            <w:r w:rsidRPr="00351A29">
              <w:rPr>
                <w:rFonts w:ascii="Arial" w:eastAsia="Times New Roman" w:hAnsi="Arial" w:cs="Arial"/>
                <w:b/>
                <w:bCs/>
                <w:color w:val="000000"/>
                <w:kern w:val="0"/>
                <w:sz w:val="20"/>
                <w:szCs w:val="20"/>
                <w:lang w:eastAsia="pl-PL"/>
                <w14:ligatures w14:val="none"/>
              </w:rPr>
              <w:t>Grupa wsparcia</w:t>
            </w:r>
          </w:p>
        </w:tc>
        <w:tc>
          <w:tcPr>
            <w:tcW w:w="1988" w:type="dxa"/>
            <w:noWrap/>
            <w:vAlign w:val="center"/>
            <w:hideMark/>
          </w:tcPr>
          <w:p w14:paraId="629A0392" w14:textId="4F134C6C" w:rsidR="009A6248" w:rsidRPr="00351A29" w:rsidRDefault="009A6248" w:rsidP="00B44EE0">
            <w:pPr>
              <w:spacing w:after="0" w:line="240" w:lineRule="auto"/>
              <w:jc w:val="both"/>
              <w:rPr>
                <w:rFonts w:ascii="Arial" w:eastAsia="Times New Roman" w:hAnsi="Arial" w:cs="Arial"/>
                <w:b/>
                <w:bCs/>
                <w:color w:val="000000"/>
                <w:kern w:val="0"/>
                <w:sz w:val="20"/>
                <w:szCs w:val="20"/>
                <w:lang w:eastAsia="pl-PL"/>
                <w14:ligatures w14:val="none"/>
              </w:rPr>
            </w:pPr>
            <w:r w:rsidRPr="00351A29">
              <w:rPr>
                <w:rFonts w:ascii="Arial" w:eastAsia="Times New Roman" w:hAnsi="Arial" w:cs="Arial"/>
                <w:b/>
                <w:bCs/>
                <w:color w:val="000000"/>
                <w:kern w:val="0"/>
                <w:sz w:val="20"/>
                <w:szCs w:val="20"/>
                <w:lang w:eastAsia="pl-PL"/>
                <w14:ligatures w14:val="none"/>
              </w:rPr>
              <w:t>% udział grupy</w:t>
            </w:r>
          </w:p>
        </w:tc>
        <w:tc>
          <w:tcPr>
            <w:tcW w:w="1988" w:type="dxa"/>
            <w:noWrap/>
            <w:vAlign w:val="center"/>
            <w:hideMark/>
          </w:tcPr>
          <w:p w14:paraId="4987E536" w14:textId="756B29AF" w:rsidR="009A6248" w:rsidRPr="00351A29" w:rsidRDefault="00351A29" w:rsidP="00B44EE0">
            <w:pPr>
              <w:spacing w:after="0" w:line="240" w:lineRule="auto"/>
              <w:jc w:val="both"/>
              <w:rPr>
                <w:rFonts w:ascii="Arial" w:eastAsia="Times New Roman" w:hAnsi="Arial" w:cs="Arial"/>
                <w:b/>
                <w:bCs/>
                <w:color w:val="000000"/>
                <w:kern w:val="0"/>
                <w:sz w:val="20"/>
                <w:szCs w:val="20"/>
                <w:lang w:eastAsia="pl-PL"/>
                <w14:ligatures w14:val="none"/>
              </w:rPr>
            </w:pPr>
            <w:r>
              <w:rPr>
                <w:rFonts w:ascii="Arial" w:eastAsia="Times New Roman" w:hAnsi="Arial" w:cs="Arial"/>
                <w:b/>
                <w:bCs/>
                <w:color w:val="000000"/>
                <w:kern w:val="0"/>
                <w:sz w:val="20"/>
                <w:szCs w:val="20"/>
                <w:lang w:eastAsia="pl-PL"/>
                <w14:ligatures w14:val="none"/>
              </w:rPr>
              <w:t>Wskaźnik trudności wsparcia</w:t>
            </w:r>
          </w:p>
        </w:tc>
      </w:tr>
      <w:tr w:rsidR="009A6248" w:rsidRPr="00D15EB9" w14:paraId="5B8135ED" w14:textId="77777777" w:rsidTr="00AC5A30">
        <w:trPr>
          <w:trHeight w:val="312"/>
        </w:trPr>
        <w:tc>
          <w:tcPr>
            <w:tcW w:w="5108" w:type="dxa"/>
            <w:noWrap/>
            <w:vAlign w:val="bottom"/>
            <w:hideMark/>
          </w:tcPr>
          <w:p w14:paraId="76412B52"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lastRenderedPageBreak/>
              <w:t>Uchodźcy</w:t>
            </w:r>
          </w:p>
        </w:tc>
        <w:tc>
          <w:tcPr>
            <w:tcW w:w="1988" w:type="dxa"/>
            <w:noWrap/>
            <w:vAlign w:val="bottom"/>
            <w:hideMark/>
          </w:tcPr>
          <w:p w14:paraId="3D27F162"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0,0</w:t>
            </w:r>
          </w:p>
        </w:tc>
        <w:tc>
          <w:tcPr>
            <w:tcW w:w="1988" w:type="dxa"/>
            <w:noWrap/>
            <w:vAlign w:val="bottom"/>
            <w:hideMark/>
          </w:tcPr>
          <w:p w14:paraId="40641B89" w14:textId="214EA81E" w:rsidR="009A6248" w:rsidRPr="00D15EB9" w:rsidRDefault="005B3866"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w:t>
            </w:r>
          </w:p>
        </w:tc>
      </w:tr>
      <w:tr w:rsidR="009A6248" w:rsidRPr="00D15EB9" w14:paraId="27777D55" w14:textId="77777777" w:rsidTr="00AC5A30">
        <w:trPr>
          <w:trHeight w:val="312"/>
        </w:trPr>
        <w:tc>
          <w:tcPr>
            <w:tcW w:w="5108" w:type="dxa"/>
            <w:noWrap/>
            <w:vAlign w:val="bottom"/>
            <w:hideMark/>
          </w:tcPr>
          <w:p w14:paraId="06FEB92A"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Uzależnieni od narkotyków</w:t>
            </w:r>
          </w:p>
        </w:tc>
        <w:tc>
          <w:tcPr>
            <w:tcW w:w="1988" w:type="dxa"/>
            <w:noWrap/>
            <w:vAlign w:val="bottom"/>
            <w:hideMark/>
          </w:tcPr>
          <w:p w14:paraId="75124198"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0,3</w:t>
            </w:r>
          </w:p>
        </w:tc>
        <w:tc>
          <w:tcPr>
            <w:tcW w:w="1988" w:type="dxa"/>
            <w:noWrap/>
            <w:vAlign w:val="bottom"/>
            <w:hideMark/>
          </w:tcPr>
          <w:p w14:paraId="586B4D0B"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0,33</w:t>
            </w:r>
          </w:p>
        </w:tc>
      </w:tr>
      <w:tr w:rsidR="009A6248" w:rsidRPr="00D15EB9" w14:paraId="0DEE898D" w14:textId="77777777" w:rsidTr="00AC5A30">
        <w:trPr>
          <w:trHeight w:val="312"/>
        </w:trPr>
        <w:tc>
          <w:tcPr>
            <w:tcW w:w="5108" w:type="dxa"/>
            <w:noWrap/>
            <w:vAlign w:val="bottom"/>
            <w:hideMark/>
          </w:tcPr>
          <w:p w14:paraId="2E0FF3A8"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Osoby chore psychicznie</w:t>
            </w:r>
          </w:p>
        </w:tc>
        <w:tc>
          <w:tcPr>
            <w:tcW w:w="1988" w:type="dxa"/>
            <w:noWrap/>
            <w:vAlign w:val="bottom"/>
            <w:hideMark/>
          </w:tcPr>
          <w:p w14:paraId="35033C57"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0,7</w:t>
            </w:r>
          </w:p>
        </w:tc>
        <w:tc>
          <w:tcPr>
            <w:tcW w:w="1988" w:type="dxa"/>
            <w:noWrap/>
            <w:vAlign w:val="bottom"/>
            <w:hideMark/>
          </w:tcPr>
          <w:p w14:paraId="582E93F2"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2,25</w:t>
            </w:r>
          </w:p>
        </w:tc>
      </w:tr>
      <w:tr w:rsidR="009A6248" w:rsidRPr="00D15EB9" w14:paraId="304E2EE2" w14:textId="77777777" w:rsidTr="00AC5A30">
        <w:trPr>
          <w:trHeight w:val="312"/>
        </w:trPr>
        <w:tc>
          <w:tcPr>
            <w:tcW w:w="5108" w:type="dxa"/>
            <w:noWrap/>
            <w:vAlign w:val="bottom"/>
            <w:hideMark/>
          </w:tcPr>
          <w:p w14:paraId="131FA983"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 xml:space="preserve">Bezdomne </w:t>
            </w:r>
          </w:p>
        </w:tc>
        <w:tc>
          <w:tcPr>
            <w:tcW w:w="1988" w:type="dxa"/>
            <w:noWrap/>
            <w:vAlign w:val="bottom"/>
            <w:hideMark/>
          </w:tcPr>
          <w:p w14:paraId="40B6BE69"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4,3</w:t>
            </w:r>
          </w:p>
        </w:tc>
        <w:tc>
          <w:tcPr>
            <w:tcW w:w="1988" w:type="dxa"/>
            <w:noWrap/>
            <w:vAlign w:val="bottom"/>
            <w:hideMark/>
          </w:tcPr>
          <w:p w14:paraId="3DB3A859"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1,02</w:t>
            </w:r>
          </w:p>
        </w:tc>
      </w:tr>
      <w:tr w:rsidR="009A6248" w:rsidRPr="00D15EB9" w14:paraId="0E618CDE" w14:textId="77777777" w:rsidTr="00AC5A30">
        <w:trPr>
          <w:trHeight w:val="312"/>
        </w:trPr>
        <w:tc>
          <w:tcPr>
            <w:tcW w:w="5108" w:type="dxa"/>
            <w:noWrap/>
            <w:vAlign w:val="bottom"/>
            <w:hideMark/>
          </w:tcPr>
          <w:p w14:paraId="426951B1"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Osoby zwolnione z zakładów karnych</w:t>
            </w:r>
          </w:p>
        </w:tc>
        <w:tc>
          <w:tcPr>
            <w:tcW w:w="1988" w:type="dxa"/>
            <w:noWrap/>
            <w:vAlign w:val="bottom"/>
            <w:hideMark/>
          </w:tcPr>
          <w:p w14:paraId="5D6FD8FA"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5,0</w:t>
            </w:r>
          </w:p>
        </w:tc>
        <w:tc>
          <w:tcPr>
            <w:tcW w:w="1988" w:type="dxa"/>
            <w:noWrap/>
            <w:vAlign w:val="bottom"/>
            <w:hideMark/>
          </w:tcPr>
          <w:p w14:paraId="26E3DB51"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0,41</w:t>
            </w:r>
          </w:p>
        </w:tc>
      </w:tr>
      <w:tr w:rsidR="009A6248" w:rsidRPr="00D15EB9" w14:paraId="5CEDE92A" w14:textId="77777777" w:rsidTr="00AC5A30">
        <w:trPr>
          <w:trHeight w:val="312"/>
        </w:trPr>
        <w:tc>
          <w:tcPr>
            <w:tcW w:w="5108" w:type="dxa"/>
            <w:noWrap/>
            <w:vAlign w:val="bottom"/>
            <w:hideMark/>
          </w:tcPr>
          <w:p w14:paraId="4F65DD57"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Niepełnosprawni</w:t>
            </w:r>
          </w:p>
        </w:tc>
        <w:tc>
          <w:tcPr>
            <w:tcW w:w="1988" w:type="dxa"/>
            <w:noWrap/>
            <w:vAlign w:val="bottom"/>
            <w:hideMark/>
          </w:tcPr>
          <w:p w14:paraId="11E93165"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11,8</w:t>
            </w:r>
          </w:p>
        </w:tc>
        <w:tc>
          <w:tcPr>
            <w:tcW w:w="1988" w:type="dxa"/>
            <w:noWrap/>
            <w:vAlign w:val="bottom"/>
            <w:hideMark/>
          </w:tcPr>
          <w:p w14:paraId="3A189A8D"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0,82</w:t>
            </w:r>
          </w:p>
        </w:tc>
      </w:tr>
      <w:tr w:rsidR="009A6248" w:rsidRPr="00D15EB9" w14:paraId="0A488993" w14:textId="77777777" w:rsidTr="00AC5A30">
        <w:trPr>
          <w:trHeight w:val="312"/>
        </w:trPr>
        <w:tc>
          <w:tcPr>
            <w:tcW w:w="5108" w:type="dxa"/>
            <w:noWrap/>
            <w:vAlign w:val="bottom"/>
            <w:hideMark/>
          </w:tcPr>
          <w:p w14:paraId="2E16D736"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Inni</w:t>
            </w:r>
          </w:p>
        </w:tc>
        <w:tc>
          <w:tcPr>
            <w:tcW w:w="1988" w:type="dxa"/>
            <w:noWrap/>
            <w:vAlign w:val="bottom"/>
            <w:hideMark/>
          </w:tcPr>
          <w:p w14:paraId="3D4AFC1F"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15,6</w:t>
            </w:r>
          </w:p>
        </w:tc>
        <w:tc>
          <w:tcPr>
            <w:tcW w:w="1988" w:type="dxa"/>
            <w:noWrap/>
            <w:vAlign w:val="bottom"/>
            <w:hideMark/>
          </w:tcPr>
          <w:p w14:paraId="00B7125F"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0,76</w:t>
            </w:r>
          </w:p>
        </w:tc>
      </w:tr>
      <w:tr w:rsidR="009A6248" w:rsidRPr="00D15EB9" w14:paraId="269C2C41" w14:textId="77777777" w:rsidTr="00AC5A30">
        <w:trPr>
          <w:trHeight w:val="312"/>
        </w:trPr>
        <w:tc>
          <w:tcPr>
            <w:tcW w:w="5108" w:type="dxa"/>
            <w:noWrap/>
            <w:vAlign w:val="bottom"/>
            <w:hideMark/>
          </w:tcPr>
          <w:p w14:paraId="1BD295B0"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Uzależnieni od alkoholu</w:t>
            </w:r>
          </w:p>
        </w:tc>
        <w:tc>
          <w:tcPr>
            <w:tcW w:w="1988" w:type="dxa"/>
            <w:noWrap/>
            <w:vAlign w:val="bottom"/>
            <w:hideMark/>
          </w:tcPr>
          <w:p w14:paraId="78C53246"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18,0</w:t>
            </w:r>
          </w:p>
        </w:tc>
        <w:tc>
          <w:tcPr>
            <w:tcW w:w="1988" w:type="dxa"/>
            <w:noWrap/>
            <w:vAlign w:val="bottom"/>
            <w:hideMark/>
          </w:tcPr>
          <w:p w14:paraId="4026ABDE"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0,45</w:t>
            </w:r>
          </w:p>
        </w:tc>
      </w:tr>
      <w:tr w:rsidR="009A6248" w:rsidRPr="00D15EB9" w14:paraId="343E4DE1" w14:textId="77777777" w:rsidTr="00AC5A30">
        <w:trPr>
          <w:trHeight w:val="312"/>
        </w:trPr>
        <w:tc>
          <w:tcPr>
            <w:tcW w:w="5108" w:type="dxa"/>
            <w:noWrap/>
            <w:vAlign w:val="bottom"/>
            <w:hideMark/>
          </w:tcPr>
          <w:p w14:paraId="505A93D4"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Długotrwale bezrobotni</w:t>
            </w:r>
          </w:p>
        </w:tc>
        <w:tc>
          <w:tcPr>
            <w:tcW w:w="1988" w:type="dxa"/>
            <w:noWrap/>
            <w:vAlign w:val="bottom"/>
            <w:hideMark/>
          </w:tcPr>
          <w:p w14:paraId="3DE5FA2B"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44,5</w:t>
            </w:r>
          </w:p>
        </w:tc>
        <w:tc>
          <w:tcPr>
            <w:tcW w:w="1988" w:type="dxa"/>
            <w:noWrap/>
            <w:vAlign w:val="bottom"/>
            <w:hideMark/>
          </w:tcPr>
          <w:p w14:paraId="3ABB0868"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0,73</w:t>
            </w:r>
          </w:p>
        </w:tc>
      </w:tr>
      <w:tr w:rsidR="009A6248" w:rsidRPr="00D15EB9" w14:paraId="2A2D728A" w14:textId="77777777" w:rsidTr="00AC5A30">
        <w:trPr>
          <w:trHeight w:val="312"/>
        </w:trPr>
        <w:tc>
          <w:tcPr>
            <w:tcW w:w="5108" w:type="dxa"/>
            <w:noWrap/>
            <w:vAlign w:val="bottom"/>
            <w:hideMark/>
          </w:tcPr>
          <w:p w14:paraId="553E913F"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Ogółem</w:t>
            </w:r>
          </w:p>
        </w:tc>
        <w:tc>
          <w:tcPr>
            <w:tcW w:w="1988" w:type="dxa"/>
            <w:noWrap/>
            <w:vAlign w:val="bottom"/>
            <w:hideMark/>
          </w:tcPr>
          <w:p w14:paraId="5C56F5ED"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100</w:t>
            </w:r>
          </w:p>
        </w:tc>
        <w:tc>
          <w:tcPr>
            <w:tcW w:w="1988" w:type="dxa"/>
            <w:noWrap/>
            <w:vAlign w:val="bottom"/>
            <w:hideMark/>
          </w:tcPr>
          <w:p w14:paraId="0F256F59" w14:textId="77777777" w:rsidR="009A6248" w:rsidRPr="00D15EB9" w:rsidRDefault="009A6248" w:rsidP="00B44EE0">
            <w:pPr>
              <w:spacing w:after="0" w:line="240" w:lineRule="auto"/>
              <w:jc w:val="both"/>
              <w:rPr>
                <w:rFonts w:eastAsia="Times New Roman" w:cstheme="minorHAnsi"/>
                <w:kern w:val="0"/>
                <w:sz w:val="24"/>
                <w:szCs w:val="24"/>
                <w:lang w:eastAsia="pl-PL"/>
                <w14:ligatures w14:val="none"/>
              </w:rPr>
            </w:pPr>
            <w:r w:rsidRPr="00D15EB9">
              <w:rPr>
                <w:rFonts w:eastAsia="Times New Roman" w:cstheme="minorHAnsi"/>
                <w:kern w:val="0"/>
                <w:sz w:val="24"/>
                <w:szCs w:val="24"/>
                <w:lang w:eastAsia="pl-PL"/>
                <w14:ligatures w14:val="none"/>
              </w:rPr>
              <w:t>0,68</w:t>
            </w:r>
          </w:p>
        </w:tc>
      </w:tr>
    </w:tbl>
    <w:p w14:paraId="4194E251" w14:textId="77777777" w:rsidR="00351A29" w:rsidRDefault="00351A29" w:rsidP="00B44EE0">
      <w:pPr>
        <w:pStyle w:val="Bezodstpw"/>
        <w:jc w:val="both"/>
        <w:rPr>
          <w:rFonts w:ascii="Arial" w:hAnsi="Arial" w:cs="Arial"/>
          <w:sz w:val="16"/>
          <w:szCs w:val="16"/>
        </w:rPr>
      </w:pPr>
    </w:p>
    <w:p w14:paraId="6D4EB2B5" w14:textId="13FCAA24" w:rsidR="00351A29" w:rsidRDefault="00351A29" w:rsidP="00B44EE0">
      <w:pPr>
        <w:pStyle w:val="Bezodstpw"/>
        <w:jc w:val="both"/>
        <w:rPr>
          <w:rFonts w:ascii="Arial" w:hAnsi="Arial" w:cs="Arial"/>
          <w:sz w:val="16"/>
          <w:szCs w:val="16"/>
        </w:rPr>
      </w:pPr>
      <w:r w:rsidRPr="009C2FE2">
        <w:rPr>
          <w:rFonts w:ascii="Arial" w:hAnsi="Arial" w:cs="Arial"/>
          <w:sz w:val="16"/>
          <w:szCs w:val="16"/>
        </w:rPr>
        <w:t xml:space="preserve">Źródło: opracowanie własne na podstawie </w:t>
      </w:r>
      <w:r>
        <w:rPr>
          <w:rFonts w:ascii="Arial" w:hAnsi="Arial" w:cs="Arial"/>
          <w:sz w:val="16"/>
          <w:szCs w:val="16"/>
        </w:rPr>
        <w:t>sprawozdań z działalności CIS</w:t>
      </w:r>
      <w:r w:rsidRPr="009C2FE2">
        <w:rPr>
          <w:rFonts w:ascii="Arial" w:hAnsi="Arial" w:cs="Arial"/>
          <w:sz w:val="16"/>
          <w:szCs w:val="16"/>
        </w:rPr>
        <w:t xml:space="preserve"> </w:t>
      </w:r>
    </w:p>
    <w:p w14:paraId="470F9E08" w14:textId="77777777" w:rsidR="00070389" w:rsidRPr="009C2FE2" w:rsidRDefault="00070389" w:rsidP="00B44EE0">
      <w:pPr>
        <w:pStyle w:val="Bezodstpw"/>
        <w:jc w:val="both"/>
        <w:rPr>
          <w:rFonts w:ascii="Arial" w:hAnsi="Arial" w:cs="Arial"/>
          <w:sz w:val="16"/>
          <w:szCs w:val="16"/>
        </w:rPr>
      </w:pPr>
    </w:p>
    <w:p w14:paraId="7037EE8A" w14:textId="14F854CB" w:rsidR="004B17F2" w:rsidRPr="00D15EB9" w:rsidRDefault="00366BED" w:rsidP="00B44EE0">
      <w:pPr>
        <w:spacing w:line="360" w:lineRule="auto"/>
        <w:jc w:val="both"/>
        <w:rPr>
          <w:rFonts w:cstheme="minorHAnsi"/>
          <w:sz w:val="24"/>
          <w:szCs w:val="24"/>
        </w:rPr>
      </w:pPr>
      <w:r w:rsidRPr="00D15EB9">
        <w:rPr>
          <w:rFonts w:cstheme="minorHAnsi"/>
          <w:sz w:val="24"/>
          <w:szCs w:val="24"/>
        </w:rPr>
        <w:t>Osoby długotrwale bezrobotne, jak wskazywano wyżej</w:t>
      </w:r>
      <w:r w:rsidR="005529C0" w:rsidRPr="00D15EB9">
        <w:rPr>
          <w:rFonts w:cstheme="minorHAnsi"/>
          <w:sz w:val="24"/>
          <w:szCs w:val="24"/>
        </w:rPr>
        <w:t>,</w:t>
      </w:r>
      <w:r w:rsidRPr="00D15EB9">
        <w:rPr>
          <w:rFonts w:cstheme="minorHAnsi"/>
          <w:sz w:val="24"/>
          <w:szCs w:val="24"/>
        </w:rPr>
        <w:t xml:space="preserve"> są główną grupą docelową i widać, że ich wsparcie nie nastręcza aż tak dużych trudności. Wskaźnik ilustrujący </w:t>
      </w:r>
      <w:r w:rsidR="00A6306A" w:rsidRPr="00D15EB9">
        <w:rPr>
          <w:rFonts w:cstheme="minorHAnsi"/>
          <w:sz w:val="24"/>
          <w:szCs w:val="24"/>
        </w:rPr>
        <w:t>to zjawisko jest ponadprzeciętny i wynosi 0,73. W związku z tym oraz możliwościami wsparcia tej grupy w</w:t>
      </w:r>
      <w:r w:rsidR="00AC5A30" w:rsidRPr="00D15EB9">
        <w:rPr>
          <w:rFonts w:cstheme="minorHAnsi"/>
          <w:sz w:val="24"/>
          <w:szCs w:val="24"/>
        </w:rPr>
        <w:t> </w:t>
      </w:r>
      <w:r w:rsidR="00A6306A" w:rsidRPr="00D15EB9">
        <w:rPr>
          <w:rFonts w:cstheme="minorHAnsi"/>
          <w:sz w:val="24"/>
          <w:szCs w:val="24"/>
        </w:rPr>
        <w:t>ramach działalności PSZ sugeruje się koncentrację na innych grupach docelowych.</w:t>
      </w:r>
      <w:r w:rsidR="00157236" w:rsidRPr="00D15EB9">
        <w:rPr>
          <w:rFonts w:cstheme="minorHAnsi"/>
          <w:sz w:val="24"/>
          <w:szCs w:val="24"/>
        </w:rPr>
        <w:t xml:space="preserve"> </w:t>
      </w:r>
    </w:p>
    <w:p w14:paraId="2645DFC9" w14:textId="00EB58B8" w:rsidR="004B17F2" w:rsidRPr="00D15EB9" w:rsidRDefault="00687F70" w:rsidP="00B44EE0">
      <w:pPr>
        <w:spacing w:line="360" w:lineRule="auto"/>
        <w:jc w:val="both"/>
        <w:rPr>
          <w:rFonts w:cstheme="minorHAnsi"/>
          <w:sz w:val="24"/>
          <w:szCs w:val="24"/>
        </w:rPr>
      </w:pPr>
      <w:r w:rsidRPr="00D15EB9">
        <w:rPr>
          <w:rFonts w:cstheme="minorHAnsi"/>
          <w:sz w:val="24"/>
          <w:szCs w:val="24"/>
        </w:rPr>
        <w:t>Grupy wskazane w sprawozdaniu nie tworzą zamkniętej listy cech wykluczających</w:t>
      </w:r>
      <w:r w:rsidR="005529C0" w:rsidRPr="00D15EB9">
        <w:rPr>
          <w:rFonts w:cstheme="minorHAnsi"/>
          <w:sz w:val="24"/>
          <w:szCs w:val="24"/>
        </w:rPr>
        <w:t>,</w:t>
      </w:r>
      <w:r w:rsidRPr="00D15EB9">
        <w:rPr>
          <w:rFonts w:cstheme="minorHAnsi"/>
          <w:sz w:val="24"/>
          <w:szCs w:val="24"/>
        </w:rPr>
        <w:t xml:space="preserve"> od posiadania której zależy udzielenie wsparcia. Warunkiem jest niebezpieczeństwo popadnięcia w wykluczenie społeczne, które niejednokrotnie związane jest z biernością zawodową. Aktywność CIS wskazuje, że podmioty te coraz częściej udzielają wsparcia osobom</w:t>
      </w:r>
      <w:r w:rsidR="004B17F2" w:rsidRPr="00D15EB9">
        <w:rPr>
          <w:rFonts w:cstheme="minorHAnsi"/>
          <w:sz w:val="24"/>
          <w:szCs w:val="24"/>
        </w:rPr>
        <w:t xml:space="preserve"> spoza katalogu sprawozdawczego. Zbiorczo ujęte są one w grupę „inni”.  Analiza danych wskazuje, że liczba i udział tej grupy beneficjentów wykazuje systematyczną tendencję wzrostową, od 2,9% w 2017 roku do 27% w 2022. Przeciętnie w okresie 2017-2022 udział tej grupy sięga 15,6%, co oznacza objęcie wsparciem łącznie 119 osób. Wskazuje to na „wrażliwość” CIS na złożoność problemu wykluczenia społecznego, które związane jest z współwystępowaniem wielu czynników. Mając na uwadze otwarty katalog osób, które mogą skorzystać z usług i</w:t>
      </w:r>
      <w:r w:rsidR="00AC5A30" w:rsidRPr="00D15EB9">
        <w:rPr>
          <w:rFonts w:cstheme="minorHAnsi"/>
          <w:sz w:val="24"/>
          <w:szCs w:val="24"/>
        </w:rPr>
        <w:t> </w:t>
      </w:r>
      <w:r w:rsidR="004B17F2" w:rsidRPr="00D15EB9">
        <w:rPr>
          <w:rFonts w:cstheme="minorHAnsi"/>
          <w:sz w:val="24"/>
          <w:szCs w:val="24"/>
        </w:rPr>
        <w:t>instrumentów integracyjnych CIS oraz biorąc pod uwagę wyniki analiz jej klientów oraz problemu biernoś</w:t>
      </w:r>
      <w:r w:rsidR="005529C0" w:rsidRPr="00D15EB9">
        <w:rPr>
          <w:rFonts w:cstheme="minorHAnsi"/>
          <w:sz w:val="24"/>
          <w:szCs w:val="24"/>
        </w:rPr>
        <w:t>ci</w:t>
      </w:r>
      <w:r w:rsidR="004B17F2" w:rsidRPr="00D15EB9">
        <w:rPr>
          <w:rFonts w:cstheme="minorHAnsi"/>
          <w:sz w:val="24"/>
          <w:szCs w:val="24"/>
        </w:rPr>
        <w:t xml:space="preserve"> zawodowej rozpatrywanej w raporcie OECD, sugerować można większą koncentrację wsparcia na specyficznych grupach docelowych</w:t>
      </w:r>
      <w:r w:rsidR="002E14A6" w:rsidRPr="00D15EB9">
        <w:rPr>
          <w:rFonts w:cstheme="minorHAnsi"/>
          <w:sz w:val="24"/>
          <w:szCs w:val="24"/>
        </w:rPr>
        <w:t xml:space="preserve"> w</w:t>
      </w:r>
      <w:r w:rsidR="004B17F2" w:rsidRPr="00D15EB9">
        <w:rPr>
          <w:rFonts w:eastAsia="Times New Roman" w:cstheme="minorHAnsi"/>
          <w:color w:val="000000"/>
          <w:kern w:val="0"/>
          <w:sz w:val="24"/>
          <w:szCs w:val="24"/>
          <w:lang w:eastAsia="pl-PL"/>
          <w14:ligatures w14:val="none"/>
        </w:rPr>
        <w:t xml:space="preserve"> ramach działania 6.2</w:t>
      </w:r>
      <w:r w:rsidR="002E14A6" w:rsidRPr="00D15EB9">
        <w:rPr>
          <w:rFonts w:eastAsia="Times New Roman" w:cstheme="minorHAnsi"/>
          <w:color w:val="000000"/>
          <w:kern w:val="0"/>
          <w:sz w:val="24"/>
          <w:szCs w:val="24"/>
          <w:lang w:eastAsia="pl-PL"/>
          <w14:ligatures w14:val="none"/>
        </w:rPr>
        <w:t xml:space="preserve">, skutkiem czego </w:t>
      </w:r>
      <w:r w:rsidR="004B17F2" w:rsidRPr="00D15EB9">
        <w:rPr>
          <w:rFonts w:eastAsia="Times New Roman" w:cstheme="minorHAnsi"/>
          <w:color w:val="000000"/>
          <w:kern w:val="0"/>
          <w:sz w:val="24"/>
          <w:szCs w:val="24"/>
          <w:lang w:eastAsia="pl-PL"/>
          <w14:ligatures w14:val="none"/>
        </w:rPr>
        <w:t xml:space="preserve"> </w:t>
      </w:r>
      <w:r w:rsidR="002E14A6" w:rsidRPr="00D15EB9">
        <w:rPr>
          <w:rFonts w:eastAsia="Times New Roman" w:cstheme="minorHAnsi"/>
          <w:color w:val="000000"/>
          <w:kern w:val="0"/>
          <w:sz w:val="24"/>
          <w:szCs w:val="24"/>
          <w:lang w:eastAsia="pl-PL"/>
          <w14:ligatures w14:val="none"/>
        </w:rPr>
        <w:t xml:space="preserve">powinno być </w:t>
      </w:r>
      <w:r w:rsidR="004B17F2" w:rsidRPr="00D15EB9">
        <w:rPr>
          <w:rFonts w:eastAsia="Times New Roman" w:cstheme="minorHAnsi"/>
          <w:color w:val="000000"/>
          <w:kern w:val="0"/>
          <w:sz w:val="24"/>
          <w:szCs w:val="24"/>
          <w:lang w:eastAsia="pl-PL"/>
          <w14:ligatures w14:val="none"/>
        </w:rPr>
        <w:t>zapobiegani</w:t>
      </w:r>
      <w:r w:rsidR="002E14A6" w:rsidRPr="00D15EB9">
        <w:rPr>
          <w:rFonts w:eastAsia="Times New Roman" w:cstheme="minorHAnsi"/>
          <w:color w:val="000000"/>
          <w:kern w:val="0"/>
          <w:sz w:val="24"/>
          <w:szCs w:val="24"/>
          <w:lang w:eastAsia="pl-PL"/>
          <w14:ligatures w14:val="none"/>
        </w:rPr>
        <w:t>e</w:t>
      </w:r>
      <w:r w:rsidR="004B17F2" w:rsidRPr="00D15EB9">
        <w:rPr>
          <w:rFonts w:eastAsia="Times New Roman" w:cstheme="minorHAnsi"/>
          <w:color w:val="000000"/>
          <w:kern w:val="0"/>
          <w:sz w:val="24"/>
          <w:szCs w:val="24"/>
          <w:lang w:eastAsia="pl-PL"/>
          <w14:ligatures w14:val="none"/>
        </w:rPr>
        <w:t xml:space="preserve"> wykluczeniu społecznemu. Są to w szczególności:</w:t>
      </w:r>
    </w:p>
    <w:p w14:paraId="44001C76" w14:textId="23175456" w:rsidR="002E14A6" w:rsidRPr="00D15EB9" w:rsidRDefault="004B17F2" w:rsidP="00B44EE0">
      <w:pPr>
        <w:pStyle w:val="Akapitzlist"/>
        <w:numPr>
          <w:ilvl w:val="0"/>
          <w:numId w:val="3"/>
        </w:numPr>
        <w:spacing w:line="36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osoby niepełnosprawne,</w:t>
      </w:r>
    </w:p>
    <w:p w14:paraId="30BB4062" w14:textId="1AA1C971" w:rsidR="002E14A6" w:rsidRPr="00D15EB9" w:rsidRDefault="002E14A6" w:rsidP="00B44EE0">
      <w:pPr>
        <w:pStyle w:val="Akapitzlist"/>
        <w:numPr>
          <w:ilvl w:val="0"/>
          <w:numId w:val="3"/>
        </w:numPr>
        <w:spacing w:line="36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osoby opiekujące się osobami zależnymi (zwłaszcza kobiety)</w:t>
      </w:r>
    </w:p>
    <w:p w14:paraId="14D972CF" w14:textId="454F8B59" w:rsidR="002E14A6" w:rsidRPr="00D15EB9" w:rsidRDefault="004B17F2" w:rsidP="00B44EE0">
      <w:pPr>
        <w:pStyle w:val="Akapitzlist"/>
        <w:numPr>
          <w:ilvl w:val="0"/>
          <w:numId w:val="3"/>
        </w:numPr>
        <w:spacing w:line="36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osoby z grupy NEET (w wieku do 30 lata nieuczące się, ani niekontynuują</w:t>
      </w:r>
      <w:r w:rsidR="002E14A6" w:rsidRPr="00D15EB9">
        <w:rPr>
          <w:rFonts w:eastAsia="Times New Roman" w:cstheme="minorHAnsi"/>
          <w:color w:val="000000"/>
          <w:kern w:val="0"/>
          <w:sz w:val="24"/>
          <w:szCs w:val="24"/>
          <w:lang w:eastAsia="pl-PL"/>
          <w14:ligatures w14:val="none"/>
        </w:rPr>
        <w:t>ce</w:t>
      </w:r>
      <w:r w:rsidRPr="00D15EB9">
        <w:rPr>
          <w:rFonts w:eastAsia="Times New Roman" w:cstheme="minorHAnsi"/>
          <w:color w:val="000000"/>
          <w:kern w:val="0"/>
          <w:sz w:val="24"/>
          <w:szCs w:val="24"/>
          <w:lang w:eastAsia="pl-PL"/>
          <w14:ligatures w14:val="none"/>
        </w:rPr>
        <w:t xml:space="preserve"> nauki), </w:t>
      </w:r>
    </w:p>
    <w:p w14:paraId="4DA82242" w14:textId="3AFC541F" w:rsidR="002E14A6" w:rsidRPr="00D15EB9" w:rsidRDefault="004B17F2" w:rsidP="00B44EE0">
      <w:pPr>
        <w:pStyle w:val="Akapitzlist"/>
        <w:numPr>
          <w:ilvl w:val="0"/>
          <w:numId w:val="3"/>
        </w:numPr>
        <w:spacing w:line="36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osoby o najniższym wykształceniu</w:t>
      </w:r>
      <w:r w:rsidR="00C72237" w:rsidRPr="00D15EB9">
        <w:rPr>
          <w:rFonts w:eastAsia="Times New Roman" w:cstheme="minorHAnsi"/>
          <w:color w:val="000000"/>
          <w:kern w:val="0"/>
          <w:sz w:val="24"/>
          <w:szCs w:val="24"/>
          <w:lang w:eastAsia="pl-PL"/>
          <w14:ligatures w14:val="none"/>
        </w:rPr>
        <w:t xml:space="preserve"> (poziom ISCED 0-2)</w:t>
      </w:r>
      <w:r w:rsidRPr="00D15EB9">
        <w:rPr>
          <w:rFonts w:eastAsia="Times New Roman" w:cstheme="minorHAnsi"/>
          <w:color w:val="000000"/>
          <w:kern w:val="0"/>
          <w:sz w:val="24"/>
          <w:szCs w:val="24"/>
          <w:lang w:eastAsia="pl-PL"/>
          <w14:ligatures w14:val="none"/>
        </w:rPr>
        <w:t xml:space="preserve">,  </w:t>
      </w:r>
    </w:p>
    <w:p w14:paraId="4A855F81" w14:textId="77777777" w:rsidR="002E14A6" w:rsidRPr="00D15EB9" w:rsidRDefault="004B17F2" w:rsidP="00B44EE0">
      <w:pPr>
        <w:pStyle w:val="Akapitzlist"/>
        <w:numPr>
          <w:ilvl w:val="0"/>
          <w:numId w:val="3"/>
        </w:numPr>
        <w:spacing w:line="36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lastRenderedPageBreak/>
        <w:t xml:space="preserve">osoby opuszczające zakłady karne, </w:t>
      </w:r>
    </w:p>
    <w:p w14:paraId="1608C944" w14:textId="77777777" w:rsidR="002E14A6" w:rsidRPr="00D15EB9" w:rsidRDefault="004B17F2" w:rsidP="00B44EE0">
      <w:pPr>
        <w:pStyle w:val="Akapitzlist"/>
        <w:numPr>
          <w:ilvl w:val="0"/>
          <w:numId w:val="3"/>
        </w:numPr>
        <w:spacing w:line="36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 xml:space="preserve">uzależnieni od środków psychoaktywnych zwłaszcza od narkotyków. </w:t>
      </w:r>
    </w:p>
    <w:p w14:paraId="742D364A" w14:textId="77777777" w:rsidR="002E14A6" w:rsidRPr="00D15EB9" w:rsidRDefault="002E14A6" w:rsidP="00B44EE0">
      <w:pPr>
        <w:pStyle w:val="Akapitzlist"/>
        <w:spacing w:line="360" w:lineRule="auto"/>
        <w:jc w:val="both"/>
        <w:rPr>
          <w:rFonts w:eastAsia="Times New Roman" w:cstheme="minorHAnsi"/>
          <w:color w:val="000000"/>
          <w:kern w:val="0"/>
          <w:sz w:val="24"/>
          <w:szCs w:val="24"/>
          <w:lang w:eastAsia="pl-PL"/>
          <w14:ligatures w14:val="none"/>
        </w:rPr>
      </w:pPr>
    </w:p>
    <w:p w14:paraId="33A7E3C9" w14:textId="5D3CEB13" w:rsidR="002E14A6" w:rsidRPr="00D15EB9" w:rsidRDefault="004B17F2" w:rsidP="00B44EE0">
      <w:pPr>
        <w:spacing w:line="36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Dodatkowo należałoby zwrócić uwagę na</w:t>
      </w:r>
    </w:p>
    <w:p w14:paraId="2284B04B" w14:textId="415E99E2" w:rsidR="002E14A6" w:rsidRPr="00D15EB9" w:rsidRDefault="004B17F2" w:rsidP="00B44EE0">
      <w:pPr>
        <w:pStyle w:val="Akapitzlist"/>
        <w:numPr>
          <w:ilvl w:val="0"/>
          <w:numId w:val="4"/>
        </w:numPr>
        <w:spacing w:line="36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 xml:space="preserve">cudzoziemców, </w:t>
      </w:r>
    </w:p>
    <w:p w14:paraId="4F82BD60" w14:textId="4BEF01FC" w:rsidR="00F81DD7" w:rsidRPr="00D15EB9" w:rsidRDefault="004B17F2" w:rsidP="00B44EE0">
      <w:pPr>
        <w:spacing w:after="240" w:line="36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których w Polsce znacząco przybyło w związku z agresją Rosji na Ukrainę. W województwie opolskim w połowie listopada</w:t>
      </w:r>
      <w:r w:rsidR="002E14A6" w:rsidRPr="00D15EB9">
        <w:rPr>
          <w:rFonts w:eastAsia="Times New Roman" w:cstheme="minorHAnsi"/>
          <w:color w:val="000000"/>
          <w:kern w:val="0"/>
          <w:sz w:val="24"/>
          <w:szCs w:val="24"/>
          <w:lang w:eastAsia="pl-PL"/>
          <w14:ligatures w14:val="none"/>
        </w:rPr>
        <w:t xml:space="preserve"> 2023 </w:t>
      </w:r>
      <w:r w:rsidRPr="00D15EB9">
        <w:rPr>
          <w:rFonts w:eastAsia="Times New Roman" w:cstheme="minorHAnsi"/>
          <w:color w:val="000000"/>
          <w:kern w:val="0"/>
          <w:sz w:val="24"/>
          <w:szCs w:val="24"/>
          <w:lang w:eastAsia="pl-PL"/>
          <w14:ligatures w14:val="none"/>
        </w:rPr>
        <w:t>przebywało ponad 21 tysięcy takich osób</w:t>
      </w:r>
      <w:r w:rsidR="00AA71D7" w:rsidRPr="00D15EB9">
        <w:rPr>
          <w:rStyle w:val="Odwoanieprzypisudolnego"/>
          <w:rFonts w:eastAsia="Times New Roman" w:cstheme="minorHAnsi"/>
          <w:color w:val="000000"/>
          <w:kern w:val="0"/>
          <w:sz w:val="24"/>
          <w:szCs w:val="24"/>
          <w:lang w:eastAsia="pl-PL"/>
          <w14:ligatures w14:val="none"/>
        </w:rPr>
        <w:footnoteReference w:id="8"/>
      </w:r>
      <w:r w:rsidRPr="00D15EB9">
        <w:rPr>
          <w:rFonts w:eastAsia="Times New Roman" w:cstheme="minorHAnsi"/>
          <w:color w:val="000000"/>
          <w:kern w:val="0"/>
          <w:sz w:val="24"/>
          <w:szCs w:val="24"/>
          <w:lang w:eastAsia="pl-PL"/>
          <w14:ligatures w14:val="none"/>
        </w:rPr>
        <w:t xml:space="preserve">. Część z nich znajduje się w wielokrotnie niekorzystnej sytuacji </w:t>
      </w:r>
      <w:r w:rsidR="00AA71D7" w:rsidRPr="00D15EB9">
        <w:rPr>
          <w:rFonts w:eastAsia="Times New Roman" w:cstheme="minorHAnsi"/>
          <w:color w:val="000000"/>
          <w:kern w:val="0"/>
          <w:sz w:val="24"/>
          <w:szCs w:val="24"/>
          <w:lang w:eastAsia="pl-PL"/>
          <w14:ligatures w14:val="none"/>
        </w:rPr>
        <w:t xml:space="preserve">zwłaszcza </w:t>
      </w:r>
      <w:r w:rsidRPr="00D15EB9">
        <w:rPr>
          <w:rFonts w:eastAsia="Times New Roman" w:cstheme="minorHAnsi"/>
          <w:color w:val="000000"/>
          <w:kern w:val="0"/>
          <w:sz w:val="24"/>
          <w:szCs w:val="24"/>
          <w:lang w:eastAsia="pl-PL"/>
          <w14:ligatures w14:val="none"/>
        </w:rPr>
        <w:t>z racji</w:t>
      </w:r>
      <w:r w:rsidR="00AA71D7" w:rsidRPr="00D15EB9">
        <w:rPr>
          <w:rFonts w:eastAsia="Times New Roman" w:cstheme="minorHAnsi"/>
          <w:color w:val="000000"/>
          <w:kern w:val="0"/>
          <w:sz w:val="24"/>
          <w:szCs w:val="24"/>
          <w:lang w:eastAsia="pl-PL"/>
          <w14:ligatures w14:val="none"/>
        </w:rPr>
        <w:t xml:space="preserve"> starszego </w:t>
      </w:r>
      <w:r w:rsidRPr="00D15EB9">
        <w:rPr>
          <w:rFonts w:eastAsia="Times New Roman" w:cstheme="minorHAnsi"/>
          <w:color w:val="000000"/>
          <w:kern w:val="0"/>
          <w:sz w:val="24"/>
          <w:szCs w:val="24"/>
          <w:lang w:eastAsia="pl-PL"/>
          <w14:ligatures w14:val="none"/>
        </w:rPr>
        <w:t>wieku, słabszego wykształcenia, czy też braku możliwości zapewnienia opieki nad osobami zależnymi</w:t>
      </w:r>
      <w:r w:rsidR="00AA71D7" w:rsidRPr="00D15EB9">
        <w:rPr>
          <w:rFonts w:eastAsia="Times New Roman" w:cstheme="minorHAnsi"/>
          <w:color w:val="000000"/>
          <w:kern w:val="0"/>
          <w:sz w:val="24"/>
          <w:szCs w:val="24"/>
          <w:lang w:eastAsia="pl-PL"/>
          <w14:ligatures w14:val="none"/>
        </w:rPr>
        <w:t>. Zaznaczyć przy tym należy, że widoczny w powyższej analizie bilansu klientów CIS brak koncentracji na uchodźcach, nie może być rozpatrywany w kontekście obecności obywateli Ukrainy przebywających w Polsce w związku z konfliktem zbrojnym w ich kraju. Ustawa regulująca ich legalność i warunki pobytu</w:t>
      </w:r>
      <w:r w:rsidR="00AA71D7" w:rsidRPr="00D15EB9">
        <w:rPr>
          <w:rStyle w:val="Odwoanieprzypisudolnego"/>
          <w:rFonts w:eastAsia="Times New Roman" w:cstheme="minorHAnsi"/>
          <w:color w:val="000000"/>
          <w:kern w:val="0"/>
          <w:sz w:val="24"/>
          <w:szCs w:val="24"/>
          <w:lang w:eastAsia="pl-PL"/>
          <w14:ligatures w14:val="none"/>
        </w:rPr>
        <w:footnoteReference w:id="9"/>
      </w:r>
      <w:r w:rsidR="00AA71D7" w:rsidRPr="00D15EB9">
        <w:rPr>
          <w:rFonts w:eastAsia="Times New Roman" w:cstheme="minorHAnsi"/>
          <w:color w:val="000000"/>
          <w:kern w:val="0"/>
          <w:sz w:val="24"/>
          <w:szCs w:val="24"/>
          <w:lang w:eastAsia="pl-PL"/>
          <w14:ligatures w14:val="none"/>
        </w:rPr>
        <w:t xml:space="preserve"> nie może być bezpośrednio odnoszona do prawnego pojęcia uchodźcy</w:t>
      </w:r>
      <w:r w:rsidR="00A34794" w:rsidRPr="00D15EB9">
        <w:rPr>
          <w:rStyle w:val="Odwoanieprzypisudolnego"/>
          <w:rFonts w:eastAsia="Times New Roman" w:cstheme="minorHAnsi"/>
          <w:color w:val="000000"/>
          <w:kern w:val="0"/>
          <w:sz w:val="24"/>
          <w:szCs w:val="24"/>
          <w:lang w:eastAsia="pl-PL"/>
          <w14:ligatures w14:val="none"/>
        </w:rPr>
        <w:footnoteReference w:id="10"/>
      </w:r>
      <w:r w:rsidR="00F81DD7" w:rsidRPr="00D15EB9">
        <w:rPr>
          <w:rFonts w:eastAsia="Times New Roman" w:cstheme="minorHAnsi"/>
          <w:color w:val="000000"/>
          <w:kern w:val="0"/>
          <w:sz w:val="24"/>
          <w:szCs w:val="24"/>
          <w:lang w:eastAsia="pl-PL"/>
          <w14:ligatures w14:val="none"/>
        </w:rPr>
        <w:t>.</w:t>
      </w:r>
    </w:p>
    <w:p w14:paraId="5E5344D0" w14:textId="2AE7C6F0" w:rsidR="00F81DD7" w:rsidRPr="00D15EB9" w:rsidRDefault="002E14A6" w:rsidP="00B44EE0">
      <w:pPr>
        <w:spacing w:line="360" w:lineRule="auto"/>
        <w:jc w:val="both"/>
        <w:rPr>
          <w:rFonts w:eastAsia="Times New Roman" w:cstheme="minorHAnsi"/>
          <w:color w:val="000000"/>
          <w:kern w:val="0"/>
          <w:sz w:val="24"/>
          <w:szCs w:val="24"/>
          <w:lang w:eastAsia="pl-PL"/>
          <w14:ligatures w14:val="none"/>
        </w:rPr>
      </w:pPr>
      <w:r w:rsidRPr="00D15EB9">
        <w:rPr>
          <w:rFonts w:eastAsia="Times New Roman" w:cstheme="minorHAnsi"/>
          <w:color w:val="000000"/>
          <w:kern w:val="0"/>
          <w:sz w:val="24"/>
          <w:szCs w:val="24"/>
          <w:lang w:eastAsia="pl-PL"/>
          <w14:ligatures w14:val="none"/>
        </w:rPr>
        <w:t>Rozpatrując kryteria doboru klientów CIS</w:t>
      </w:r>
      <w:r w:rsidR="005529C0" w:rsidRPr="00D15EB9">
        <w:rPr>
          <w:rFonts w:eastAsia="Times New Roman" w:cstheme="minorHAnsi"/>
          <w:color w:val="000000"/>
          <w:kern w:val="0"/>
          <w:sz w:val="24"/>
          <w:szCs w:val="24"/>
          <w:lang w:eastAsia="pl-PL"/>
          <w14:ligatures w14:val="none"/>
        </w:rPr>
        <w:t>,</w:t>
      </w:r>
      <w:r w:rsidRPr="00D15EB9">
        <w:rPr>
          <w:rFonts w:eastAsia="Times New Roman" w:cstheme="minorHAnsi"/>
          <w:color w:val="000000"/>
          <w:kern w:val="0"/>
          <w:sz w:val="24"/>
          <w:szCs w:val="24"/>
          <w:lang w:eastAsia="pl-PL"/>
          <w14:ligatures w14:val="none"/>
        </w:rPr>
        <w:t xml:space="preserve"> sugeruje się przy tym wzięcie pod uwagę sytuacji, </w:t>
      </w:r>
      <w:r w:rsidR="00B44EE0">
        <w:rPr>
          <w:rFonts w:eastAsia="Times New Roman" w:cstheme="minorHAnsi"/>
          <w:color w:val="000000"/>
          <w:kern w:val="0"/>
          <w:sz w:val="24"/>
          <w:szCs w:val="24"/>
          <w:lang w:eastAsia="pl-PL"/>
          <w14:ligatures w14:val="none"/>
        </w:rPr>
        <w:br/>
      </w:r>
      <w:r w:rsidRPr="00D15EB9">
        <w:rPr>
          <w:rFonts w:eastAsia="Times New Roman" w:cstheme="minorHAnsi"/>
          <w:color w:val="000000"/>
          <w:kern w:val="0"/>
          <w:sz w:val="24"/>
          <w:szCs w:val="24"/>
          <w:lang w:eastAsia="pl-PL"/>
          <w14:ligatures w14:val="none"/>
        </w:rPr>
        <w:t>w której następuje kumulacja cech</w:t>
      </w:r>
      <w:r w:rsidR="005529C0" w:rsidRPr="00D15EB9">
        <w:rPr>
          <w:rFonts w:eastAsia="Times New Roman" w:cstheme="minorHAnsi"/>
          <w:color w:val="000000"/>
          <w:kern w:val="0"/>
          <w:sz w:val="24"/>
          <w:szCs w:val="24"/>
          <w:lang w:eastAsia="pl-PL"/>
          <w14:ligatures w14:val="none"/>
        </w:rPr>
        <w:t xml:space="preserve"> stwarzających</w:t>
      </w:r>
      <w:r w:rsidRPr="00D15EB9">
        <w:rPr>
          <w:rFonts w:eastAsia="Times New Roman" w:cstheme="minorHAnsi"/>
          <w:color w:val="000000"/>
          <w:kern w:val="0"/>
          <w:sz w:val="24"/>
          <w:szCs w:val="24"/>
          <w:lang w:eastAsia="pl-PL"/>
          <w14:ligatures w14:val="none"/>
        </w:rPr>
        <w:t xml:space="preserve"> ryzyko wykluczenia społecznego</w:t>
      </w:r>
      <w:r w:rsidR="00A34794" w:rsidRPr="00D15EB9">
        <w:rPr>
          <w:rFonts w:eastAsia="Times New Roman" w:cstheme="minorHAnsi"/>
          <w:color w:val="000000"/>
          <w:kern w:val="0"/>
          <w:sz w:val="24"/>
          <w:szCs w:val="24"/>
          <w:lang w:eastAsia="pl-PL"/>
          <w14:ligatures w14:val="none"/>
        </w:rPr>
        <w:t>.</w:t>
      </w:r>
    </w:p>
    <w:bookmarkEnd w:id="0"/>
    <w:p w14:paraId="439A8038" w14:textId="77777777" w:rsidR="002E14A6" w:rsidRDefault="002E14A6" w:rsidP="00B44EE0">
      <w:pPr>
        <w:spacing w:line="240" w:lineRule="auto"/>
        <w:jc w:val="both"/>
        <w:rPr>
          <w:rFonts w:ascii="Arial" w:eastAsia="Times New Roman" w:hAnsi="Arial" w:cs="Arial"/>
          <w:color w:val="000000"/>
          <w:kern w:val="0"/>
          <w:lang w:eastAsia="pl-PL"/>
          <w14:ligatures w14:val="none"/>
        </w:rPr>
      </w:pPr>
    </w:p>
    <w:sectPr w:rsidR="002E14A6" w:rsidSect="00702EC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DBE80" w14:textId="77777777" w:rsidR="007E5AA0" w:rsidRDefault="007E5AA0" w:rsidP="00C77E1A">
      <w:pPr>
        <w:spacing w:after="0" w:line="240" w:lineRule="auto"/>
      </w:pPr>
      <w:r>
        <w:separator/>
      </w:r>
    </w:p>
  </w:endnote>
  <w:endnote w:type="continuationSeparator" w:id="0">
    <w:p w14:paraId="72F8E723" w14:textId="77777777" w:rsidR="007E5AA0" w:rsidRDefault="007E5AA0" w:rsidP="00C7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A15F" w14:textId="77777777" w:rsidR="00E73E96" w:rsidRDefault="00E73E9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112514"/>
      <w:docPartObj>
        <w:docPartGallery w:val="Page Numbers (Bottom of Page)"/>
        <w:docPartUnique/>
      </w:docPartObj>
    </w:sdtPr>
    <w:sdtEndPr/>
    <w:sdtContent>
      <w:p w14:paraId="55A62EEE" w14:textId="40CA77B5" w:rsidR="00C20CE9" w:rsidRDefault="00C20CE9">
        <w:pPr>
          <w:pStyle w:val="Stopka"/>
          <w:jc w:val="center"/>
        </w:pPr>
        <w:r>
          <w:fldChar w:fldCharType="begin"/>
        </w:r>
        <w:r>
          <w:instrText>PAGE   \* MERGEFORMAT</w:instrText>
        </w:r>
        <w:r>
          <w:fldChar w:fldCharType="separate"/>
        </w:r>
        <w:r w:rsidR="00CA4B58">
          <w:rPr>
            <w:noProof/>
          </w:rPr>
          <w:t>11</w:t>
        </w:r>
        <w:r>
          <w:fldChar w:fldCharType="end"/>
        </w:r>
      </w:p>
    </w:sdtContent>
  </w:sdt>
  <w:p w14:paraId="62EB9472" w14:textId="77777777" w:rsidR="00FB0255" w:rsidRDefault="00FB025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A5F62" w14:textId="77777777" w:rsidR="00E73E96" w:rsidRDefault="00E73E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EA37E" w14:textId="77777777" w:rsidR="007E5AA0" w:rsidRDefault="007E5AA0" w:rsidP="00C77E1A">
      <w:pPr>
        <w:spacing w:after="0" w:line="240" w:lineRule="auto"/>
      </w:pPr>
      <w:r>
        <w:separator/>
      </w:r>
    </w:p>
  </w:footnote>
  <w:footnote w:type="continuationSeparator" w:id="0">
    <w:p w14:paraId="49C84D3E" w14:textId="77777777" w:rsidR="007E5AA0" w:rsidRDefault="007E5AA0" w:rsidP="00C77E1A">
      <w:pPr>
        <w:spacing w:after="0" w:line="240" w:lineRule="auto"/>
      </w:pPr>
      <w:r>
        <w:continuationSeparator/>
      </w:r>
    </w:p>
  </w:footnote>
  <w:footnote w:id="1">
    <w:p w14:paraId="3AD7342B" w14:textId="0E649287" w:rsidR="000436AE" w:rsidRPr="00C20CE9" w:rsidRDefault="000436AE">
      <w:pPr>
        <w:pStyle w:val="Tekstprzypisudolnego"/>
        <w:rPr>
          <w:rFonts w:ascii="Calibri" w:hAnsi="Calibri" w:cs="Calibri"/>
          <w:sz w:val="24"/>
          <w:szCs w:val="24"/>
        </w:rPr>
      </w:pPr>
      <w:r w:rsidRPr="00C20CE9">
        <w:rPr>
          <w:rStyle w:val="Odwoanieprzypisudolnego"/>
          <w:rFonts w:ascii="Calibri" w:hAnsi="Calibri" w:cs="Calibri"/>
          <w:sz w:val="24"/>
          <w:szCs w:val="24"/>
        </w:rPr>
        <w:footnoteRef/>
      </w:r>
      <w:r w:rsidRPr="00C20CE9">
        <w:rPr>
          <w:rFonts w:ascii="Calibri" w:hAnsi="Calibri" w:cs="Calibri"/>
          <w:sz w:val="24"/>
          <w:szCs w:val="24"/>
        </w:rPr>
        <w:t xml:space="preserve"> Niewiadomska A., Analiza zjawiska bierności zawodowej w Polsce, Nauki Społeczne, 2013, 2(8)</w:t>
      </w:r>
    </w:p>
  </w:footnote>
  <w:footnote w:id="2">
    <w:p w14:paraId="34C46859" w14:textId="3279F480" w:rsidR="000436AE" w:rsidRPr="00C20CE9" w:rsidRDefault="000436AE">
      <w:pPr>
        <w:pStyle w:val="Tekstprzypisudolnego"/>
        <w:rPr>
          <w:rFonts w:ascii="Calibri" w:hAnsi="Calibri" w:cs="Calibri"/>
          <w:sz w:val="24"/>
          <w:szCs w:val="24"/>
        </w:rPr>
      </w:pPr>
      <w:r w:rsidRPr="00C20CE9">
        <w:rPr>
          <w:rStyle w:val="Odwoanieprzypisudolnego"/>
          <w:rFonts w:ascii="Calibri" w:hAnsi="Calibri" w:cs="Calibri"/>
          <w:sz w:val="24"/>
          <w:szCs w:val="24"/>
        </w:rPr>
        <w:footnoteRef/>
      </w:r>
      <w:r w:rsidRPr="00C20CE9">
        <w:rPr>
          <w:rFonts w:ascii="Calibri" w:hAnsi="Calibri" w:cs="Calibri"/>
          <w:sz w:val="24"/>
          <w:szCs w:val="24"/>
        </w:rPr>
        <w:t xml:space="preserve"> Radziukiewicz M., Diagnoza przyczyn bierności zawodowej Polaków, Studia Ekonomiczne </w:t>
      </w:r>
      <w:r w:rsidR="00C20CE9">
        <w:rPr>
          <w:rFonts w:ascii="Calibri" w:hAnsi="Calibri" w:cs="Calibri"/>
          <w:sz w:val="24"/>
          <w:szCs w:val="24"/>
        </w:rPr>
        <w:br/>
      </w:r>
      <w:r w:rsidRPr="00C20CE9">
        <w:rPr>
          <w:rFonts w:ascii="Calibri" w:hAnsi="Calibri" w:cs="Calibri"/>
          <w:sz w:val="24"/>
          <w:szCs w:val="24"/>
        </w:rPr>
        <w:t>i Regionalne, 2020, Volume 13, No.1</w:t>
      </w:r>
    </w:p>
  </w:footnote>
  <w:footnote w:id="3">
    <w:p w14:paraId="6B8D86CE" w14:textId="7D85F9E6" w:rsidR="00741B3D" w:rsidRPr="00F47E12" w:rsidRDefault="00741B3D">
      <w:pPr>
        <w:pStyle w:val="Tekstprzypisudolnego"/>
        <w:rPr>
          <w:rFonts w:ascii="Arial" w:hAnsi="Arial" w:cs="Arial"/>
          <w:sz w:val="16"/>
          <w:szCs w:val="16"/>
        </w:rPr>
      </w:pPr>
      <w:r w:rsidRPr="00C20CE9">
        <w:rPr>
          <w:rStyle w:val="Odwoanieprzypisudolnego"/>
          <w:rFonts w:ascii="Calibri" w:hAnsi="Calibri" w:cs="Calibri"/>
          <w:sz w:val="24"/>
          <w:szCs w:val="24"/>
        </w:rPr>
        <w:footnoteRef/>
      </w:r>
      <w:r w:rsidRPr="00C20CE9">
        <w:rPr>
          <w:rFonts w:ascii="Calibri" w:hAnsi="Calibri" w:cs="Calibri"/>
          <w:sz w:val="24"/>
          <w:szCs w:val="24"/>
        </w:rPr>
        <w:t xml:space="preserve"> Niewiadomska A., Op. cit.</w:t>
      </w:r>
    </w:p>
  </w:footnote>
  <w:footnote w:id="4">
    <w:p w14:paraId="6790677A" w14:textId="77777777" w:rsidR="0017792F" w:rsidRPr="00B44EE0" w:rsidRDefault="0017792F" w:rsidP="0017792F">
      <w:pPr>
        <w:pStyle w:val="Tekstprzypisudolnego"/>
        <w:rPr>
          <w:rFonts w:cstheme="minorHAnsi"/>
          <w:sz w:val="24"/>
          <w:szCs w:val="24"/>
        </w:rPr>
      </w:pPr>
      <w:r w:rsidRPr="00B44EE0">
        <w:rPr>
          <w:rStyle w:val="Odwoanieprzypisudolnego"/>
          <w:rFonts w:cstheme="minorHAnsi"/>
          <w:sz w:val="24"/>
          <w:szCs w:val="24"/>
        </w:rPr>
        <w:footnoteRef/>
      </w:r>
      <w:r w:rsidRPr="00B44EE0">
        <w:rPr>
          <w:rFonts w:cstheme="minorHAnsi"/>
          <w:sz w:val="24"/>
          <w:szCs w:val="24"/>
        </w:rPr>
        <w:t xml:space="preserve"> Aktywność Ekonomiczna Ludności w województwie 30.03.2023 r. opolskim w 4 kwartale 2022 r.</w:t>
      </w:r>
    </w:p>
  </w:footnote>
  <w:footnote w:id="5">
    <w:p w14:paraId="2A99B9EA" w14:textId="629F9093" w:rsidR="00D81DCF" w:rsidRPr="00B44EE0" w:rsidRDefault="00D81DCF">
      <w:pPr>
        <w:pStyle w:val="Tekstprzypisudolnego"/>
        <w:rPr>
          <w:rFonts w:cstheme="minorHAnsi"/>
          <w:sz w:val="24"/>
          <w:szCs w:val="24"/>
        </w:rPr>
      </w:pPr>
      <w:r w:rsidRPr="00B44EE0">
        <w:rPr>
          <w:rStyle w:val="Odwoanieprzypisudolnego"/>
          <w:rFonts w:cstheme="minorHAnsi"/>
          <w:sz w:val="24"/>
          <w:szCs w:val="24"/>
        </w:rPr>
        <w:footnoteRef/>
      </w:r>
      <w:r w:rsidRPr="00B44EE0">
        <w:rPr>
          <w:rFonts w:cstheme="minorHAnsi"/>
          <w:sz w:val="24"/>
          <w:szCs w:val="24"/>
        </w:rPr>
        <w:t xml:space="preserve"> Na podstawie: Pracujący, bezrobotni i bierni zawodowo. Wyniki wstępne Badania Aktywności Ekonomicznej Ludności -2 kwartał 2023 r. Tablice.</w:t>
      </w:r>
    </w:p>
  </w:footnote>
  <w:footnote w:id="6">
    <w:p w14:paraId="54EC3533" w14:textId="4DB4643E" w:rsidR="0028186D" w:rsidRPr="00B44EE0" w:rsidRDefault="0028186D">
      <w:pPr>
        <w:pStyle w:val="Tekstprzypisudolnego"/>
        <w:rPr>
          <w:rFonts w:cstheme="minorHAnsi"/>
          <w:sz w:val="24"/>
          <w:szCs w:val="24"/>
        </w:rPr>
      </w:pPr>
      <w:r w:rsidRPr="00B44EE0">
        <w:rPr>
          <w:rStyle w:val="Odwoanieprzypisudolnego"/>
          <w:rFonts w:cstheme="minorHAnsi"/>
          <w:sz w:val="24"/>
          <w:szCs w:val="24"/>
        </w:rPr>
        <w:footnoteRef/>
      </w:r>
      <w:r w:rsidRPr="00B44EE0">
        <w:rPr>
          <w:rFonts w:cstheme="minorHAnsi"/>
          <w:sz w:val="24"/>
          <w:szCs w:val="24"/>
        </w:rPr>
        <w:t xml:space="preserve"> Szczegółowe dane pozyskane z Urzędu Statystycznego w Krakowie, gdyż dane publikowane w Banku Danych Lokalnych są uproszczone względem oryginalnego sprawozdania</w:t>
      </w:r>
    </w:p>
  </w:footnote>
  <w:footnote w:id="7">
    <w:p w14:paraId="4BB2EA0D" w14:textId="7CFC3C0E" w:rsidR="005B3866" w:rsidRPr="000F353E" w:rsidRDefault="005B3866">
      <w:pPr>
        <w:pStyle w:val="Tekstprzypisudolnego"/>
        <w:rPr>
          <w:rFonts w:cstheme="minorHAnsi"/>
          <w:sz w:val="16"/>
          <w:szCs w:val="16"/>
        </w:rPr>
      </w:pPr>
      <w:r w:rsidRPr="000F353E">
        <w:rPr>
          <w:rStyle w:val="Odwoanieprzypisudolnego"/>
          <w:rFonts w:cstheme="minorHAnsi"/>
          <w:sz w:val="16"/>
          <w:szCs w:val="16"/>
        </w:rPr>
        <w:footnoteRef/>
      </w:r>
      <w:r w:rsidRPr="000F353E">
        <w:rPr>
          <w:rFonts w:cstheme="minorHAnsi"/>
          <w:sz w:val="16"/>
          <w:szCs w:val="16"/>
        </w:rPr>
        <w:t xml:space="preserve"> Wartości przekraczające 1 związane są z sytuacją, w której czas wsparcia może przypadać na okres przełomu poszczególnych lat kalendarzowych i / lub długości oferowanego wsparcia</w:t>
      </w:r>
      <w:r w:rsidR="00147255" w:rsidRPr="000F353E">
        <w:rPr>
          <w:rFonts w:cstheme="minorHAnsi"/>
          <w:sz w:val="16"/>
          <w:szCs w:val="16"/>
        </w:rPr>
        <w:t xml:space="preserve"> (np. wsparcie w ramach wykorzystania mieszkań chronionych)</w:t>
      </w:r>
      <w:r w:rsidRPr="000F353E">
        <w:rPr>
          <w:rFonts w:cstheme="minorHAnsi"/>
          <w:sz w:val="16"/>
          <w:szCs w:val="16"/>
        </w:rPr>
        <w:t xml:space="preserve">. </w:t>
      </w:r>
    </w:p>
  </w:footnote>
  <w:footnote w:id="8">
    <w:p w14:paraId="25D8D896" w14:textId="7DB77A50" w:rsidR="00AA71D7" w:rsidRPr="00B44EE0" w:rsidRDefault="00AA71D7">
      <w:pPr>
        <w:pStyle w:val="Tekstprzypisudolnego"/>
        <w:rPr>
          <w:rFonts w:cstheme="minorHAnsi"/>
          <w:sz w:val="24"/>
          <w:szCs w:val="24"/>
        </w:rPr>
      </w:pPr>
      <w:r w:rsidRPr="00B44EE0">
        <w:rPr>
          <w:rStyle w:val="Odwoanieprzypisudolnego"/>
          <w:rFonts w:cstheme="minorHAnsi"/>
          <w:sz w:val="24"/>
          <w:szCs w:val="24"/>
        </w:rPr>
        <w:footnoteRef/>
      </w:r>
      <w:r w:rsidRPr="00B44EE0">
        <w:rPr>
          <w:rFonts w:cstheme="minorHAnsi"/>
          <w:sz w:val="24"/>
          <w:szCs w:val="24"/>
        </w:rPr>
        <w:t xml:space="preserve"> https://dane.gov.pl/pl/dataset/2715,zarejestrowane-wnioski-o-nadanie-statusu-ukr/resource/52339/table</w:t>
      </w:r>
    </w:p>
  </w:footnote>
  <w:footnote w:id="9">
    <w:p w14:paraId="3A88F6FE" w14:textId="394DF661" w:rsidR="00AA71D7" w:rsidRPr="00B44EE0" w:rsidRDefault="00AA71D7" w:rsidP="00AA71D7">
      <w:pPr>
        <w:pStyle w:val="Tekstprzypisudolnego"/>
        <w:rPr>
          <w:rFonts w:cstheme="minorHAnsi"/>
          <w:sz w:val="24"/>
          <w:szCs w:val="24"/>
        </w:rPr>
      </w:pPr>
      <w:r w:rsidRPr="00B44EE0">
        <w:rPr>
          <w:rStyle w:val="Odwoanieprzypisudolnego"/>
          <w:rFonts w:cstheme="minorHAnsi"/>
          <w:sz w:val="24"/>
          <w:szCs w:val="24"/>
        </w:rPr>
        <w:footnoteRef/>
      </w:r>
      <w:r w:rsidRPr="00B44EE0">
        <w:rPr>
          <w:rFonts w:cstheme="minorHAnsi"/>
          <w:sz w:val="24"/>
          <w:szCs w:val="24"/>
        </w:rPr>
        <w:t xml:space="preserve"> Ustawą </w:t>
      </w:r>
      <w:r w:rsidRPr="00B44EE0">
        <w:rPr>
          <w:rFonts w:cstheme="minorHAnsi"/>
          <w:i/>
          <w:iCs/>
          <w:sz w:val="24"/>
          <w:szCs w:val="24"/>
        </w:rPr>
        <w:t xml:space="preserve">O pomocy obywatelom Ukrainy w związku z konfliktem zbrojnym na terytorium tego państwa </w:t>
      </w:r>
      <w:r w:rsidRPr="00B44EE0">
        <w:rPr>
          <w:rFonts w:cstheme="minorHAnsi"/>
          <w:sz w:val="24"/>
          <w:szCs w:val="24"/>
        </w:rPr>
        <w:t>Dz.U. 2022 poz. 583</w:t>
      </w:r>
    </w:p>
  </w:footnote>
  <w:footnote w:id="10">
    <w:p w14:paraId="2D11873B" w14:textId="703FA670" w:rsidR="00A34794" w:rsidRPr="00F47E12" w:rsidRDefault="00A34794">
      <w:pPr>
        <w:pStyle w:val="Tekstprzypisudolnego"/>
        <w:rPr>
          <w:rFonts w:ascii="Arial" w:hAnsi="Arial" w:cs="Arial"/>
          <w:sz w:val="16"/>
          <w:szCs w:val="16"/>
        </w:rPr>
      </w:pPr>
      <w:r w:rsidRPr="00B44EE0">
        <w:rPr>
          <w:rStyle w:val="Odwoanieprzypisudolnego"/>
          <w:rFonts w:cstheme="minorHAnsi"/>
          <w:sz w:val="24"/>
          <w:szCs w:val="24"/>
        </w:rPr>
        <w:footnoteRef/>
      </w:r>
      <w:r w:rsidRPr="00B44EE0">
        <w:rPr>
          <w:rFonts w:cstheme="minorHAnsi"/>
          <w:sz w:val="24"/>
          <w:szCs w:val="24"/>
        </w:rPr>
        <w:t xml:space="preserve"> Por. Dz. U. 2003 Nr 128 poz. 1176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A0FA" w14:textId="77777777" w:rsidR="00E73E96" w:rsidRDefault="00E73E9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ECF9" w14:textId="77777777" w:rsidR="00E73E96" w:rsidRDefault="00E73E9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1C07" w14:textId="76995465" w:rsidR="00863A31" w:rsidRPr="001C5E9D" w:rsidRDefault="00CA4B58" w:rsidP="00EA518C">
    <w:pPr>
      <w:pStyle w:val="Nagwek"/>
      <w:rPr>
        <w:b/>
        <w:bCs/>
      </w:rPr>
    </w:pPr>
    <w:r>
      <w:rPr>
        <w:b/>
        <w:bCs/>
      </w:rPr>
      <w:t>Załącznik nr 14 do U</w:t>
    </w:r>
    <w:r w:rsidR="001C5E9D" w:rsidRPr="001C5E9D">
      <w:rPr>
        <w:b/>
        <w:bCs/>
      </w:rPr>
      <w:t>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5CFA7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36F74AA"/>
    <w:multiLevelType w:val="hybridMultilevel"/>
    <w:tmpl w:val="BD34FD3C"/>
    <w:lvl w:ilvl="0" w:tplc="9872EB58">
      <w:start w:val="1"/>
      <w:numFmt w:val="decimal"/>
      <w:lvlText w:val="%1."/>
      <w:lvlJc w:val="left"/>
      <w:pPr>
        <w:ind w:left="1640" w:hanging="360"/>
      </w:pPr>
    </w:lvl>
    <w:lvl w:ilvl="1" w:tplc="12C4635E">
      <w:start w:val="1"/>
      <w:numFmt w:val="decimal"/>
      <w:lvlText w:val="%2."/>
      <w:lvlJc w:val="left"/>
      <w:pPr>
        <w:ind w:left="1640" w:hanging="360"/>
      </w:pPr>
    </w:lvl>
    <w:lvl w:ilvl="2" w:tplc="9E12843A">
      <w:start w:val="1"/>
      <w:numFmt w:val="decimal"/>
      <w:lvlText w:val="%3."/>
      <w:lvlJc w:val="left"/>
      <w:pPr>
        <w:ind w:left="1640" w:hanging="360"/>
      </w:pPr>
    </w:lvl>
    <w:lvl w:ilvl="3" w:tplc="41BAD57E">
      <w:start w:val="1"/>
      <w:numFmt w:val="decimal"/>
      <w:lvlText w:val="%4."/>
      <w:lvlJc w:val="left"/>
      <w:pPr>
        <w:ind w:left="1640" w:hanging="360"/>
      </w:pPr>
    </w:lvl>
    <w:lvl w:ilvl="4" w:tplc="CA7EEE24">
      <w:start w:val="1"/>
      <w:numFmt w:val="decimal"/>
      <w:lvlText w:val="%5."/>
      <w:lvlJc w:val="left"/>
      <w:pPr>
        <w:ind w:left="1640" w:hanging="360"/>
      </w:pPr>
    </w:lvl>
    <w:lvl w:ilvl="5" w:tplc="8FB45C5C">
      <w:start w:val="1"/>
      <w:numFmt w:val="decimal"/>
      <w:lvlText w:val="%6."/>
      <w:lvlJc w:val="left"/>
      <w:pPr>
        <w:ind w:left="1640" w:hanging="360"/>
      </w:pPr>
    </w:lvl>
    <w:lvl w:ilvl="6" w:tplc="A09AB492">
      <w:start w:val="1"/>
      <w:numFmt w:val="decimal"/>
      <w:lvlText w:val="%7."/>
      <w:lvlJc w:val="left"/>
      <w:pPr>
        <w:ind w:left="1640" w:hanging="360"/>
      </w:pPr>
    </w:lvl>
    <w:lvl w:ilvl="7" w:tplc="D34C95E4">
      <w:start w:val="1"/>
      <w:numFmt w:val="decimal"/>
      <w:lvlText w:val="%8."/>
      <w:lvlJc w:val="left"/>
      <w:pPr>
        <w:ind w:left="1640" w:hanging="360"/>
      </w:pPr>
    </w:lvl>
    <w:lvl w:ilvl="8" w:tplc="CA14E13A">
      <w:start w:val="1"/>
      <w:numFmt w:val="decimal"/>
      <w:lvlText w:val="%9."/>
      <w:lvlJc w:val="left"/>
      <w:pPr>
        <w:ind w:left="1640" w:hanging="360"/>
      </w:pPr>
    </w:lvl>
  </w:abstractNum>
  <w:abstractNum w:abstractNumId="2" w15:restartNumberingAfterBreak="0">
    <w:nsid w:val="18053FDC"/>
    <w:multiLevelType w:val="hybridMultilevel"/>
    <w:tmpl w:val="27F8CE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436522"/>
    <w:multiLevelType w:val="hybridMultilevel"/>
    <w:tmpl w:val="6F2EB7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9BB2C00"/>
    <w:multiLevelType w:val="hybridMultilevel"/>
    <w:tmpl w:val="502AC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49447AA"/>
    <w:multiLevelType w:val="hybridMultilevel"/>
    <w:tmpl w:val="A11C332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C87484D"/>
    <w:multiLevelType w:val="hybridMultilevel"/>
    <w:tmpl w:val="C5B64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94869758">
    <w:abstractNumId w:val="6"/>
  </w:num>
  <w:num w:numId="2" w16cid:durableId="1640912803">
    <w:abstractNumId w:val="0"/>
  </w:num>
  <w:num w:numId="3" w16cid:durableId="1719626730">
    <w:abstractNumId w:val="4"/>
  </w:num>
  <w:num w:numId="4" w16cid:durableId="1019234029">
    <w:abstractNumId w:val="3"/>
  </w:num>
  <w:num w:numId="5" w16cid:durableId="1976131374">
    <w:abstractNumId w:val="1"/>
  </w:num>
  <w:num w:numId="6" w16cid:durableId="1038362442">
    <w:abstractNumId w:val="2"/>
  </w:num>
  <w:num w:numId="7" w16cid:durableId="905727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90A"/>
    <w:rsid w:val="0000790E"/>
    <w:rsid w:val="000335F9"/>
    <w:rsid w:val="000368D0"/>
    <w:rsid w:val="0003733F"/>
    <w:rsid w:val="000436AE"/>
    <w:rsid w:val="00070389"/>
    <w:rsid w:val="000859D1"/>
    <w:rsid w:val="000C3D42"/>
    <w:rsid w:val="000F353E"/>
    <w:rsid w:val="000F375A"/>
    <w:rsid w:val="0011576E"/>
    <w:rsid w:val="00147255"/>
    <w:rsid w:val="00152E1B"/>
    <w:rsid w:val="00157236"/>
    <w:rsid w:val="00177083"/>
    <w:rsid w:val="0017792F"/>
    <w:rsid w:val="00182858"/>
    <w:rsid w:val="00191CB3"/>
    <w:rsid w:val="00194126"/>
    <w:rsid w:val="001B73C8"/>
    <w:rsid w:val="001C5E9D"/>
    <w:rsid w:val="001C60CA"/>
    <w:rsid w:val="001E0ACB"/>
    <w:rsid w:val="001E4E06"/>
    <w:rsid w:val="0024597A"/>
    <w:rsid w:val="002650C7"/>
    <w:rsid w:val="0028186D"/>
    <w:rsid w:val="002B77AC"/>
    <w:rsid w:val="002E14A6"/>
    <w:rsid w:val="002F1CDB"/>
    <w:rsid w:val="002F6BAD"/>
    <w:rsid w:val="00323FFA"/>
    <w:rsid w:val="00326E8F"/>
    <w:rsid w:val="00351A29"/>
    <w:rsid w:val="00355490"/>
    <w:rsid w:val="00366BED"/>
    <w:rsid w:val="0038290A"/>
    <w:rsid w:val="00396DF6"/>
    <w:rsid w:val="003A20E4"/>
    <w:rsid w:val="00404DD5"/>
    <w:rsid w:val="004210B5"/>
    <w:rsid w:val="004247E4"/>
    <w:rsid w:val="004608ED"/>
    <w:rsid w:val="0046703A"/>
    <w:rsid w:val="004715D6"/>
    <w:rsid w:val="004761AF"/>
    <w:rsid w:val="004B17F2"/>
    <w:rsid w:val="004B7AEA"/>
    <w:rsid w:val="004C20B5"/>
    <w:rsid w:val="005056BC"/>
    <w:rsid w:val="00535E98"/>
    <w:rsid w:val="005402A2"/>
    <w:rsid w:val="005529C0"/>
    <w:rsid w:val="0057412D"/>
    <w:rsid w:val="00597F5A"/>
    <w:rsid w:val="005B3866"/>
    <w:rsid w:val="005C4E06"/>
    <w:rsid w:val="00612323"/>
    <w:rsid w:val="00612826"/>
    <w:rsid w:val="00620ADA"/>
    <w:rsid w:val="00620B85"/>
    <w:rsid w:val="00672A75"/>
    <w:rsid w:val="00680C12"/>
    <w:rsid w:val="00684D0E"/>
    <w:rsid w:val="00687F70"/>
    <w:rsid w:val="006D3460"/>
    <w:rsid w:val="006D7861"/>
    <w:rsid w:val="006F4497"/>
    <w:rsid w:val="00702EC6"/>
    <w:rsid w:val="007253DF"/>
    <w:rsid w:val="00741B3D"/>
    <w:rsid w:val="007758F2"/>
    <w:rsid w:val="007C0EAD"/>
    <w:rsid w:val="007C28AE"/>
    <w:rsid w:val="007C5707"/>
    <w:rsid w:val="007E0EF9"/>
    <w:rsid w:val="007E5AA0"/>
    <w:rsid w:val="00833C50"/>
    <w:rsid w:val="00835E31"/>
    <w:rsid w:val="00837D53"/>
    <w:rsid w:val="00844B1D"/>
    <w:rsid w:val="008477A9"/>
    <w:rsid w:val="00863A31"/>
    <w:rsid w:val="00872DFD"/>
    <w:rsid w:val="00873F00"/>
    <w:rsid w:val="008741E2"/>
    <w:rsid w:val="00876286"/>
    <w:rsid w:val="008B4673"/>
    <w:rsid w:val="008D7B04"/>
    <w:rsid w:val="00925CFE"/>
    <w:rsid w:val="00954560"/>
    <w:rsid w:val="00970BAC"/>
    <w:rsid w:val="00996A4E"/>
    <w:rsid w:val="009A6248"/>
    <w:rsid w:val="009B5040"/>
    <w:rsid w:val="009C1E2F"/>
    <w:rsid w:val="009C2FE2"/>
    <w:rsid w:val="009D4163"/>
    <w:rsid w:val="009E4717"/>
    <w:rsid w:val="00A02637"/>
    <w:rsid w:val="00A0789B"/>
    <w:rsid w:val="00A22F0F"/>
    <w:rsid w:val="00A27A18"/>
    <w:rsid w:val="00A34794"/>
    <w:rsid w:val="00A6306A"/>
    <w:rsid w:val="00A76ABE"/>
    <w:rsid w:val="00A87C62"/>
    <w:rsid w:val="00AA3EF8"/>
    <w:rsid w:val="00AA71D7"/>
    <w:rsid w:val="00AB07ED"/>
    <w:rsid w:val="00AB4416"/>
    <w:rsid w:val="00AC5A30"/>
    <w:rsid w:val="00AD63A1"/>
    <w:rsid w:val="00B050F6"/>
    <w:rsid w:val="00B24E00"/>
    <w:rsid w:val="00B44EE0"/>
    <w:rsid w:val="00B550BD"/>
    <w:rsid w:val="00B63AF2"/>
    <w:rsid w:val="00B9736F"/>
    <w:rsid w:val="00BA56D3"/>
    <w:rsid w:val="00BB5655"/>
    <w:rsid w:val="00BD3F75"/>
    <w:rsid w:val="00BD79EE"/>
    <w:rsid w:val="00BE2C92"/>
    <w:rsid w:val="00C02D43"/>
    <w:rsid w:val="00C0753E"/>
    <w:rsid w:val="00C1372F"/>
    <w:rsid w:val="00C201E1"/>
    <w:rsid w:val="00C20CE9"/>
    <w:rsid w:val="00C527E2"/>
    <w:rsid w:val="00C52F21"/>
    <w:rsid w:val="00C61A79"/>
    <w:rsid w:val="00C63557"/>
    <w:rsid w:val="00C72237"/>
    <w:rsid w:val="00C77E1A"/>
    <w:rsid w:val="00C80B3C"/>
    <w:rsid w:val="00C85284"/>
    <w:rsid w:val="00CA4B58"/>
    <w:rsid w:val="00CC324D"/>
    <w:rsid w:val="00CC3671"/>
    <w:rsid w:val="00CD417F"/>
    <w:rsid w:val="00CD63F1"/>
    <w:rsid w:val="00CE072C"/>
    <w:rsid w:val="00CE32E7"/>
    <w:rsid w:val="00D01C62"/>
    <w:rsid w:val="00D15EB9"/>
    <w:rsid w:val="00D178EB"/>
    <w:rsid w:val="00D81DCF"/>
    <w:rsid w:val="00D83B79"/>
    <w:rsid w:val="00DB7C48"/>
    <w:rsid w:val="00E036AA"/>
    <w:rsid w:val="00E61D2E"/>
    <w:rsid w:val="00E73E96"/>
    <w:rsid w:val="00E77CAB"/>
    <w:rsid w:val="00E95048"/>
    <w:rsid w:val="00EA518C"/>
    <w:rsid w:val="00EB1AA7"/>
    <w:rsid w:val="00EC5748"/>
    <w:rsid w:val="00EE2779"/>
    <w:rsid w:val="00F01D9A"/>
    <w:rsid w:val="00F0248A"/>
    <w:rsid w:val="00F237AB"/>
    <w:rsid w:val="00F23C98"/>
    <w:rsid w:val="00F2638E"/>
    <w:rsid w:val="00F432D5"/>
    <w:rsid w:val="00F47E12"/>
    <w:rsid w:val="00F81DD7"/>
    <w:rsid w:val="00FA135F"/>
    <w:rsid w:val="00FA3ECB"/>
    <w:rsid w:val="00FB02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9F594"/>
  <w15:docId w15:val="{93A13DC7-89FF-4C1F-93C5-3E82DAFD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F35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77E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77E1A"/>
    <w:rPr>
      <w:sz w:val="20"/>
      <w:szCs w:val="20"/>
    </w:rPr>
  </w:style>
  <w:style w:type="character" w:styleId="Odwoanieprzypisudolnego">
    <w:name w:val="footnote reference"/>
    <w:basedOn w:val="Domylnaczcionkaakapitu"/>
    <w:uiPriority w:val="99"/>
    <w:semiHidden/>
    <w:unhideWhenUsed/>
    <w:rsid w:val="00C77E1A"/>
    <w:rPr>
      <w:vertAlign w:val="superscript"/>
    </w:rPr>
  </w:style>
  <w:style w:type="paragraph" w:styleId="Legenda">
    <w:name w:val="caption"/>
    <w:basedOn w:val="Normalny"/>
    <w:next w:val="Normalny"/>
    <w:uiPriority w:val="35"/>
    <w:unhideWhenUsed/>
    <w:qFormat/>
    <w:rsid w:val="004715D6"/>
    <w:pPr>
      <w:spacing w:after="200" w:line="240" w:lineRule="auto"/>
    </w:pPr>
    <w:rPr>
      <w:i/>
      <w:iCs/>
      <w:color w:val="44546A" w:themeColor="text2"/>
      <w:sz w:val="18"/>
      <w:szCs w:val="18"/>
    </w:rPr>
  </w:style>
  <w:style w:type="paragraph" w:styleId="Akapitzlist">
    <w:name w:val="List Paragraph"/>
    <w:basedOn w:val="Normalny"/>
    <w:uiPriority w:val="34"/>
    <w:qFormat/>
    <w:rsid w:val="0000790E"/>
    <w:pPr>
      <w:ind w:left="720"/>
      <w:contextualSpacing/>
    </w:pPr>
  </w:style>
  <w:style w:type="paragraph" w:styleId="Listapunktowana">
    <w:name w:val="List Bullet"/>
    <w:basedOn w:val="Normalny"/>
    <w:uiPriority w:val="99"/>
    <w:unhideWhenUsed/>
    <w:rsid w:val="00F2638E"/>
    <w:pPr>
      <w:numPr>
        <w:numId w:val="2"/>
      </w:numPr>
      <w:contextualSpacing/>
    </w:pPr>
  </w:style>
  <w:style w:type="paragraph" w:styleId="Bezodstpw">
    <w:name w:val="No Spacing"/>
    <w:link w:val="BezodstpwZnak"/>
    <w:uiPriority w:val="1"/>
    <w:qFormat/>
    <w:rsid w:val="00A34794"/>
    <w:pPr>
      <w:spacing w:after="0" w:line="240" w:lineRule="auto"/>
    </w:pPr>
    <w:rPr>
      <w:rFonts w:eastAsiaTheme="minorEastAsia"/>
      <w:kern w:val="0"/>
      <w:lang w:eastAsia="pl-PL"/>
      <w14:ligatures w14:val="none"/>
    </w:rPr>
  </w:style>
  <w:style w:type="character" w:customStyle="1" w:styleId="BezodstpwZnak">
    <w:name w:val="Bez odstępów Znak"/>
    <w:basedOn w:val="Domylnaczcionkaakapitu"/>
    <w:link w:val="Bezodstpw"/>
    <w:uiPriority w:val="1"/>
    <w:rsid w:val="00A34794"/>
    <w:rPr>
      <w:rFonts w:eastAsiaTheme="minorEastAsia"/>
      <w:kern w:val="0"/>
      <w:lang w:eastAsia="pl-PL"/>
      <w14:ligatures w14:val="none"/>
    </w:rPr>
  </w:style>
  <w:style w:type="paragraph" w:styleId="Nagwek">
    <w:name w:val="header"/>
    <w:basedOn w:val="Normalny"/>
    <w:link w:val="NagwekZnak"/>
    <w:uiPriority w:val="99"/>
    <w:unhideWhenUsed/>
    <w:rsid w:val="00FB02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0255"/>
  </w:style>
  <w:style w:type="paragraph" w:styleId="Stopka">
    <w:name w:val="footer"/>
    <w:basedOn w:val="Normalny"/>
    <w:link w:val="StopkaZnak"/>
    <w:uiPriority w:val="99"/>
    <w:unhideWhenUsed/>
    <w:rsid w:val="00FB02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0255"/>
  </w:style>
  <w:style w:type="paragraph" w:styleId="Tekstdymka">
    <w:name w:val="Balloon Text"/>
    <w:basedOn w:val="Normalny"/>
    <w:link w:val="TekstdymkaZnak"/>
    <w:uiPriority w:val="99"/>
    <w:semiHidden/>
    <w:unhideWhenUsed/>
    <w:rsid w:val="00152E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52E1B"/>
    <w:rPr>
      <w:rFonts w:ascii="Tahoma" w:hAnsi="Tahoma" w:cs="Tahoma"/>
      <w:sz w:val="16"/>
      <w:szCs w:val="16"/>
    </w:rPr>
  </w:style>
  <w:style w:type="paragraph" w:styleId="Poprawka">
    <w:name w:val="Revision"/>
    <w:hidden/>
    <w:uiPriority w:val="99"/>
    <w:semiHidden/>
    <w:rsid w:val="009E4717"/>
    <w:pPr>
      <w:spacing w:after="0" w:line="240" w:lineRule="auto"/>
    </w:pPr>
  </w:style>
  <w:style w:type="character" w:styleId="Odwoaniedokomentarza">
    <w:name w:val="annotation reference"/>
    <w:basedOn w:val="Domylnaczcionkaakapitu"/>
    <w:uiPriority w:val="99"/>
    <w:semiHidden/>
    <w:unhideWhenUsed/>
    <w:rsid w:val="007253DF"/>
    <w:rPr>
      <w:sz w:val="16"/>
      <w:szCs w:val="16"/>
    </w:rPr>
  </w:style>
  <w:style w:type="paragraph" w:styleId="Tekstkomentarza">
    <w:name w:val="annotation text"/>
    <w:basedOn w:val="Normalny"/>
    <w:link w:val="TekstkomentarzaZnak"/>
    <w:uiPriority w:val="99"/>
    <w:unhideWhenUsed/>
    <w:rsid w:val="007253DF"/>
    <w:pPr>
      <w:spacing w:line="240" w:lineRule="auto"/>
    </w:pPr>
    <w:rPr>
      <w:sz w:val="20"/>
      <w:szCs w:val="20"/>
    </w:rPr>
  </w:style>
  <w:style w:type="character" w:customStyle="1" w:styleId="TekstkomentarzaZnak">
    <w:name w:val="Tekst komentarza Znak"/>
    <w:basedOn w:val="Domylnaczcionkaakapitu"/>
    <w:link w:val="Tekstkomentarza"/>
    <w:uiPriority w:val="99"/>
    <w:rsid w:val="007253DF"/>
    <w:rPr>
      <w:sz w:val="20"/>
      <w:szCs w:val="20"/>
    </w:rPr>
  </w:style>
  <w:style w:type="paragraph" w:styleId="Tematkomentarza">
    <w:name w:val="annotation subject"/>
    <w:basedOn w:val="Tekstkomentarza"/>
    <w:next w:val="Tekstkomentarza"/>
    <w:link w:val="TematkomentarzaZnak"/>
    <w:uiPriority w:val="99"/>
    <w:semiHidden/>
    <w:unhideWhenUsed/>
    <w:rsid w:val="007253DF"/>
    <w:rPr>
      <w:b/>
      <w:bCs/>
    </w:rPr>
  </w:style>
  <w:style w:type="character" w:customStyle="1" w:styleId="TematkomentarzaZnak">
    <w:name w:val="Temat komentarza Znak"/>
    <w:basedOn w:val="TekstkomentarzaZnak"/>
    <w:link w:val="Tematkomentarza"/>
    <w:uiPriority w:val="99"/>
    <w:semiHidden/>
    <w:rsid w:val="007253DF"/>
    <w:rPr>
      <w:b/>
      <w:bCs/>
      <w:sz w:val="20"/>
      <w:szCs w:val="20"/>
    </w:rPr>
  </w:style>
  <w:style w:type="character" w:styleId="Hipercze">
    <w:name w:val="Hyperlink"/>
    <w:basedOn w:val="Domylnaczcionkaakapitu"/>
    <w:uiPriority w:val="99"/>
    <w:unhideWhenUsed/>
    <w:rsid w:val="008741E2"/>
    <w:rPr>
      <w:color w:val="0563C1" w:themeColor="hyperlink"/>
      <w:u w:val="single"/>
    </w:rPr>
  </w:style>
  <w:style w:type="character" w:customStyle="1" w:styleId="Nierozpoznanawzmianka1">
    <w:name w:val="Nierozpoznana wzmianka1"/>
    <w:basedOn w:val="Domylnaczcionkaakapitu"/>
    <w:uiPriority w:val="99"/>
    <w:semiHidden/>
    <w:unhideWhenUsed/>
    <w:rsid w:val="008741E2"/>
    <w:rPr>
      <w:color w:val="605E5C"/>
      <w:shd w:val="clear" w:color="auto" w:fill="E1DFDD"/>
    </w:rPr>
  </w:style>
  <w:style w:type="paragraph" w:styleId="Tekstpodstawowy">
    <w:name w:val="Body Text"/>
    <w:basedOn w:val="Normalny"/>
    <w:link w:val="TekstpodstawowyZnak"/>
    <w:uiPriority w:val="1"/>
    <w:qFormat/>
    <w:rsid w:val="002F1CDB"/>
    <w:pPr>
      <w:widowControl w:val="0"/>
      <w:spacing w:before="60" w:after="0" w:line="240" w:lineRule="auto"/>
      <w:ind w:left="478"/>
    </w:pPr>
    <w:rPr>
      <w:rFonts w:ascii="Calibri" w:eastAsia="Calibri" w:hAnsi="Calibri"/>
      <w:kern w:val="0"/>
      <w:lang w:val="en-US"/>
      <w14:ligatures w14:val="none"/>
    </w:rPr>
  </w:style>
  <w:style w:type="character" w:customStyle="1" w:styleId="TekstpodstawowyZnak">
    <w:name w:val="Tekst podstawowy Znak"/>
    <w:basedOn w:val="Domylnaczcionkaakapitu"/>
    <w:link w:val="Tekstpodstawowy"/>
    <w:uiPriority w:val="1"/>
    <w:rsid w:val="002F1CDB"/>
    <w:rPr>
      <w:rFonts w:ascii="Calibri" w:eastAsia="Calibri" w:hAnsi="Calibri"/>
      <w:kern w:val="0"/>
      <w:lang w:val="en-US"/>
      <w14:ligatures w14:val="none"/>
    </w:rPr>
  </w:style>
  <w:style w:type="character" w:customStyle="1" w:styleId="Nagwek1Znak">
    <w:name w:val="Nagłówek 1 Znak"/>
    <w:basedOn w:val="Domylnaczcionkaakapitu"/>
    <w:link w:val="Nagwek1"/>
    <w:uiPriority w:val="9"/>
    <w:rsid w:val="000F353E"/>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925CFE"/>
    <w:pPr>
      <w:outlineLvl w:val="9"/>
    </w:pPr>
    <w:rPr>
      <w:kern w:val="0"/>
      <w:lang w:eastAsia="pl-PL"/>
      <w14:ligatures w14:val="none"/>
    </w:rPr>
  </w:style>
  <w:style w:type="paragraph" w:styleId="Spistreci1">
    <w:name w:val="toc 1"/>
    <w:basedOn w:val="Normalny"/>
    <w:next w:val="Normalny"/>
    <w:autoRedefine/>
    <w:uiPriority w:val="39"/>
    <w:unhideWhenUsed/>
    <w:rsid w:val="00925CF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4874">
      <w:bodyDiv w:val="1"/>
      <w:marLeft w:val="0"/>
      <w:marRight w:val="0"/>
      <w:marTop w:val="0"/>
      <w:marBottom w:val="0"/>
      <w:divBdr>
        <w:top w:val="none" w:sz="0" w:space="0" w:color="auto"/>
        <w:left w:val="none" w:sz="0" w:space="0" w:color="auto"/>
        <w:bottom w:val="none" w:sz="0" w:space="0" w:color="auto"/>
        <w:right w:val="none" w:sz="0" w:space="0" w:color="auto"/>
      </w:divBdr>
    </w:div>
    <w:div w:id="201744786">
      <w:bodyDiv w:val="1"/>
      <w:marLeft w:val="0"/>
      <w:marRight w:val="0"/>
      <w:marTop w:val="0"/>
      <w:marBottom w:val="0"/>
      <w:divBdr>
        <w:top w:val="none" w:sz="0" w:space="0" w:color="auto"/>
        <w:left w:val="none" w:sz="0" w:space="0" w:color="auto"/>
        <w:bottom w:val="none" w:sz="0" w:space="0" w:color="auto"/>
        <w:right w:val="none" w:sz="0" w:space="0" w:color="auto"/>
      </w:divBdr>
    </w:div>
    <w:div w:id="271403250">
      <w:bodyDiv w:val="1"/>
      <w:marLeft w:val="0"/>
      <w:marRight w:val="0"/>
      <w:marTop w:val="0"/>
      <w:marBottom w:val="0"/>
      <w:divBdr>
        <w:top w:val="none" w:sz="0" w:space="0" w:color="auto"/>
        <w:left w:val="none" w:sz="0" w:space="0" w:color="auto"/>
        <w:bottom w:val="none" w:sz="0" w:space="0" w:color="auto"/>
        <w:right w:val="none" w:sz="0" w:space="0" w:color="auto"/>
      </w:divBdr>
    </w:div>
    <w:div w:id="1104687426">
      <w:bodyDiv w:val="1"/>
      <w:marLeft w:val="0"/>
      <w:marRight w:val="0"/>
      <w:marTop w:val="0"/>
      <w:marBottom w:val="0"/>
      <w:divBdr>
        <w:top w:val="none" w:sz="0" w:space="0" w:color="auto"/>
        <w:left w:val="none" w:sz="0" w:space="0" w:color="auto"/>
        <w:bottom w:val="none" w:sz="0" w:space="0" w:color="auto"/>
        <w:right w:val="none" w:sz="0" w:space="0" w:color="auto"/>
      </w:divBdr>
    </w:div>
    <w:div w:id="1356539448">
      <w:bodyDiv w:val="1"/>
      <w:marLeft w:val="0"/>
      <w:marRight w:val="0"/>
      <w:marTop w:val="0"/>
      <w:marBottom w:val="0"/>
      <w:divBdr>
        <w:top w:val="none" w:sz="0" w:space="0" w:color="auto"/>
        <w:left w:val="none" w:sz="0" w:space="0" w:color="auto"/>
        <w:bottom w:val="none" w:sz="0" w:space="0" w:color="auto"/>
        <w:right w:val="none" w:sz="0" w:space="0" w:color="auto"/>
      </w:divBdr>
    </w:div>
    <w:div w:id="1715616376">
      <w:bodyDiv w:val="1"/>
      <w:marLeft w:val="0"/>
      <w:marRight w:val="0"/>
      <w:marTop w:val="0"/>
      <w:marBottom w:val="0"/>
      <w:divBdr>
        <w:top w:val="none" w:sz="0" w:space="0" w:color="auto"/>
        <w:left w:val="none" w:sz="0" w:space="0" w:color="auto"/>
        <w:bottom w:val="none" w:sz="0" w:space="0" w:color="auto"/>
        <w:right w:val="none" w:sz="0" w:space="0" w:color="auto"/>
      </w:divBdr>
    </w:div>
    <w:div w:id="172602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3.200\wup_po\1.%20MACIEK\PRACA\PROD&#379;EKTY\32.%20Bierni%20zawodowo\Dane%20z%20GUS_wsparcie%20CIS\zam&#243;wnienie_WUP_Opole_cz1%20&#8212;%20kopi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1"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Arkusz1!$A$18:$A$23</c:f>
              <c:strCache>
                <c:ptCount val="6"/>
                <c:pt idx="0">
                  <c:v>rok 2017</c:v>
                </c:pt>
                <c:pt idx="1">
                  <c:v>rok 2018</c:v>
                </c:pt>
                <c:pt idx="2">
                  <c:v>rok 2019</c:v>
                </c:pt>
                <c:pt idx="3">
                  <c:v>rok 2020</c:v>
                </c:pt>
                <c:pt idx="4">
                  <c:v>rok 2021</c:v>
                </c:pt>
                <c:pt idx="5">
                  <c:v>rok 2022</c:v>
                </c:pt>
              </c:strCache>
            </c:strRef>
          </c:cat>
          <c:val>
            <c:numRef>
              <c:f>Arkusz1!$B$18:$B$23</c:f>
              <c:numCache>
                <c:formatCode>General</c:formatCode>
                <c:ptCount val="6"/>
                <c:pt idx="0">
                  <c:v>207</c:v>
                </c:pt>
                <c:pt idx="1">
                  <c:v>264</c:v>
                </c:pt>
                <c:pt idx="2">
                  <c:v>258</c:v>
                </c:pt>
                <c:pt idx="3">
                  <c:v>268</c:v>
                </c:pt>
                <c:pt idx="4">
                  <c:v>322</c:v>
                </c:pt>
                <c:pt idx="5">
                  <c:v>278</c:v>
                </c:pt>
              </c:numCache>
            </c:numRef>
          </c:val>
          <c:extLst>
            <c:ext xmlns:c16="http://schemas.microsoft.com/office/drawing/2014/chart" uri="{C3380CC4-5D6E-409C-BE32-E72D297353CC}">
              <c16:uniqueId val="{00000000-CE2B-4670-9292-E36DF2EA645E}"/>
            </c:ext>
          </c:extLst>
        </c:ser>
        <c:dLbls>
          <c:showLegendKey val="0"/>
          <c:showVal val="0"/>
          <c:showCatName val="0"/>
          <c:showSerName val="0"/>
          <c:showPercent val="0"/>
          <c:showBubbleSize val="0"/>
        </c:dLbls>
        <c:gapWidth val="219"/>
        <c:overlap val="-27"/>
        <c:axId val="253464576"/>
        <c:axId val="253323520"/>
      </c:barChart>
      <c:catAx>
        <c:axId val="25346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pl-PL"/>
          </a:p>
        </c:txPr>
        <c:crossAx val="253323520"/>
        <c:crosses val="autoZero"/>
        <c:auto val="1"/>
        <c:lblAlgn val="ctr"/>
        <c:lblOffset val="100"/>
        <c:noMultiLvlLbl val="0"/>
      </c:catAx>
      <c:valAx>
        <c:axId val="25332352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pl-PL"/>
          </a:p>
        </c:txPr>
        <c:crossAx val="2534645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i="1"/>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3199D1-A2D3-4872-A3F9-219939CDC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2558</Words>
  <Characters>15353</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Bierność zawodowa             i wykluczenie społeczne-</vt:lpstr>
    </vt:vector>
  </TitlesOfParts>
  <Company/>
  <LinksUpToDate>false</LinksUpToDate>
  <CharactersWithSpaces>17876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Bierność zawodowa             i wykluczenie społeczne-</dc:title>
  <dc:subject>Kierunki działania</dc:subject>
  <dc:creator>ANETA NOWOBILSKA</dc:creator>
  <cp:lastModifiedBy>k.lewczak@wup.opole.pl</cp:lastModifiedBy>
  <cp:revision>8</cp:revision>
  <cp:lastPrinted>2024-04-11T06:41:00Z</cp:lastPrinted>
  <dcterms:created xsi:type="dcterms:W3CDTF">2024-04-11T07:08:00Z</dcterms:created>
  <dcterms:modified xsi:type="dcterms:W3CDTF">2026-03-24T08:44:00Z</dcterms:modified>
</cp:coreProperties>
</file>