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118C" w14:textId="77777777" w:rsidR="001C278C" w:rsidRDefault="002119AC" w:rsidP="00547A0B">
      <w:pPr>
        <w:pStyle w:val="Bezodstpw"/>
      </w:pPr>
      <w:r>
        <w:rPr>
          <w:noProof/>
          <w:lang w:eastAsia="pl-PL"/>
        </w:rPr>
        <w:drawing>
          <wp:inline distT="0" distB="0" distL="0" distR="0" wp14:anchorId="01FBC7B9" wp14:editId="144B0015">
            <wp:extent cx="5760720" cy="638951"/>
            <wp:effectExtent l="0" t="0" r="0" b="889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9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F9CD53" w14:textId="77777777" w:rsidR="002119AC" w:rsidRDefault="002119AC"/>
    <w:p w14:paraId="0F46BC1A" w14:textId="77777777" w:rsidR="002119AC" w:rsidRDefault="002119AC"/>
    <w:p w14:paraId="27AAF34F" w14:textId="77777777" w:rsidR="002119AC" w:rsidRDefault="002119AC"/>
    <w:p w14:paraId="42E7F12E" w14:textId="77777777" w:rsidR="002119AC" w:rsidRDefault="002119AC"/>
    <w:p w14:paraId="571C3B24" w14:textId="77777777" w:rsidR="002119AC" w:rsidRDefault="002119AC"/>
    <w:p w14:paraId="7115AE37" w14:textId="77777777" w:rsidR="002119AC" w:rsidRDefault="002119AC"/>
    <w:p w14:paraId="67C96186" w14:textId="4AADD54A" w:rsidR="002119AC" w:rsidRDefault="002119AC">
      <w:r>
        <w:rPr>
          <w:rFonts w:ascii="Calibri" w:hAnsi="Calibri" w:cs="Calibri"/>
          <w:b/>
          <w:sz w:val="44"/>
          <w:szCs w:val="44"/>
        </w:rPr>
        <w:t xml:space="preserve">ZAŁĄCZNIK NR </w:t>
      </w:r>
      <w:r w:rsidR="00402C09">
        <w:rPr>
          <w:rFonts w:ascii="Calibri" w:hAnsi="Calibri" w:cs="Calibri"/>
          <w:b/>
          <w:sz w:val="44"/>
          <w:szCs w:val="44"/>
        </w:rPr>
        <w:t>10</w:t>
      </w:r>
    </w:p>
    <w:p w14:paraId="33AF4119" w14:textId="5159C25E" w:rsidR="002119AC" w:rsidRDefault="002119AC">
      <w:pPr>
        <w:rPr>
          <w:rFonts w:cstheme="minorHAnsi"/>
          <w:b/>
          <w:sz w:val="44"/>
          <w:szCs w:val="44"/>
        </w:rPr>
      </w:pPr>
      <w:r w:rsidRPr="002119AC">
        <w:rPr>
          <w:rFonts w:cstheme="minorHAnsi"/>
          <w:b/>
          <w:sz w:val="44"/>
          <w:szCs w:val="44"/>
        </w:rPr>
        <w:t>Wyciąg ze Szczegółowego Opisu Priorytetów Programu Fundusze Europejskie dla Opolskiego 2021-2027</w:t>
      </w:r>
      <w:r w:rsidR="00FD543F">
        <w:rPr>
          <w:rFonts w:cstheme="minorHAnsi"/>
          <w:b/>
          <w:sz w:val="44"/>
          <w:szCs w:val="44"/>
        </w:rPr>
        <w:t xml:space="preserve"> </w:t>
      </w:r>
      <w:r w:rsidRPr="002119AC">
        <w:rPr>
          <w:rFonts w:cstheme="minorHAnsi"/>
          <w:b/>
          <w:sz w:val="44"/>
          <w:szCs w:val="44"/>
        </w:rPr>
        <w:t xml:space="preserve">(karta działania </w:t>
      </w:r>
      <w:r w:rsidR="00750385">
        <w:rPr>
          <w:rFonts w:cstheme="minorHAnsi"/>
          <w:b/>
          <w:sz w:val="44"/>
          <w:szCs w:val="44"/>
        </w:rPr>
        <w:t>6</w:t>
      </w:r>
      <w:r w:rsidR="00001C98">
        <w:rPr>
          <w:rFonts w:cstheme="minorHAnsi"/>
          <w:b/>
          <w:sz w:val="44"/>
          <w:szCs w:val="44"/>
        </w:rPr>
        <w:t>.</w:t>
      </w:r>
      <w:r w:rsidR="00F938EF">
        <w:rPr>
          <w:rFonts w:cstheme="minorHAnsi"/>
          <w:b/>
          <w:sz w:val="44"/>
          <w:szCs w:val="44"/>
        </w:rPr>
        <w:t>2</w:t>
      </w:r>
      <w:r>
        <w:rPr>
          <w:rFonts w:cstheme="minorHAnsi"/>
          <w:b/>
          <w:sz w:val="44"/>
          <w:szCs w:val="44"/>
        </w:rPr>
        <w:t>)</w:t>
      </w:r>
    </w:p>
    <w:p w14:paraId="656139BE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DF109CF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03123799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6CEBA38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26EE3031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1ABB9BC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8AD8DAF" w14:textId="77777777" w:rsidR="00402143" w:rsidRDefault="00402143">
      <w:pPr>
        <w:rPr>
          <w:rFonts w:ascii="Calibri" w:eastAsia="Calibri" w:hAnsi="Calibri" w:cs="Times New Roman"/>
          <w:lang w:eastAsia="pl-PL"/>
        </w:rPr>
      </w:pPr>
    </w:p>
    <w:p w14:paraId="3E50AEE1" w14:textId="77777777" w:rsidR="00BF3163" w:rsidRDefault="00BF3163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14766799" w14:textId="77777777" w:rsidR="00D901F9" w:rsidRDefault="00D901F9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4E951A94" w14:textId="155CC060" w:rsidR="00124696" w:rsidRPr="00D901F9" w:rsidRDefault="00402143" w:rsidP="00124696">
      <w:pPr>
        <w:rPr>
          <w:rFonts w:cstheme="minorHAnsi"/>
          <w:b/>
          <w:sz w:val="24"/>
          <w:szCs w:val="24"/>
        </w:rPr>
      </w:pP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>Opole,</w:t>
      </w:r>
      <w:r w:rsidR="00181492">
        <w:rPr>
          <w:rFonts w:ascii="Calibri" w:eastAsia="Calibri" w:hAnsi="Calibri" w:cs="Times New Roman"/>
          <w:sz w:val="24"/>
          <w:szCs w:val="24"/>
          <w:lang w:eastAsia="pl-PL"/>
        </w:rPr>
        <w:t xml:space="preserve"> kwiecień</w:t>
      </w:r>
      <w:r w:rsidR="0049561C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F938EF" w:rsidRPr="00B5272F">
        <w:rPr>
          <w:rFonts w:ascii="Calibri" w:eastAsia="Calibri" w:hAnsi="Calibri" w:cs="Times New Roman"/>
          <w:sz w:val="24"/>
          <w:szCs w:val="24"/>
          <w:lang w:eastAsia="pl-PL"/>
        </w:rPr>
        <w:t>202</w:t>
      </w:r>
      <w:r w:rsidR="00F938EF">
        <w:rPr>
          <w:rFonts w:ascii="Calibri" w:eastAsia="Calibri" w:hAnsi="Calibri" w:cs="Times New Roman"/>
          <w:sz w:val="24"/>
          <w:szCs w:val="24"/>
          <w:lang w:eastAsia="pl-PL"/>
        </w:rPr>
        <w:t>6</w:t>
      </w:r>
      <w:r w:rsidR="00F938EF"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281C" w:rsidRPr="00E0281C" w14:paraId="7B543204" w14:textId="77777777" w:rsidTr="0066577E">
        <w:tc>
          <w:tcPr>
            <w:tcW w:w="9062" w:type="dxa"/>
            <w:shd w:val="clear" w:color="auto" w:fill="D9D9D9" w:themeFill="light1" w:themeFillShade="D9"/>
          </w:tcPr>
          <w:p w14:paraId="341DEE85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Kod i nazwa działania</w:t>
            </w:r>
          </w:p>
        </w:tc>
      </w:tr>
      <w:tr w:rsidR="00E0281C" w:rsidRPr="00E0281C" w14:paraId="3C25DFFE" w14:textId="77777777" w:rsidTr="0066577E">
        <w:tc>
          <w:tcPr>
            <w:tcW w:w="9062" w:type="dxa"/>
          </w:tcPr>
          <w:p w14:paraId="680FAB27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bookmarkStart w:id="0" w:name="_Toc216763604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Działanie FEOP.06.02 Aktywizacja społeczno-zawodowa osób zagrożonych ubóstwem i wykluczeniem społecznym</w:t>
            </w:r>
            <w:bookmarkEnd w:id="0"/>
          </w:p>
        </w:tc>
      </w:tr>
      <w:tr w:rsidR="00E0281C" w:rsidRPr="00E0281C" w14:paraId="1C54DB94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140EF189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Cel szczegółowy</w:t>
            </w:r>
          </w:p>
        </w:tc>
      </w:tr>
      <w:tr w:rsidR="00E0281C" w:rsidRPr="00E0281C" w14:paraId="71340121" w14:textId="77777777" w:rsidTr="0066577E">
        <w:tc>
          <w:tcPr>
            <w:tcW w:w="9062" w:type="dxa"/>
          </w:tcPr>
          <w:p w14:paraId="7E788930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EFS+.CP4.H - Wspieranie aktywnego włączenia społecznego w celu promowania równości szans, niedyskryminacji i aktywnego uczestnictwa, oraz zwiększanie zdolności do zatrudnienia, w szczególności grup w niekorzystnej sytuacji</w:t>
            </w:r>
          </w:p>
        </w:tc>
      </w:tr>
      <w:tr w:rsidR="00E0281C" w:rsidRPr="00E0281C" w14:paraId="1B991048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731C3137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Instytucja Pośrednicząca</w:t>
            </w:r>
          </w:p>
        </w:tc>
      </w:tr>
      <w:tr w:rsidR="00E0281C" w:rsidRPr="00E0281C" w14:paraId="0C080837" w14:textId="77777777" w:rsidTr="0066577E">
        <w:tc>
          <w:tcPr>
            <w:tcW w:w="9062" w:type="dxa"/>
          </w:tcPr>
          <w:p w14:paraId="5A125307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Wojewódzki Urząd Pracy w Opolu</w:t>
            </w:r>
          </w:p>
        </w:tc>
      </w:tr>
      <w:tr w:rsidR="00E0281C" w:rsidRPr="00E0281C" w14:paraId="672BDE5C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2B2FE333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Wysokość alokacji ogółem (EUR)</w:t>
            </w:r>
          </w:p>
        </w:tc>
      </w:tr>
      <w:tr w:rsidR="00E0281C" w:rsidRPr="00E0281C" w14:paraId="742F9D3E" w14:textId="77777777" w:rsidTr="0066577E">
        <w:tc>
          <w:tcPr>
            <w:tcW w:w="9062" w:type="dxa"/>
          </w:tcPr>
          <w:p w14:paraId="18FE7087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2 647 059,00</w:t>
            </w:r>
          </w:p>
        </w:tc>
      </w:tr>
      <w:tr w:rsidR="00E0281C" w:rsidRPr="00E0281C" w14:paraId="42CE2C3C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61B0482F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Wysokość alokacji UE (EUR)</w:t>
            </w:r>
          </w:p>
        </w:tc>
      </w:tr>
      <w:tr w:rsidR="00E0281C" w:rsidRPr="00E0281C" w14:paraId="2CB458E6" w14:textId="77777777" w:rsidTr="0066577E">
        <w:tc>
          <w:tcPr>
            <w:tcW w:w="9062" w:type="dxa"/>
          </w:tcPr>
          <w:p w14:paraId="7A83C89E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2 250 000,00</w:t>
            </w:r>
          </w:p>
        </w:tc>
      </w:tr>
      <w:tr w:rsidR="00E0281C" w:rsidRPr="00E0281C" w14:paraId="66A187D9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1DC34101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Zakres interwencji</w:t>
            </w:r>
          </w:p>
        </w:tc>
      </w:tr>
      <w:tr w:rsidR="00E0281C" w:rsidRPr="00E0281C" w14:paraId="45307BDD" w14:textId="77777777" w:rsidTr="0066577E">
        <w:tc>
          <w:tcPr>
            <w:tcW w:w="9062" w:type="dxa"/>
          </w:tcPr>
          <w:p w14:paraId="5DE56A6B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163 - Promowanie integracji społecznej osób zagrożonych ubóstwem lub wykluczeniem społecznym, w tym osób najbardziej potrzebujących i dzieci</w:t>
            </w:r>
          </w:p>
        </w:tc>
      </w:tr>
      <w:tr w:rsidR="00E0281C" w:rsidRPr="00E0281C" w14:paraId="2FF5CDFD" w14:textId="77777777" w:rsidTr="0066577E">
        <w:tblPrEx>
          <w:shd w:val="clear" w:color="auto" w:fill="F2F2F2" w:themeFill="light1" w:themeFillShade="F2"/>
        </w:tblPrEx>
        <w:tc>
          <w:tcPr>
            <w:tcW w:w="9062" w:type="dxa"/>
            <w:shd w:val="clear" w:color="auto" w:fill="F2F2F2" w:themeFill="light1" w:themeFillShade="F2"/>
          </w:tcPr>
          <w:p w14:paraId="700CA3D3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Opis działania</w:t>
            </w:r>
          </w:p>
        </w:tc>
      </w:tr>
      <w:tr w:rsidR="00E0281C" w:rsidRPr="00E0281C" w14:paraId="1745760C" w14:textId="77777777" w:rsidTr="0066577E">
        <w:tc>
          <w:tcPr>
            <w:tcW w:w="9062" w:type="dxa"/>
          </w:tcPr>
          <w:p w14:paraId="03EC31F7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Planowane typy przedsięwzięć: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1. Usługi aktywnej integracji realizowane poprzez kompleksowe programy aktywizacji osób biernych zawodowo oraz osób i rodzin zagrożonych ubóstwem lub wykluczeniem społecznym w zakresie: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a) aktywizacji społecznej, mającej na celu nabycie, przywrócenie lub wzmocnienie kompetencji społecznych, zaradności, samodzielności i aktywności społecznej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b) aktywizacji zawodowej, mającej na celu pomoc w podjęciu decyzji dotyczącej wyboru lub zmiany zawodu, wyposażenie w kompetencje i kwalifikacje zawodowe oraz umiejętności pożądane na rynku pracy poprzez m.in. udział w zajęciach w jednostkach reintegracyjnych, kursach, szkoleniach zawodowych, pomoc w utrzymaniu zatrudnienia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c) aktywizacji edukacyjnej, mającej na celu nabycie lub potwierdzenie kompetencji ogólnych lub zawodowych dostosowanych do potrzeb rynku pracy, prowadzące do uzyskania kwalifikacji (m.in. w ramach edukacji formalnej)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d) aktywizacji zdrowotnej, mającej na celu wyeliminowanie lub złagodzenie barier zdrowotnych utrudniających funkcjonowanie w społeczeństwie lub powodujących oddalenie od rynku pracy.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2. Usługi aktywnej integracji, w tym aktywizacja społ.-zawodowa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(poprzedzona analizą potrzeb) realizowane poprzez: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a) wsparcie psychologiczne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b) specjalistyczne konsultacje indywidualne i grupowe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c) poradnictwo prawne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d) doradztwo zawodowe i pośrednictwo pracy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e) szkolenia i kursy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f) subsydiowanie zatrudnienia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g) staże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h) mentoring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i) zatrudnienie wspomagane, zatrudnienie przejściowe (dzielenie jednego etatu przez kilku pracowników z niepełnosprawnościami, w zależności od ich możliwości do wykonywania czynności na stanowisku pracy)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j) usługi reintegracji społ.-zawodowej realizowane w ramach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jednostek reintegracyjnych.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3. Usługi reintegracji społecznej i zawodowej realizowane w ramach CIS i KIS w szczególności w zakresie: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a) stworzenia nowych miejsc reintegracji w nowych i istniejących CIS i KIS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b) obejmowania osób już wspieranych w podmiotach reintegracyjnych nowymi usługami.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4. Usługi reintegracji społecznej i zawodowej  realizowane w ramach WTZ poprzez: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a) wsparcie usługami reintegracji społecznej i zawodowej nowych i/lub dotychczasowych uczestników istniejących WTZ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b) wsparcie uczestników WTZ ofertą w postaci usług aktywnej integracji obowiązkowo ukierunkowaną na przygotowanie uczestników WTZ do podjęcia zatrudnienia: w ZAZ, na otwartym lub chronionym rynku pracy lub w przedsiębiorczości społecznej, m.in. poprzez wykorzystanie usług asystenckich oraz usług trenera pracy umożliwiających uzyskanie lub utrzymanie zatrudnienia, umożliwia także realizację praktyk lub staży dla uczestników WTZ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c) tworzenie nowych WTZ.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5. Usługi reintegracji społecznej i zawodowej realizowane w ramach ZAZ: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a) zwiększenie liczby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zatrudnionych w istniejących ZAZ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b) wsparcie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dotychczas zatrudnionych w ZAZ, nowymi usługami  reintegracji społ. i zawodowej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c) tworzenie nowych ZAZ.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6. Tworzenie mieszkań treningowych i wspomaganych dla odbiorców usług w podmiotach reintegracyjnych jako element kompleksowego projektu.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7. Działania na rzecz zapewnienia osobom zagrożonym ubóstwem lub wykluczeniem społecznym poprawy kompetencji w zakresie spędzania czasu wolnego i rekreacji oraz uczestnictwa w kulturze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(jedynie jako element kompleksowego projektu stanowiący działania towarzyszące usługom aktywnej integracji), w tym m.in.: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a) animacja kulturalna w środowisku lokalnym, w tym m.in. pikniki edukacyjne, warsztaty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b) udział w formach proponowanych przez organizacje społeczeństwa obywatelskiego w środowisku lokalnym z zakresu aktywizacji społ.-kulturalnej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c) uczestnictwo w formach proponowanych przez instytucje kultury, rekreacji i innych form spędzania czasu wolnego w regionie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d) formy spędzania czasu wolnego, w tym w zakresie kultury i rekreacji.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8. Budowanie potencjału organizacji społeczeństwa obywatelskiego do realizacji działań na rzecz włączenia społ. (jako element projektu).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Warunki realizacji projektów: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1. Działania świadomościowe (kampanie informacyjne i działania upowszechniające) będą możliwe do finansowania jedynie, jeśli będą stanowić część projektu i będą uzupełniać działania o charakterze wdrożeniowym w ramach tego projektu z zastrzeżeniem, iż nie mogą przekroczyć 10% kosztów kwalifikowalnych.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2. Wsparcie jest zgodne ze „Strategią Rozwoju Usług Społecznych, polityka publiczna do roku 2030 (z perspektywą do 2035r.)”, RPDI oraz z „Krajowym Programem Przeciwdziałania Ubóstwu i Wykluczeniu Społecznemu. Aktualizacja 2021–2027, polityka publiczna z perspektywą do roku 2030”.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3. Wszystkie typy przedsięwzięć, które stanowią formy pomocy w rozumieniu ustawy z 20 marca 2025 r. o rynku pracy i służbach zatrudnienia są realizowane zgodnie z tą ustawą i odpowiednimi aktami wykonawczymi do niej.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4. Interwencja w obszarze włączenia społecznego jest planowana i wdrażana we współpracy z ROPS w Opolu, a w przypadku usług społ. planowanie i realizacja interwencji odbywa się zgodnie z kierunkami wskazanymi w RPDI.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5. Wsparcie oferowane osobom biernym zawodowo oraz osobom i rodzinom zagrożonym ubóstwem lub wykluczeniem społ. jest dostosowane do indywidualnych potrzeb tych osób oraz cechuje się kompleksowością.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6. W przypadku wsparcia osób biernych zawodowo niezbędna jest odpowiednia identyfikacja powodów bierności zawodowej i przygotowanie opracowanego na tej podstawie dopasowanego do potrzeb danej osoby indywidualnego planu działania, zawierającego co najmniej analizę potencjału uczestnika, uwarunkowań zdrowotnych i społecznych uczestnika, przyczyn pozostawania bez pracy i deficytów uczestnika, predyspozycji zawodowych oraz wskazanie kierunków rozwoju uczestnika.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7. Wsparcie przeznaczone dla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jest dostosowane do osobistych preferencji tych osób oraz rodzaju niepełnosprawności.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8. Wsparcie realizowane jest z wykorzystaniem kontraktu socjalnego lub innego rodzaju programów przewidzianych w ustawie o pomocy społecznej, w tym indywidualnych programów, programów aktywności lokalnej i projektów socjalnych albo umowy na wzór kontraktu socjalnego.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9. Wsparcie odbywa się w oparciu o ścieżkę reintegracji, stworzoną indywidualnie dla każdej osoby, rodziny, środowiska wymienionych w podrozdziale 4.2, pkt 1 lit. b-p Wytycznych dot. realizacji projektów z udziałem środków EFS+ w regionalnych programach na lata 2021-2027, z uwzględnieniem diagnozy sytuacji problemowej, zasobów, potencjału, predyspozycji, potrzeb.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10. Usługi aktywnej integracji o charakterze zawodowym dla osób,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rodzin i środowisk nie mogą stanowić pierwszego elementu wsparcia w ramach ścieżki reintegracji (nie dotyczy projektów realizowanych przez podmioty reintegracyjne).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11. Wsparcie dla osób odbywających karę pozbawienia wolności nie będzie udzielane, z wyjątkiem osób objętych dozorem elektronicznym.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12. Projekty obejmujące wyłącznie pracę socjalną nie będą wybierane do dofinansowania.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13. Zapewniona zostanie trwałość podmiotów reintegracyjnych utworzonych ze środków EFS+ po zakończeniu realizacji projektu, co najmniej przez okres odpowiadający okresowi realizacji projektu.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14. Wsparcie dotyczące aktywizacji zawodowej jest realizowane na zasadach określonych w Wytycznych dot. realizacji projektów z udziałem środków EFS+ w regionalnych programach na lata 2021-2027 w części dot. rynku pracy lub na podstawie przepisów szczegółowych obowiązujących dany rodzaj podmiotu udzielającego wsparcia.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15. Subsydiowanie zatrudnienia jest realizowane zgodnie z warunkami dla działania 5.5.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16. Możliwa jest realizacja działań wspierających tworzenie miejsc pracy dla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w szczególności poprzez wyposażenie lub doposażenie stanowiska pracy na potrzeby zatrudnienia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dostosowanie stanowiska pracy do potrzeb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. Działania wspierające tworzenie miejsc pracy dla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mogą być realizowane wyłącznie jako element kompleksowych projektów obejmujących aktywizację społ.-zawodową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17. Wsparcie w postaci mieszkań treningowych i mieszkań wspomaganych musi być realizowane zgodnie z warunkami i standardami określonymi w Wytycznych dotyczących realizacji projektów z udziałem środków EFS+ w regionalnych programach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 xml:space="preserve">na lata 2021-2027.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18.  Warunkiem udzielenia wsparcia w WTZ jest wypracowanie realnej ścieżki przejścia uczestników do ZAZ przez określony czas (1-2 lata) oraz finansowanie konkretnych uczestników warsztatów (wsparcie indywidualne) lub przejście uczestnika do zakładu pracy chronionej lub na otwarty rynek pracy, w tym do przedsiębiorstw społecznych.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19. Wsparcie w ramach ZAZ może być udzielane przez określony czas (1-2 lata wsparcia dla uczestnika) i z założeniem, że 5-10% uczestników ZAZ wejdzie na otwarty rynek pracy/zarejestruje się w PUP.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20. Aktywizacja społeczno-zawodowa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będzie udzielana zgodnie z Konwencją ONZ o prawach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co oznacza, że działania koncentrować się będą na promowaniu otwartego rynku pracy dla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21. Brak możliwości finansowania wsparcia powodującego segregację społeczną i przestrzenną osób zagrożonych ubóstwem lub wykluczeniem społecznym, w tym zwłaszcza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OzN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22. Wsparcie powinno być skoncentrowane na osobach najbardziej oddalonych od rynku pracy, które nie są gotowe do podjęcia pracy, doświadczających złożonych problemów powodujących ubóstwo i wykluczenie społeczne, które w pierwszej kolejności wymagają kompleksowego wsparcia z wykorzystaniem instrumentów aktywizacji społecznej lub zawodowej.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>23. Pozostałe warunki niezbędne do realizacji projektów niewskazane w SZOP 2021-2027 dla działania określone są w pozostałych dokumentach IZ FEO niezbędnych dla przeprowadzenia procedury konkurencyjnej/niekonkurencyjnej, w tym w Regulaminie wyboru projektów/umowie o dofinansowanie/decyzji o dofinansowaniu.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br/>
            </w:r>
          </w:p>
        </w:tc>
      </w:tr>
      <w:tr w:rsidR="00E0281C" w:rsidRPr="00E0281C" w14:paraId="30934E27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5ECE6F5E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Maksymalny % poziom dofinansowania UE w projekcie</w:t>
            </w:r>
          </w:p>
        </w:tc>
      </w:tr>
      <w:tr w:rsidR="00E0281C" w:rsidRPr="00E0281C" w14:paraId="4CA7903A" w14:textId="77777777" w:rsidTr="0066577E">
        <w:tc>
          <w:tcPr>
            <w:tcW w:w="9062" w:type="dxa"/>
          </w:tcPr>
          <w:p w14:paraId="1E2A0251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85</w:t>
            </w:r>
          </w:p>
        </w:tc>
      </w:tr>
      <w:tr w:rsidR="00E0281C" w:rsidRPr="00E0281C" w14:paraId="7A3F243A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5354E0C1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Maksymalny % poziom dofinansowania całkowitego wydatków kwalifikowalnych na poziomie projektu (środki UE + współfinansowanie ze środków krajowych przyznane beneficjentowi przez właściwą instytucję)</w:t>
            </w:r>
          </w:p>
        </w:tc>
      </w:tr>
      <w:tr w:rsidR="00E0281C" w:rsidRPr="00E0281C" w14:paraId="1D26FA0B" w14:textId="77777777" w:rsidTr="0066577E">
        <w:tc>
          <w:tcPr>
            <w:tcW w:w="9062" w:type="dxa"/>
          </w:tcPr>
          <w:p w14:paraId="635DB649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95</w:t>
            </w:r>
          </w:p>
        </w:tc>
      </w:tr>
      <w:tr w:rsidR="00E0281C" w:rsidRPr="00E0281C" w14:paraId="447A874E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7B534492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Pomoc publiczna – unijna podstawa prawna</w:t>
            </w:r>
          </w:p>
        </w:tc>
      </w:tr>
      <w:tr w:rsidR="00E0281C" w:rsidRPr="00E0281C" w14:paraId="0A5E70C4" w14:textId="77777777" w:rsidTr="0066577E">
        <w:tc>
          <w:tcPr>
            <w:tcW w:w="9062" w:type="dxa"/>
          </w:tcPr>
          <w:p w14:paraId="2BA5955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Bez pomocy, Rozporządzenie Komisji (UE) 2023/2831 z dnia 13 grudnia 2023 r. w sprawie stosowania art. 107 i 108 Traktatu o funkcjonowaniu Unii Europejskiej do pomocy de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minimis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(Dz. Urz. UE L z 15.12.2023), Rozporządzenie Komisji (UE) nr 651/2014 z dnia 17 czerwca 2014 r. uznające niektóre rodzaje pomocy za zgodne z rynkiem wewnętrznym w zastosowaniu art. 107 i 108 Traktatu (Dz. Urz. UE L 187 z 26.06.2014, str. 1, z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późn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. zm.)</w:t>
            </w:r>
          </w:p>
        </w:tc>
      </w:tr>
      <w:tr w:rsidR="00E0281C" w:rsidRPr="00E0281C" w14:paraId="23A3EDE3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6418B9FC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Pomoc publiczna – krajowa podstawa prawna</w:t>
            </w:r>
          </w:p>
        </w:tc>
      </w:tr>
      <w:tr w:rsidR="00E0281C" w:rsidRPr="00E0281C" w14:paraId="4196A17A" w14:textId="77777777" w:rsidTr="0066577E">
        <w:tc>
          <w:tcPr>
            <w:tcW w:w="9062" w:type="dxa"/>
          </w:tcPr>
          <w:p w14:paraId="62E9E22C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Bez pomocy, Rozporządzenie Ministra Funduszy i Polityki Regionalnej z dnia 20 grudnia 2022 r. w sprawie udzielania pomocy de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minimis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oraz pomocy publicznej w ramach programów finansowanych z Europejskiego Funduszu Społecznego Plus (EFS+) na lata 2021–2027 (Dz.U. 2025 poz. 37)</w:t>
            </w:r>
          </w:p>
        </w:tc>
      </w:tr>
      <w:tr w:rsidR="00E0281C" w:rsidRPr="00E0281C" w14:paraId="692DA6F1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4ABDA9F3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Uproszczone metody rozliczania</w:t>
            </w:r>
          </w:p>
        </w:tc>
      </w:tr>
      <w:tr w:rsidR="00E0281C" w:rsidRPr="00E0281C" w14:paraId="65F17C99" w14:textId="77777777" w:rsidTr="0066577E">
        <w:tc>
          <w:tcPr>
            <w:tcW w:w="9062" w:type="dxa"/>
          </w:tcPr>
          <w:p w14:paraId="176A5953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do 25% stawka ryczałtowa na koszty pośrednie w oparciu o metodykę IZ (podstawa wyliczenia: koszty bezpośrednie) [art.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54(c) CPR]</w:t>
            </w:r>
          </w:p>
        </w:tc>
      </w:tr>
      <w:tr w:rsidR="00E0281C" w:rsidRPr="00E0281C" w14:paraId="202E0C7E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7C45E34D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Forma wsparcia</w:t>
            </w:r>
          </w:p>
        </w:tc>
      </w:tr>
      <w:tr w:rsidR="00E0281C" w:rsidRPr="00E0281C" w14:paraId="5DF2E770" w14:textId="77777777" w:rsidTr="0066577E">
        <w:tc>
          <w:tcPr>
            <w:tcW w:w="9062" w:type="dxa"/>
          </w:tcPr>
          <w:p w14:paraId="21A1F9A5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Dotacja</w:t>
            </w:r>
          </w:p>
        </w:tc>
      </w:tr>
      <w:tr w:rsidR="00E0281C" w:rsidRPr="00E0281C" w14:paraId="4BF4088F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4AA58BE1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Dopuszczalny cross-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financing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 (%)</w:t>
            </w:r>
          </w:p>
        </w:tc>
      </w:tr>
      <w:tr w:rsidR="00E0281C" w:rsidRPr="00E0281C" w14:paraId="53B092C6" w14:textId="77777777" w:rsidTr="0066577E">
        <w:tc>
          <w:tcPr>
            <w:tcW w:w="9062" w:type="dxa"/>
          </w:tcPr>
          <w:p w14:paraId="6BF93D46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15</w:t>
            </w:r>
          </w:p>
        </w:tc>
      </w:tr>
      <w:tr w:rsidR="00E0281C" w:rsidRPr="00E0281C" w14:paraId="4C8D1EC9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37FBA8F2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Minimalny wkład własny beneficjenta</w:t>
            </w:r>
          </w:p>
        </w:tc>
      </w:tr>
      <w:tr w:rsidR="00E0281C" w:rsidRPr="00E0281C" w14:paraId="05F13695" w14:textId="77777777" w:rsidTr="0066577E">
        <w:tc>
          <w:tcPr>
            <w:tcW w:w="9062" w:type="dxa"/>
          </w:tcPr>
          <w:p w14:paraId="5CE2DAD0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5%</w:t>
            </w:r>
          </w:p>
        </w:tc>
      </w:tr>
      <w:tr w:rsidR="00E0281C" w:rsidRPr="00E0281C" w14:paraId="31F28AF3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11C79D8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Sposób wyboru projektów</w:t>
            </w:r>
          </w:p>
        </w:tc>
      </w:tr>
      <w:tr w:rsidR="00E0281C" w:rsidRPr="00E0281C" w14:paraId="0703B9BC" w14:textId="77777777" w:rsidTr="0066577E">
        <w:tc>
          <w:tcPr>
            <w:tcW w:w="9062" w:type="dxa"/>
          </w:tcPr>
          <w:p w14:paraId="40C95662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Konkurencyjny, Niekonkurencyjny</w:t>
            </w:r>
          </w:p>
        </w:tc>
      </w:tr>
      <w:tr w:rsidR="00E0281C" w:rsidRPr="00E0281C" w14:paraId="5003DF9B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34F9036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Realizacja instrumentów terytorialnych</w:t>
            </w:r>
          </w:p>
        </w:tc>
      </w:tr>
      <w:tr w:rsidR="00E0281C" w:rsidRPr="00E0281C" w14:paraId="614EA46C" w14:textId="77777777" w:rsidTr="0066577E">
        <w:tc>
          <w:tcPr>
            <w:tcW w:w="9062" w:type="dxa"/>
          </w:tcPr>
          <w:p w14:paraId="3FA613B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Nie dotyczy</w:t>
            </w:r>
          </w:p>
        </w:tc>
      </w:tr>
      <w:tr w:rsidR="00E0281C" w:rsidRPr="00E0281C" w14:paraId="1B1CF605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2106C0BE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Typ beneficjenta – ogólny</w:t>
            </w:r>
          </w:p>
        </w:tc>
      </w:tr>
      <w:tr w:rsidR="00E0281C" w:rsidRPr="00E0281C" w14:paraId="2293457D" w14:textId="77777777" w:rsidTr="0066577E">
        <w:tc>
          <w:tcPr>
            <w:tcW w:w="9062" w:type="dxa"/>
          </w:tcPr>
          <w:p w14:paraId="4116CBBF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Administracja publiczna, Organizacje społeczne i związki wyznaniowe, Przedsiębiorstwa, Służby publiczne</w:t>
            </w:r>
          </w:p>
        </w:tc>
      </w:tr>
      <w:tr w:rsidR="00E0281C" w:rsidRPr="00E0281C" w14:paraId="7FE3BB0F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06DDA3DB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Typ beneficjenta – szczegółowy</w:t>
            </w:r>
          </w:p>
        </w:tc>
      </w:tr>
      <w:tr w:rsidR="00E0281C" w:rsidRPr="00E0281C" w14:paraId="3F997470" w14:textId="77777777" w:rsidTr="0066577E">
        <w:tc>
          <w:tcPr>
            <w:tcW w:w="9062" w:type="dxa"/>
          </w:tcPr>
          <w:p w14:paraId="5E8C189F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Centra aktywności lokalnej, Duże przedsiębiorstwa, Instytucje integracji i pomocy społecznej, Instytucje rynku pracy, Jednostki Samorządu Terytorialnego, Kościoły i związki wyznaniowe, MŚP, Niepubliczne podmioty integracji i pomocy społecznej, Organizacje pozarządowe, Podmioty ekonomii społecznej</w:t>
            </w:r>
          </w:p>
        </w:tc>
      </w:tr>
      <w:tr w:rsidR="00E0281C" w:rsidRPr="00E0281C" w14:paraId="1FA3EB24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7D14BD02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Grupa docelowa</w:t>
            </w:r>
          </w:p>
        </w:tc>
      </w:tr>
      <w:tr w:rsidR="00E0281C" w:rsidRPr="00E0281C" w14:paraId="551AAA5B" w14:textId="77777777" w:rsidTr="0066577E">
        <w:tc>
          <w:tcPr>
            <w:tcW w:w="9062" w:type="dxa"/>
          </w:tcPr>
          <w:p w14:paraId="6E808FD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organizacje społeczeństwa obywatelskiego, osoby bierne zawodowo, osoby z niepełnosprawnościami, osoby zagrożone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ubóstwem lub wykluczeniem społecznym, otoczenie osób zagrożonych ubóstwem lub wykluczeniem społecznym, rodziny i społeczności lokalne zagrożone ubóstwem i wykluczeniem społecznym</w:t>
            </w:r>
          </w:p>
        </w:tc>
      </w:tr>
      <w:tr w:rsidR="00E0281C" w:rsidRPr="00E0281C" w14:paraId="3ABBC2D0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7B064616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Słowa kluczowe</w:t>
            </w:r>
          </w:p>
        </w:tc>
      </w:tr>
      <w:tr w:rsidR="00E0281C" w:rsidRPr="00E0281C" w14:paraId="7AA5F94C" w14:textId="77777777" w:rsidTr="0066577E">
        <w:tc>
          <w:tcPr>
            <w:tcW w:w="9062" w:type="dxa"/>
          </w:tcPr>
          <w:p w14:paraId="502D731D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aktywizacja_społeczna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aktywizacja_zawodowa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centra_integracji_społecznej_CIS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kluby_integracji_społecznej_KIS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osoby_z_niepełnosprawnościami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włączenie_społeczne</w:t>
            </w:r>
            <w:proofErr w:type="spellEnd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, </w:t>
            </w:r>
            <w:proofErr w:type="spellStart"/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zakłady_aktywności_zawodowej_ZAZ</w:t>
            </w:r>
            <w:proofErr w:type="spellEnd"/>
          </w:p>
        </w:tc>
      </w:tr>
      <w:tr w:rsidR="00E0281C" w:rsidRPr="00E0281C" w14:paraId="2B9ACF6F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4C59C9AD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Wielkość podmiotu (w przypadku przedsiębiorstw)</w:t>
            </w:r>
          </w:p>
        </w:tc>
      </w:tr>
      <w:tr w:rsidR="00E0281C" w:rsidRPr="00E0281C" w14:paraId="4CD01898" w14:textId="77777777" w:rsidTr="0066577E">
        <w:tc>
          <w:tcPr>
            <w:tcW w:w="9062" w:type="dxa"/>
          </w:tcPr>
          <w:p w14:paraId="6D14AA2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Duże, Małe, Mikro, Średnie</w:t>
            </w:r>
          </w:p>
        </w:tc>
      </w:tr>
      <w:tr w:rsidR="00E0281C" w:rsidRPr="00E0281C" w14:paraId="1B1559B5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664C6040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Kryteria wyboru projektów</w:t>
            </w:r>
          </w:p>
        </w:tc>
      </w:tr>
      <w:tr w:rsidR="00E0281C" w:rsidRPr="00E0281C" w14:paraId="5339C45C" w14:textId="77777777" w:rsidTr="0066577E">
        <w:tc>
          <w:tcPr>
            <w:tcW w:w="9062" w:type="dxa"/>
          </w:tcPr>
          <w:p w14:paraId="1D1F4228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https://funduszeue.opolskie.pl/komitet-monitorujacy-feo-2021-2027</w:t>
            </w:r>
          </w:p>
        </w:tc>
      </w:tr>
      <w:tr w:rsidR="00E0281C" w:rsidRPr="00E0281C" w14:paraId="20FC82E9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6A2ED05E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Wskaźniki produktu</w:t>
            </w:r>
          </w:p>
        </w:tc>
      </w:tr>
      <w:tr w:rsidR="00E0281C" w:rsidRPr="00E0281C" w14:paraId="620FF541" w14:textId="77777777" w:rsidTr="0066577E">
        <w:tc>
          <w:tcPr>
            <w:tcW w:w="9062" w:type="dxa"/>
          </w:tcPr>
          <w:p w14:paraId="1236F98B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WLWK-PL0CO02 - Liczba obiektów dostosowanych do potrzeb osób z niepełnosprawnościami</w:t>
            </w:r>
          </w:p>
        </w:tc>
      </w:tr>
      <w:tr w:rsidR="00E0281C" w:rsidRPr="00E0281C" w14:paraId="5E9866A3" w14:textId="77777777" w:rsidTr="0066577E">
        <w:tc>
          <w:tcPr>
            <w:tcW w:w="9062" w:type="dxa"/>
          </w:tcPr>
          <w:p w14:paraId="19409B7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WLWK-EECO19 - Liczba objętych wsparciem mikro-, małych i średnich przedsiębiorstw (w tym spółdzielni i przedsiębiorstw społecznych)</w:t>
            </w:r>
          </w:p>
        </w:tc>
      </w:tr>
      <w:tr w:rsidR="00E0281C" w:rsidRPr="00E0281C" w14:paraId="67135DF9" w14:textId="77777777" w:rsidTr="0066577E">
        <w:tc>
          <w:tcPr>
            <w:tcW w:w="9062" w:type="dxa"/>
          </w:tcPr>
          <w:p w14:paraId="17A66F95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WLWK-EECO18 - Liczba objętych wsparciem podmiotów administracji publicznej lub służb publicznych na szczeblu krajowym, regionalnym lub lokalnym</w:t>
            </w:r>
          </w:p>
        </w:tc>
      </w:tr>
      <w:tr w:rsidR="00E0281C" w:rsidRPr="00E0281C" w14:paraId="10F0BCA8" w14:textId="77777777" w:rsidTr="0066577E">
        <w:tc>
          <w:tcPr>
            <w:tcW w:w="9062" w:type="dxa"/>
          </w:tcPr>
          <w:p w14:paraId="6D091829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WLWK-EECO02 - Liczba osób bezrobotnych, w tym długotrwale </w:t>
            </w: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bezrobotnych, objętych wsparciem w programie</w:t>
            </w:r>
          </w:p>
        </w:tc>
      </w:tr>
      <w:tr w:rsidR="00E0281C" w:rsidRPr="00E0281C" w14:paraId="63C13F96" w14:textId="77777777" w:rsidTr="0066577E">
        <w:tc>
          <w:tcPr>
            <w:tcW w:w="9062" w:type="dxa"/>
          </w:tcPr>
          <w:p w14:paraId="7E8231E6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WLWK-EECO04 - Liczba osób biernych zawodowo objętych wsparciem w programie</w:t>
            </w:r>
          </w:p>
        </w:tc>
      </w:tr>
      <w:tr w:rsidR="00E0281C" w:rsidRPr="00E0281C" w14:paraId="361FF87B" w14:textId="77777777" w:rsidTr="0066577E">
        <w:tc>
          <w:tcPr>
            <w:tcW w:w="9062" w:type="dxa"/>
          </w:tcPr>
          <w:p w14:paraId="07B1413A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WLWK-EECO03 - Liczba osób długotrwale bezrobotnych objętych wsparciem w programie</w:t>
            </w:r>
          </w:p>
        </w:tc>
      </w:tr>
      <w:tr w:rsidR="00E0281C" w:rsidRPr="00E0281C" w14:paraId="3A461307" w14:textId="77777777" w:rsidTr="0066577E">
        <w:tc>
          <w:tcPr>
            <w:tcW w:w="9062" w:type="dxa"/>
          </w:tcPr>
          <w:p w14:paraId="038C592F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WLWK-EECO15 - Liczba osób należących do mniejszości, w tym społeczności marginalizowanych takich jak Romowie, objętych wsparciem w programie</w:t>
            </w:r>
          </w:p>
        </w:tc>
      </w:tr>
      <w:tr w:rsidR="00E0281C" w:rsidRPr="00E0281C" w14:paraId="268F1A59" w14:textId="77777777" w:rsidTr="0066577E">
        <w:tc>
          <w:tcPr>
            <w:tcW w:w="9062" w:type="dxa"/>
          </w:tcPr>
          <w:p w14:paraId="2D54BACD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WLWK-EECO02+04 - Liczba osób niezatrudnionych objętych wsparciem w programie</w:t>
            </w:r>
          </w:p>
        </w:tc>
      </w:tr>
      <w:tr w:rsidR="00E0281C" w:rsidRPr="00E0281C" w14:paraId="27221C3B" w14:textId="77777777" w:rsidTr="0066577E">
        <w:tc>
          <w:tcPr>
            <w:tcW w:w="9062" w:type="dxa"/>
          </w:tcPr>
          <w:p w14:paraId="5AF293EF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WLWK-EECO14 - Liczba osób obcego pochodzenia objętych wsparciem w programie</w:t>
            </w:r>
          </w:p>
        </w:tc>
      </w:tr>
      <w:tr w:rsidR="00E0281C" w:rsidRPr="00E0281C" w14:paraId="733D3FEE" w14:textId="77777777" w:rsidTr="0066577E">
        <w:tc>
          <w:tcPr>
            <w:tcW w:w="9062" w:type="dxa"/>
          </w:tcPr>
          <w:p w14:paraId="62A1C631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WLWK-EECO16 - Liczba osób w kryzysie bezdomności lub dotkniętych wykluczeniem z dostępu do mieszkań, objętych wsparciem w programie</w:t>
            </w:r>
          </w:p>
        </w:tc>
      </w:tr>
      <w:tr w:rsidR="00E0281C" w:rsidRPr="00E0281C" w14:paraId="6916BF97" w14:textId="77777777" w:rsidTr="0066577E">
        <w:tc>
          <w:tcPr>
            <w:tcW w:w="9062" w:type="dxa"/>
          </w:tcPr>
          <w:p w14:paraId="0FCA9084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WLWK-EECO13 - Liczba osób z krajów trzecich objętych wsparciem w programie</w:t>
            </w:r>
          </w:p>
        </w:tc>
      </w:tr>
      <w:tr w:rsidR="00E0281C" w:rsidRPr="00E0281C" w14:paraId="0A872185" w14:textId="77777777" w:rsidTr="0066577E">
        <w:tc>
          <w:tcPr>
            <w:tcW w:w="9062" w:type="dxa"/>
          </w:tcPr>
          <w:p w14:paraId="28C0E111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WLWK-EECO12 - Liczba osób z niepełnosprawnościami objętych wsparciem w programie</w:t>
            </w:r>
          </w:p>
        </w:tc>
      </w:tr>
      <w:tr w:rsidR="00E0281C" w:rsidRPr="00E0281C" w14:paraId="7544B933" w14:textId="77777777" w:rsidTr="0066577E">
        <w:tc>
          <w:tcPr>
            <w:tcW w:w="9062" w:type="dxa"/>
          </w:tcPr>
          <w:p w14:paraId="7D1DA4B5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WLWK-PL0CO01 - Liczba projektów, w których sfinansowano koszty racjonalnych usprawnień dla osób z niepełnosprawnościami</w:t>
            </w:r>
          </w:p>
        </w:tc>
      </w:tr>
      <w:tr w:rsidR="00E0281C" w:rsidRPr="00E0281C" w14:paraId="55B08D87" w14:textId="77777777" w:rsidTr="0066577E">
        <w:tc>
          <w:tcPr>
            <w:tcW w:w="9062" w:type="dxa"/>
            <w:shd w:val="clear" w:color="auto" w:fill="F2F2F2" w:themeFill="light1" w:themeFillShade="F2"/>
          </w:tcPr>
          <w:p w14:paraId="6881C6B2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Wskaźniki rezultatu</w:t>
            </w:r>
          </w:p>
        </w:tc>
      </w:tr>
      <w:tr w:rsidR="00E0281C" w:rsidRPr="00E0281C" w14:paraId="34806AA4" w14:textId="77777777" w:rsidTr="0066577E">
        <w:tc>
          <w:tcPr>
            <w:tcW w:w="9062" w:type="dxa"/>
          </w:tcPr>
          <w:p w14:paraId="71325F56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WLWK-EECR03 - Liczba osób, które uzyskały kwalifikacje po opuszczeniu programu</w:t>
            </w:r>
          </w:p>
        </w:tc>
      </w:tr>
      <w:tr w:rsidR="00E0281C" w:rsidRPr="00E0281C" w14:paraId="22BF3022" w14:textId="77777777" w:rsidTr="0066577E">
        <w:tc>
          <w:tcPr>
            <w:tcW w:w="9062" w:type="dxa"/>
          </w:tcPr>
          <w:p w14:paraId="3D87EDEB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lastRenderedPageBreak/>
              <w:t>WLWK-PLHILCR01 - Liczba osób, których sytuacja społeczna uległa poprawie po opuszczeniu programu</w:t>
            </w:r>
          </w:p>
        </w:tc>
      </w:tr>
      <w:tr w:rsidR="00E0281C" w:rsidRPr="00E0281C" w14:paraId="541B3CA2" w14:textId="77777777" w:rsidTr="0066577E">
        <w:tc>
          <w:tcPr>
            <w:tcW w:w="9062" w:type="dxa"/>
          </w:tcPr>
          <w:p w14:paraId="1BA64113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WLWK-EECR01 - Liczba osób poszukujących pracy po opuszczeniu programu</w:t>
            </w:r>
          </w:p>
        </w:tc>
      </w:tr>
      <w:tr w:rsidR="00E0281C" w:rsidRPr="00E0281C" w14:paraId="65C3F4EF" w14:textId="77777777" w:rsidTr="0066577E">
        <w:tc>
          <w:tcPr>
            <w:tcW w:w="9062" w:type="dxa"/>
          </w:tcPr>
          <w:p w14:paraId="33F1FEAD" w14:textId="77777777" w:rsidR="00E0281C" w:rsidRPr="00E0281C" w:rsidRDefault="00E0281C" w:rsidP="00E0281C">
            <w:pPr>
              <w:spacing w:after="200" w:line="276" w:lineRule="auto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 w:rsidRPr="00E0281C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WLWK-EECR04 - Liczba osób pracujących, łącznie z prowadzącymi działalność na własny rachunek, po opuszczeniu programu</w:t>
            </w:r>
          </w:p>
        </w:tc>
      </w:tr>
    </w:tbl>
    <w:p w14:paraId="2EDBF5DA" w14:textId="4B0FEE70" w:rsidR="008F5627" w:rsidRPr="000E4E65" w:rsidRDefault="008F5627" w:rsidP="00D57C63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</w:p>
    <w:sectPr w:rsidR="008F5627" w:rsidRPr="000E4E65" w:rsidSect="005072F2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082B" w14:textId="77777777" w:rsidR="00AC64DB" w:rsidRDefault="00AC64DB" w:rsidP="002119AC">
      <w:pPr>
        <w:spacing w:after="0" w:line="240" w:lineRule="auto"/>
      </w:pPr>
      <w:r>
        <w:separator/>
      </w:r>
    </w:p>
  </w:endnote>
  <w:endnote w:type="continuationSeparator" w:id="0">
    <w:p w14:paraId="7686C401" w14:textId="77777777" w:rsidR="00AC64DB" w:rsidRDefault="00AC64DB" w:rsidP="0021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17FC" w14:textId="77777777" w:rsidR="00AC64DB" w:rsidRDefault="00AC64DB" w:rsidP="002119AC">
      <w:pPr>
        <w:spacing w:after="0" w:line="240" w:lineRule="auto"/>
      </w:pPr>
      <w:r>
        <w:separator/>
      </w:r>
    </w:p>
  </w:footnote>
  <w:footnote w:type="continuationSeparator" w:id="0">
    <w:p w14:paraId="0DDBF7CF" w14:textId="77777777" w:rsidR="00AC64DB" w:rsidRDefault="00AC64DB" w:rsidP="0021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CFDA" w14:textId="0448EC5C" w:rsidR="005072F2" w:rsidRPr="00850359" w:rsidRDefault="0060510A" w:rsidP="00850359">
    <w:pPr>
      <w:spacing w:line="276" w:lineRule="auto"/>
      <w:rPr>
        <w:rFonts w:ascii="Calibri" w:eastAsia="Calibri" w:hAnsi="Calibri" w:cs="Times New Roman"/>
        <w:b/>
        <w:bCs/>
        <w:iCs/>
        <w:sz w:val="24"/>
        <w:szCs w:val="24"/>
      </w:rPr>
    </w:pPr>
    <w:bookmarkStart w:id="1" w:name="_Hlk129158958"/>
    <w:r w:rsidRPr="0060510A">
      <w:rPr>
        <w:rFonts w:ascii="Calibri" w:eastAsia="Calibri" w:hAnsi="Calibri" w:cs="Times New Roman"/>
        <w:b/>
        <w:bCs/>
        <w:iCs/>
        <w:sz w:val="24"/>
        <w:szCs w:val="24"/>
      </w:rPr>
      <w:t>Załącznik nr 1</w:t>
    </w:r>
    <w:r>
      <w:rPr>
        <w:rFonts w:ascii="Calibri" w:eastAsia="Calibri" w:hAnsi="Calibri" w:cs="Times New Roman"/>
        <w:b/>
        <w:bCs/>
        <w:iCs/>
        <w:sz w:val="24"/>
        <w:szCs w:val="24"/>
      </w:rPr>
      <w:t>0</w:t>
    </w:r>
    <w:bookmarkEnd w:id="1"/>
    <w:r w:rsidR="0049561C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r w:rsidR="0049561C" w:rsidRPr="0049561C">
      <w:rPr>
        <w:rFonts w:ascii="Calibri" w:eastAsia="Calibri" w:hAnsi="Calibri" w:cs="Times New Roman"/>
        <w:b/>
        <w:bCs/>
        <w:iCs/>
        <w:sz w:val="24"/>
        <w:szCs w:val="24"/>
      </w:rPr>
      <w:t xml:space="preserve"> </w:t>
    </w:r>
    <w:r w:rsidR="00850359" w:rsidRPr="00850359">
      <w:rPr>
        <w:rFonts w:ascii="Calibri" w:eastAsia="Calibri" w:hAnsi="Calibri" w:cs="Times New Roman"/>
        <w:b/>
        <w:bCs/>
        <w:iCs/>
        <w:sz w:val="24"/>
        <w:szCs w:val="24"/>
      </w:rPr>
      <w:t>do Regulaminu wyboru projektów dotycząc</w:t>
    </w:r>
    <w:r w:rsidR="004D2F80">
      <w:rPr>
        <w:rFonts w:ascii="Calibri" w:eastAsia="Calibri" w:hAnsi="Calibri" w:cs="Times New Roman"/>
        <w:b/>
        <w:bCs/>
        <w:iCs/>
        <w:sz w:val="24"/>
        <w:szCs w:val="24"/>
      </w:rPr>
      <w:t xml:space="preserve">ego </w:t>
    </w:r>
    <w:r w:rsidR="00850359" w:rsidRPr="00850359">
      <w:rPr>
        <w:rFonts w:ascii="Calibri" w:eastAsia="Calibri" w:hAnsi="Calibri" w:cs="Times New Roman"/>
        <w:b/>
        <w:bCs/>
        <w:iCs/>
        <w:sz w:val="24"/>
        <w:szCs w:val="24"/>
      </w:rPr>
      <w:t xml:space="preserve">projektów złożonych </w:t>
    </w:r>
    <w:r w:rsidR="004D2F80">
      <w:rPr>
        <w:rFonts w:ascii="Calibri" w:eastAsia="Calibri" w:hAnsi="Calibri" w:cs="Times New Roman"/>
        <w:b/>
        <w:bCs/>
        <w:iCs/>
        <w:sz w:val="24"/>
        <w:szCs w:val="24"/>
      </w:rPr>
      <w:br/>
    </w:r>
    <w:r w:rsidR="00850359" w:rsidRPr="00850359">
      <w:rPr>
        <w:rFonts w:ascii="Calibri" w:eastAsia="Calibri" w:hAnsi="Calibri" w:cs="Times New Roman"/>
        <w:b/>
        <w:bCs/>
        <w:iCs/>
        <w:sz w:val="24"/>
        <w:szCs w:val="24"/>
      </w:rPr>
      <w:t>w ramach postępowania konkurencyjnego dla działania 6.2 Aktywizacja społeczno-zawodowa osób zagrożonych ubóstwem i wykluczeniem społecznym, priorytetu 6 Fundusze Europejskie wspierające włączenie społeczne w opolskim, programu regionalnego FEO 2021-2027 dla naborów nr: FEOP.06.02-IP.02-001/26</w:t>
    </w:r>
    <w:r w:rsidR="00062D28">
      <w:rPr>
        <w:rFonts w:ascii="Calibri" w:eastAsia="Calibri" w:hAnsi="Calibri" w:cs="Times New Roman"/>
        <w:b/>
        <w:bCs/>
        <w:iCs/>
        <w:sz w:val="24"/>
        <w:szCs w:val="24"/>
      </w:rPr>
      <w:t>,</w:t>
    </w:r>
    <w:r w:rsidR="00850359" w:rsidRPr="00850359">
      <w:rPr>
        <w:rFonts w:ascii="Calibri" w:eastAsia="Calibri" w:hAnsi="Calibri" w:cs="Times New Roman"/>
        <w:b/>
        <w:bCs/>
        <w:iCs/>
        <w:sz w:val="24"/>
        <w:szCs w:val="24"/>
      </w:rPr>
      <w:t xml:space="preserve"> FEOP.06.02-IP.02-002/26.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D85"/>
    <w:multiLevelType w:val="hybridMultilevel"/>
    <w:tmpl w:val="A23E8F8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2FE8"/>
    <w:multiLevelType w:val="hybridMultilevel"/>
    <w:tmpl w:val="0FB4DD20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CF6"/>
    <w:multiLevelType w:val="hybridMultilevel"/>
    <w:tmpl w:val="647201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B3B9F"/>
    <w:multiLevelType w:val="hybridMultilevel"/>
    <w:tmpl w:val="2364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3BF7"/>
    <w:multiLevelType w:val="hybridMultilevel"/>
    <w:tmpl w:val="8D242E40"/>
    <w:lvl w:ilvl="0" w:tplc="D76AB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0C7A3B"/>
    <w:multiLevelType w:val="hybridMultilevel"/>
    <w:tmpl w:val="C0DE9E60"/>
    <w:lvl w:ilvl="0" w:tplc="6AA6FC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C0746E"/>
    <w:multiLevelType w:val="hybridMultilevel"/>
    <w:tmpl w:val="CB6A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4D3E"/>
    <w:multiLevelType w:val="hybridMultilevel"/>
    <w:tmpl w:val="9BBE6956"/>
    <w:lvl w:ilvl="0" w:tplc="8822F92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0D1F33"/>
    <w:multiLevelType w:val="hybridMultilevel"/>
    <w:tmpl w:val="1A941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751A7E"/>
    <w:multiLevelType w:val="hybridMultilevel"/>
    <w:tmpl w:val="07CC7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6945"/>
    <w:multiLevelType w:val="hybridMultilevel"/>
    <w:tmpl w:val="23D05F40"/>
    <w:lvl w:ilvl="0" w:tplc="9FDA00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E36A5"/>
    <w:multiLevelType w:val="hybridMultilevel"/>
    <w:tmpl w:val="378E8A12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60941"/>
    <w:multiLevelType w:val="hybridMultilevel"/>
    <w:tmpl w:val="5D66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3CD3"/>
    <w:multiLevelType w:val="hybridMultilevel"/>
    <w:tmpl w:val="24F41C7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D7B80"/>
    <w:multiLevelType w:val="hybridMultilevel"/>
    <w:tmpl w:val="7B56F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67782"/>
    <w:multiLevelType w:val="hybridMultilevel"/>
    <w:tmpl w:val="11E4CE0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98B2022"/>
    <w:multiLevelType w:val="hybridMultilevel"/>
    <w:tmpl w:val="CE681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061C51"/>
    <w:multiLevelType w:val="hybridMultilevel"/>
    <w:tmpl w:val="B2F4F05C"/>
    <w:lvl w:ilvl="0" w:tplc="BB5435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4507F"/>
    <w:multiLevelType w:val="hybridMultilevel"/>
    <w:tmpl w:val="96DC132A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E2C13"/>
    <w:multiLevelType w:val="hybridMultilevel"/>
    <w:tmpl w:val="922070D8"/>
    <w:lvl w:ilvl="0" w:tplc="0BFE8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08B6"/>
    <w:multiLevelType w:val="hybridMultilevel"/>
    <w:tmpl w:val="FBE6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96411"/>
    <w:multiLevelType w:val="hybridMultilevel"/>
    <w:tmpl w:val="20828CFA"/>
    <w:lvl w:ilvl="0" w:tplc="E15E87B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35A7F"/>
    <w:multiLevelType w:val="hybridMultilevel"/>
    <w:tmpl w:val="2362EB9A"/>
    <w:lvl w:ilvl="0" w:tplc="04150017">
      <w:start w:val="1"/>
      <w:numFmt w:val="lowerLetter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num w:numId="1" w16cid:durableId="376776851">
    <w:abstractNumId w:val="9"/>
  </w:num>
  <w:num w:numId="2" w16cid:durableId="607929984">
    <w:abstractNumId w:val="16"/>
  </w:num>
  <w:num w:numId="3" w16cid:durableId="1425880302">
    <w:abstractNumId w:val="6"/>
  </w:num>
  <w:num w:numId="4" w16cid:durableId="1498494223">
    <w:abstractNumId w:val="17"/>
  </w:num>
  <w:num w:numId="5" w16cid:durableId="870218256">
    <w:abstractNumId w:val="8"/>
  </w:num>
  <w:num w:numId="6" w16cid:durableId="2068530285">
    <w:abstractNumId w:val="7"/>
  </w:num>
  <w:num w:numId="7" w16cid:durableId="774255163">
    <w:abstractNumId w:val="10"/>
  </w:num>
  <w:num w:numId="8" w16cid:durableId="1581480092">
    <w:abstractNumId w:val="5"/>
  </w:num>
  <w:num w:numId="9" w16cid:durableId="400103888">
    <w:abstractNumId w:val="21"/>
  </w:num>
  <w:num w:numId="10" w16cid:durableId="117456110">
    <w:abstractNumId w:val="19"/>
  </w:num>
  <w:num w:numId="11" w16cid:durableId="302783662">
    <w:abstractNumId w:val="13"/>
  </w:num>
  <w:num w:numId="12" w16cid:durableId="92819825">
    <w:abstractNumId w:val="1"/>
  </w:num>
  <w:num w:numId="13" w16cid:durableId="189997766">
    <w:abstractNumId w:val="0"/>
  </w:num>
  <w:num w:numId="14" w16cid:durableId="2128115675">
    <w:abstractNumId w:val="18"/>
  </w:num>
  <w:num w:numId="15" w16cid:durableId="853878529">
    <w:abstractNumId w:val="11"/>
  </w:num>
  <w:num w:numId="16" w16cid:durableId="440952072">
    <w:abstractNumId w:val="15"/>
  </w:num>
  <w:num w:numId="17" w16cid:durableId="1525290658">
    <w:abstractNumId w:val="2"/>
  </w:num>
  <w:num w:numId="18" w16cid:durableId="442572470">
    <w:abstractNumId w:val="14"/>
  </w:num>
  <w:num w:numId="19" w16cid:durableId="2076272061">
    <w:abstractNumId w:val="22"/>
  </w:num>
  <w:num w:numId="20" w16cid:durableId="1848246307">
    <w:abstractNumId w:val="12"/>
  </w:num>
  <w:num w:numId="21" w16cid:durableId="2082412285">
    <w:abstractNumId w:val="20"/>
  </w:num>
  <w:num w:numId="22" w16cid:durableId="740056480">
    <w:abstractNumId w:val="3"/>
  </w:num>
  <w:num w:numId="23" w16cid:durableId="79954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9AC"/>
    <w:rsid w:val="00001C98"/>
    <w:rsid w:val="00011015"/>
    <w:rsid w:val="00024585"/>
    <w:rsid w:val="000247ED"/>
    <w:rsid w:val="000301F2"/>
    <w:rsid w:val="00036BD9"/>
    <w:rsid w:val="000401DA"/>
    <w:rsid w:val="00062D28"/>
    <w:rsid w:val="00066B6F"/>
    <w:rsid w:val="000A1D14"/>
    <w:rsid w:val="000B5D44"/>
    <w:rsid w:val="000C1041"/>
    <w:rsid w:val="000E4E65"/>
    <w:rsid w:val="00102640"/>
    <w:rsid w:val="001119B8"/>
    <w:rsid w:val="00113E62"/>
    <w:rsid w:val="001154E6"/>
    <w:rsid w:val="00121336"/>
    <w:rsid w:val="00124696"/>
    <w:rsid w:val="00140708"/>
    <w:rsid w:val="00151083"/>
    <w:rsid w:val="00170E75"/>
    <w:rsid w:val="00181492"/>
    <w:rsid w:val="0018393B"/>
    <w:rsid w:val="001B3B9A"/>
    <w:rsid w:val="001B40A4"/>
    <w:rsid w:val="001B7322"/>
    <w:rsid w:val="001C278C"/>
    <w:rsid w:val="001D1414"/>
    <w:rsid w:val="001D3E3E"/>
    <w:rsid w:val="001E5313"/>
    <w:rsid w:val="001E77AC"/>
    <w:rsid w:val="00203A10"/>
    <w:rsid w:val="002119AC"/>
    <w:rsid w:val="002412A7"/>
    <w:rsid w:val="002744CD"/>
    <w:rsid w:val="002753D6"/>
    <w:rsid w:val="00281485"/>
    <w:rsid w:val="002A2454"/>
    <w:rsid w:val="002A28CA"/>
    <w:rsid w:val="002B02F9"/>
    <w:rsid w:val="002B337F"/>
    <w:rsid w:val="002C4A3A"/>
    <w:rsid w:val="002D4AB7"/>
    <w:rsid w:val="00301B54"/>
    <w:rsid w:val="003271D3"/>
    <w:rsid w:val="00360B2C"/>
    <w:rsid w:val="003661E6"/>
    <w:rsid w:val="00393474"/>
    <w:rsid w:val="003A3E64"/>
    <w:rsid w:val="003D150E"/>
    <w:rsid w:val="003D52F9"/>
    <w:rsid w:val="00402143"/>
    <w:rsid w:val="00402C09"/>
    <w:rsid w:val="00416729"/>
    <w:rsid w:val="004174E9"/>
    <w:rsid w:val="00460892"/>
    <w:rsid w:val="00467AB1"/>
    <w:rsid w:val="00487104"/>
    <w:rsid w:val="0049561C"/>
    <w:rsid w:val="004A463C"/>
    <w:rsid w:val="004B0B8E"/>
    <w:rsid w:val="004C2F0F"/>
    <w:rsid w:val="004D2F80"/>
    <w:rsid w:val="004F1F00"/>
    <w:rsid w:val="004F4ECF"/>
    <w:rsid w:val="005072F2"/>
    <w:rsid w:val="00512D65"/>
    <w:rsid w:val="00547A0B"/>
    <w:rsid w:val="0056523F"/>
    <w:rsid w:val="00580F89"/>
    <w:rsid w:val="005C0ED9"/>
    <w:rsid w:val="0060510A"/>
    <w:rsid w:val="0062032C"/>
    <w:rsid w:val="00642F6A"/>
    <w:rsid w:val="0067215E"/>
    <w:rsid w:val="00677325"/>
    <w:rsid w:val="006A7E8F"/>
    <w:rsid w:val="006B58DB"/>
    <w:rsid w:val="006C000E"/>
    <w:rsid w:val="006D3FBF"/>
    <w:rsid w:val="006D6C0D"/>
    <w:rsid w:val="006F1FFA"/>
    <w:rsid w:val="006F3D6F"/>
    <w:rsid w:val="006F78CF"/>
    <w:rsid w:val="00700DCD"/>
    <w:rsid w:val="007257C7"/>
    <w:rsid w:val="00731FFA"/>
    <w:rsid w:val="0073235E"/>
    <w:rsid w:val="00735EAD"/>
    <w:rsid w:val="00735F97"/>
    <w:rsid w:val="00746D73"/>
    <w:rsid w:val="00750385"/>
    <w:rsid w:val="007712DD"/>
    <w:rsid w:val="00775B01"/>
    <w:rsid w:val="007C19CC"/>
    <w:rsid w:val="007C71B4"/>
    <w:rsid w:val="007D688A"/>
    <w:rsid w:val="007E251F"/>
    <w:rsid w:val="007E5C8F"/>
    <w:rsid w:val="00810AAA"/>
    <w:rsid w:val="00816016"/>
    <w:rsid w:val="00824B0F"/>
    <w:rsid w:val="00825827"/>
    <w:rsid w:val="00834CFA"/>
    <w:rsid w:val="00850359"/>
    <w:rsid w:val="008658C1"/>
    <w:rsid w:val="00872443"/>
    <w:rsid w:val="008A22BE"/>
    <w:rsid w:val="008A5EE1"/>
    <w:rsid w:val="008D059B"/>
    <w:rsid w:val="008E41FB"/>
    <w:rsid w:val="008F0591"/>
    <w:rsid w:val="008F38F4"/>
    <w:rsid w:val="008F5627"/>
    <w:rsid w:val="008F6497"/>
    <w:rsid w:val="00900DDF"/>
    <w:rsid w:val="009378E2"/>
    <w:rsid w:val="009736BD"/>
    <w:rsid w:val="009C1931"/>
    <w:rsid w:val="009D1548"/>
    <w:rsid w:val="009D4EE6"/>
    <w:rsid w:val="00A208AD"/>
    <w:rsid w:val="00A57975"/>
    <w:rsid w:val="00A72D08"/>
    <w:rsid w:val="00A956E1"/>
    <w:rsid w:val="00AA118F"/>
    <w:rsid w:val="00AA11AC"/>
    <w:rsid w:val="00AB04A1"/>
    <w:rsid w:val="00AC64DB"/>
    <w:rsid w:val="00AD29DF"/>
    <w:rsid w:val="00AE0DD8"/>
    <w:rsid w:val="00AF02FE"/>
    <w:rsid w:val="00B0425F"/>
    <w:rsid w:val="00B06981"/>
    <w:rsid w:val="00B213A0"/>
    <w:rsid w:val="00B32267"/>
    <w:rsid w:val="00B371D4"/>
    <w:rsid w:val="00B453B6"/>
    <w:rsid w:val="00B50E90"/>
    <w:rsid w:val="00B5121D"/>
    <w:rsid w:val="00B5272F"/>
    <w:rsid w:val="00B57880"/>
    <w:rsid w:val="00B77CF9"/>
    <w:rsid w:val="00BA66C5"/>
    <w:rsid w:val="00BB4874"/>
    <w:rsid w:val="00BC1360"/>
    <w:rsid w:val="00BE46A3"/>
    <w:rsid w:val="00BF3163"/>
    <w:rsid w:val="00C14A9E"/>
    <w:rsid w:val="00C207AC"/>
    <w:rsid w:val="00C47CA3"/>
    <w:rsid w:val="00C6523B"/>
    <w:rsid w:val="00C909C1"/>
    <w:rsid w:val="00C93436"/>
    <w:rsid w:val="00CB6EF6"/>
    <w:rsid w:val="00CC5BB6"/>
    <w:rsid w:val="00CC74E4"/>
    <w:rsid w:val="00CE5C9F"/>
    <w:rsid w:val="00D109EB"/>
    <w:rsid w:val="00D164AD"/>
    <w:rsid w:val="00D507C2"/>
    <w:rsid w:val="00D5499D"/>
    <w:rsid w:val="00D57C63"/>
    <w:rsid w:val="00D60B62"/>
    <w:rsid w:val="00D63C12"/>
    <w:rsid w:val="00D74E8E"/>
    <w:rsid w:val="00D901F9"/>
    <w:rsid w:val="00D91238"/>
    <w:rsid w:val="00D953B9"/>
    <w:rsid w:val="00DE3D68"/>
    <w:rsid w:val="00DE5AA9"/>
    <w:rsid w:val="00DF056B"/>
    <w:rsid w:val="00DF3718"/>
    <w:rsid w:val="00DF5324"/>
    <w:rsid w:val="00DF65CE"/>
    <w:rsid w:val="00E0281C"/>
    <w:rsid w:val="00E370D2"/>
    <w:rsid w:val="00E426B5"/>
    <w:rsid w:val="00E42E0C"/>
    <w:rsid w:val="00E4702F"/>
    <w:rsid w:val="00E66920"/>
    <w:rsid w:val="00E85E89"/>
    <w:rsid w:val="00EA0E65"/>
    <w:rsid w:val="00EC1BC7"/>
    <w:rsid w:val="00EC426F"/>
    <w:rsid w:val="00EC685A"/>
    <w:rsid w:val="00EC6F41"/>
    <w:rsid w:val="00ED18FC"/>
    <w:rsid w:val="00EE6F13"/>
    <w:rsid w:val="00F01CD1"/>
    <w:rsid w:val="00F2785A"/>
    <w:rsid w:val="00F40A36"/>
    <w:rsid w:val="00F44837"/>
    <w:rsid w:val="00F8021A"/>
    <w:rsid w:val="00F80F1F"/>
    <w:rsid w:val="00F81229"/>
    <w:rsid w:val="00F938EF"/>
    <w:rsid w:val="00FA47B7"/>
    <w:rsid w:val="00FB1180"/>
    <w:rsid w:val="00FB709D"/>
    <w:rsid w:val="00FD543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643A7"/>
  <w15:docId w15:val="{1D2C354E-66C4-44BE-AA10-196CF82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0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1FF-9154-48E9-9218-48661CD3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Ewa Tarlińska-Wójcik</cp:lastModifiedBy>
  <cp:revision>24</cp:revision>
  <dcterms:created xsi:type="dcterms:W3CDTF">2025-11-17T07:41:00Z</dcterms:created>
  <dcterms:modified xsi:type="dcterms:W3CDTF">2026-04-07T06:02:00Z</dcterms:modified>
</cp:coreProperties>
</file>