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D5BF" w14:textId="68B7FE81"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79786D9C" w:rsidR="00F10DFC" w:rsidRPr="00850C7A" w:rsidRDefault="00F10DFC" w:rsidP="008A35EC">
      <w:pPr>
        <w:spacing w:before="120" w:after="80"/>
        <w:rPr>
          <w:b/>
          <w:sz w:val="28"/>
          <w:szCs w:val="28"/>
        </w:rPr>
      </w:pPr>
      <w:r w:rsidRPr="00850C7A">
        <w:rPr>
          <w:b/>
          <w:sz w:val="28"/>
          <w:szCs w:val="28"/>
        </w:rPr>
        <w:t>Dotyczący projekt</w:t>
      </w:r>
      <w:r w:rsidR="00D94417">
        <w:rPr>
          <w:b/>
          <w:sz w:val="28"/>
          <w:szCs w:val="28"/>
        </w:rPr>
        <w:t>ów</w:t>
      </w:r>
      <w:r w:rsidRPr="00850C7A">
        <w:rPr>
          <w:b/>
          <w:sz w:val="28"/>
          <w:szCs w:val="28"/>
        </w:rPr>
        <w:t xml:space="preserve"> złożon</w:t>
      </w:r>
      <w:r w:rsidR="00D94417">
        <w:rPr>
          <w:b/>
          <w:sz w:val="28"/>
          <w:szCs w:val="28"/>
        </w:rPr>
        <w:t>ych</w:t>
      </w:r>
      <w:r w:rsidRPr="00850C7A">
        <w:rPr>
          <w:b/>
          <w:sz w:val="28"/>
          <w:szCs w:val="28"/>
        </w:rPr>
        <w:t xml:space="preserve"> w ramach postępowania konkurencyjnego</w:t>
      </w:r>
    </w:p>
    <w:p w14:paraId="40A1375D" w14:textId="26D06911"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E56AAA" w:rsidRPr="00850C7A">
        <w:rPr>
          <w:b/>
          <w:sz w:val="28"/>
          <w:szCs w:val="28"/>
        </w:rPr>
        <w:t>2</w:t>
      </w:r>
      <w:r w:rsidRPr="00850C7A">
        <w:rPr>
          <w:b/>
          <w:sz w:val="28"/>
          <w:szCs w:val="28"/>
        </w:rPr>
        <w:t xml:space="preserve">.1 </w:t>
      </w:r>
      <w:r w:rsidR="00E56AAA" w:rsidRPr="00850C7A">
        <w:rPr>
          <w:b/>
          <w:sz w:val="28"/>
          <w:szCs w:val="28"/>
        </w:rPr>
        <w:t>Poprawa efektywności energetycznej w województwie opolskim</w:t>
      </w:r>
      <w:bookmarkEnd w:id="0"/>
    </w:p>
    <w:p w14:paraId="3D0FC6D6" w14:textId="373A70A9" w:rsidR="00F10DFC" w:rsidRPr="00850C7A" w:rsidRDefault="00F10DFC" w:rsidP="008A35EC">
      <w:pPr>
        <w:spacing w:before="120" w:after="80"/>
        <w:rPr>
          <w:b/>
          <w:sz w:val="28"/>
          <w:szCs w:val="28"/>
          <w:highlight w:val="yellow"/>
        </w:rPr>
      </w:pPr>
      <w:r w:rsidRPr="00850C7A">
        <w:rPr>
          <w:b/>
          <w:sz w:val="28"/>
          <w:szCs w:val="28"/>
        </w:rPr>
        <w:t xml:space="preserve">Cel polityki </w:t>
      </w:r>
      <w:r w:rsidR="00E56AAA" w:rsidRPr="00850C7A">
        <w:rPr>
          <w:b/>
          <w:sz w:val="28"/>
          <w:szCs w:val="28"/>
        </w:rPr>
        <w:t>2</w:t>
      </w:r>
      <w:r w:rsidRPr="00850C7A">
        <w:rPr>
          <w:b/>
          <w:sz w:val="28"/>
          <w:szCs w:val="28"/>
        </w:rPr>
        <w:t xml:space="preserve">: </w:t>
      </w:r>
      <w:r w:rsidR="00E56AAA" w:rsidRPr="00850C7A">
        <w:rPr>
          <w:b/>
          <w:sz w:val="28"/>
          <w:szCs w:val="28"/>
        </w:rPr>
        <w:t xml:space="preserve">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w:t>
      </w:r>
      <w:r w:rsidR="009D42AE">
        <w:rPr>
          <w:b/>
          <w:sz w:val="28"/>
          <w:szCs w:val="28"/>
        </w:rPr>
        <w:br/>
      </w:r>
      <w:r w:rsidR="00E56AAA" w:rsidRPr="00850C7A">
        <w:rPr>
          <w:b/>
          <w:sz w:val="28"/>
          <w:szCs w:val="28"/>
        </w:rPr>
        <w:t xml:space="preserve">i przystosowania się do nich, zapobiegania ryzyku i zarządzania ryzykiem, </w:t>
      </w:r>
      <w:r w:rsidR="009D42AE">
        <w:rPr>
          <w:b/>
          <w:sz w:val="28"/>
          <w:szCs w:val="28"/>
        </w:rPr>
        <w:br/>
      </w:r>
      <w:r w:rsidR="00E56AAA" w:rsidRPr="00850C7A">
        <w:rPr>
          <w:b/>
          <w:sz w:val="28"/>
          <w:szCs w:val="28"/>
        </w:rPr>
        <w:t>oraz zrównoważonej mobilności miejskiej</w:t>
      </w:r>
    </w:p>
    <w:p w14:paraId="775F89DB" w14:textId="43ECDEA6"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 xml:space="preserve">EFRR/FS.CP2.I - Wspieranie efektywności energetycznej </w:t>
      </w:r>
      <w:r w:rsidR="009D42AE">
        <w:rPr>
          <w:b/>
          <w:sz w:val="28"/>
          <w:szCs w:val="28"/>
        </w:rPr>
        <w:br/>
      </w:r>
      <w:r w:rsidR="00E56AAA" w:rsidRPr="00850C7A">
        <w:rPr>
          <w:b/>
          <w:sz w:val="28"/>
          <w:szCs w:val="28"/>
        </w:rPr>
        <w:t>i redukcji emisji gazów cieplarnianych</w:t>
      </w:r>
    </w:p>
    <w:p w14:paraId="23411EE4" w14:textId="77777777" w:rsidR="00850C7A" w:rsidRPr="00850C7A" w:rsidRDefault="00850C7A" w:rsidP="008A35EC">
      <w:pPr>
        <w:spacing w:before="120" w:after="80"/>
        <w:rPr>
          <w:b/>
          <w:sz w:val="28"/>
          <w:szCs w:val="28"/>
        </w:rPr>
      </w:pPr>
    </w:p>
    <w:p w14:paraId="323E9073" w14:textId="253855E2" w:rsidR="00850C7A" w:rsidRPr="00850C7A" w:rsidRDefault="0006467A">
      <w:pPr>
        <w:rPr>
          <w:b/>
          <w:sz w:val="28"/>
          <w:szCs w:val="28"/>
        </w:rPr>
      </w:pPr>
      <w:r w:rsidRPr="00850C7A">
        <w:rPr>
          <w:b/>
          <w:sz w:val="28"/>
          <w:szCs w:val="28"/>
        </w:rPr>
        <w:t>Nabór nr:</w:t>
      </w:r>
    </w:p>
    <w:p w14:paraId="08B32D6D" w14:textId="45231CFB" w:rsidR="00BF1A41" w:rsidRPr="00850C7A" w:rsidRDefault="00BF1A41" w:rsidP="00BF1A41">
      <w:pPr>
        <w:rPr>
          <w:b/>
          <w:sz w:val="28"/>
          <w:szCs w:val="28"/>
        </w:rPr>
      </w:pPr>
      <w:bookmarkStart w:id="1" w:name="_Hlk150499537"/>
      <w:bookmarkStart w:id="2" w:name="_Hlk150258045"/>
      <w:r w:rsidRPr="00850C7A">
        <w:rPr>
          <w:b/>
          <w:sz w:val="28"/>
          <w:szCs w:val="28"/>
        </w:rPr>
        <w:t>FEOP.02.01-IZ.00-0</w:t>
      </w:r>
      <w:r w:rsidR="005B479C">
        <w:rPr>
          <w:b/>
          <w:sz w:val="28"/>
          <w:szCs w:val="28"/>
        </w:rPr>
        <w:t>01</w:t>
      </w:r>
      <w:r w:rsidRPr="00850C7A">
        <w:rPr>
          <w:b/>
          <w:sz w:val="28"/>
          <w:szCs w:val="28"/>
        </w:rPr>
        <w:t>/2</w:t>
      </w:r>
      <w:r w:rsidR="005B479C">
        <w:rPr>
          <w:b/>
          <w:sz w:val="28"/>
          <w:szCs w:val="28"/>
        </w:rPr>
        <w:t>6</w:t>
      </w:r>
      <w:r w:rsidRPr="00850C7A">
        <w:rPr>
          <w:b/>
          <w:sz w:val="28"/>
          <w:szCs w:val="28"/>
        </w:rPr>
        <w:t xml:space="preserve"> dla Subregionu Brzeskiego,</w:t>
      </w:r>
    </w:p>
    <w:p w14:paraId="5CE25389" w14:textId="10CBA00E" w:rsidR="00BF1A41" w:rsidRPr="00850C7A" w:rsidRDefault="00BF1A41" w:rsidP="00BF1A41">
      <w:pPr>
        <w:rPr>
          <w:b/>
          <w:sz w:val="28"/>
          <w:szCs w:val="28"/>
        </w:rPr>
      </w:pPr>
      <w:r w:rsidRPr="00850C7A">
        <w:rPr>
          <w:b/>
          <w:sz w:val="28"/>
          <w:szCs w:val="28"/>
        </w:rPr>
        <w:t>FEOP.02.01-IZ.00-0</w:t>
      </w:r>
      <w:r w:rsidR="005B479C">
        <w:rPr>
          <w:b/>
          <w:sz w:val="28"/>
          <w:szCs w:val="28"/>
        </w:rPr>
        <w:t>02</w:t>
      </w:r>
      <w:r w:rsidRPr="00850C7A">
        <w:rPr>
          <w:b/>
          <w:sz w:val="28"/>
          <w:szCs w:val="28"/>
        </w:rPr>
        <w:t>/2</w:t>
      </w:r>
      <w:r w:rsidR="005B479C">
        <w:rPr>
          <w:b/>
          <w:sz w:val="28"/>
          <w:szCs w:val="28"/>
        </w:rPr>
        <w:t>6</w:t>
      </w:r>
      <w:r w:rsidRPr="00850C7A">
        <w:rPr>
          <w:b/>
          <w:sz w:val="28"/>
          <w:szCs w:val="28"/>
        </w:rPr>
        <w:t xml:space="preserve"> dla Subregionu Kędzierzyńsko-Strzeleckiego,</w:t>
      </w:r>
    </w:p>
    <w:p w14:paraId="71AB9DA9" w14:textId="08634FA0" w:rsidR="00BF1A41" w:rsidRPr="00850C7A" w:rsidRDefault="00BF1A41" w:rsidP="00BF1A41">
      <w:pPr>
        <w:rPr>
          <w:b/>
          <w:sz w:val="28"/>
          <w:szCs w:val="28"/>
        </w:rPr>
      </w:pPr>
      <w:r w:rsidRPr="00850C7A">
        <w:rPr>
          <w:b/>
          <w:sz w:val="28"/>
          <w:szCs w:val="28"/>
        </w:rPr>
        <w:t>FEOP.02.01-IZ.00-0</w:t>
      </w:r>
      <w:r w:rsidR="005B479C">
        <w:rPr>
          <w:b/>
          <w:sz w:val="28"/>
          <w:szCs w:val="28"/>
        </w:rPr>
        <w:t>03</w:t>
      </w:r>
      <w:r w:rsidRPr="00850C7A">
        <w:rPr>
          <w:b/>
          <w:sz w:val="28"/>
          <w:szCs w:val="28"/>
        </w:rPr>
        <w:t>/2</w:t>
      </w:r>
      <w:r w:rsidR="005B479C">
        <w:rPr>
          <w:b/>
          <w:sz w:val="28"/>
          <w:szCs w:val="28"/>
        </w:rPr>
        <w:t>6</w:t>
      </w:r>
      <w:r w:rsidRPr="00850C7A">
        <w:rPr>
          <w:b/>
          <w:sz w:val="28"/>
          <w:szCs w:val="28"/>
        </w:rPr>
        <w:t xml:space="preserve"> dla Subregionu Południowego,</w:t>
      </w:r>
    </w:p>
    <w:p w14:paraId="4080EE13" w14:textId="3FE9D735" w:rsidR="00F10DFC" w:rsidRDefault="00BF1A41" w:rsidP="00D94417">
      <w:pPr>
        <w:spacing w:after="360"/>
        <w:rPr>
          <w:b/>
          <w:sz w:val="28"/>
          <w:szCs w:val="28"/>
        </w:rPr>
      </w:pPr>
      <w:r w:rsidRPr="00850C7A">
        <w:rPr>
          <w:b/>
          <w:sz w:val="28"/>
          <w:szCs w:val="28"/>
        </w:rPr>
        <w:t>FEOP.02.01-IZ.00-0</w:t>
      </w:r>
      <w:r w:rsidR="005B479C">
        <w:rPr>
          <w:b/>
          <w:sz w:val="28"/>
          <w:szCs w:val="28"/>
        </w:rPr>
        <w:t>04</w:t>
      </w:r>
      <w:r w:rsidRPr="00850C7A">
        <w:rPr>
          <w:b/>
          <w:sz w:val="28"/>
          <w:szCs w:val="28"/>
        </w:rPr>
        <w:t>/2</w:t>
      </w:r>
      <w:r w:rsidR="005B479C">
        <w:rPr>
          <w:b/>
          <w:sz w:val="28"/>
          <w:szCs w:val="28"/>
        </w:rPr>
        <w:t>6</w:t>
      </w:r>
      <w:r w:rsidRPr="00850C7A">
        <w:rPr>
          <w:b/>
          <w:sz w:val="28"/>
          <w:szCs w:val="28"/>
        </w:rPr>
        <w:t xml:space="preserve"> dla Subregionu Północnego.</w:t>
      </w:r>
    </w:p>
    <w:bookmarkEnd w:id="1"/>
    <w:bookmarkEnd w:id="2"/>
    <w:p w14:paraId="305C6ABB" w14:textId="77777777" w:rsidR="00820F3D" w:rsidRDefault="00820F3D" w:rsidP="008A35EC">
      <w:pPr>
        <w:spacing w:after="0"/>
        <w:rPr>
          <w:b/>
          <w:sz w:val="24"/>
          <w:szCs w:val="24"/>
        </w:rPr>
      </w:pPr>
    </w:p>
    <w:p w14:paraId="4805EA87" w14:textId="77777777" w:rsidR="00820F3D" w:rsidRDefault="00820F3D" w:rsidP="008A35EC">
      <w:pPr>
        <w:spacing w:after="0"/>
        <w:rPr>
          <w:b/>
          <w:sz w:val="24"/>
          <w:szCs w:val="24"/>
        </w:rPr>
      </w:pPr>
    </w:p>
    <w:p w14:paraId="631BEC41" w14:textId="77777777" w:rsidR="00850C7A" w:rsidRDefault="00850C7A" w:rsidP="008A35EC">
      <w:pPr>
        <w:spacing w:after="0"/>
        <w:rPr>
          <w:b/>
          <w:sz w:val="24"/>
          <w:szCs w:val="24"/>
        </w:rPr>
      </w:pPr>
    </w:p>
    <w:p w14:paraId="4F0BAC08" w14:textId="77777777" w:rsidR="00F10DFC" w:rsidRPr="008A35EC" w:rsidRDefault="00F10DFC" w:rsidP="008A35EC">
      <w:pPr>
        <w:spacing w:after="0"/>
        <w:rPr>
          <w:i/>
        </w:rPr>
      </w:pPr>
      <w:bookmarkStart w:id="3" w:name="_Hlk158358738"/>
      <w:r w:rsidRPr="008A35EC">
        <w:rPr>
          <w:i/>
        </w:rPr>
        <w:t>Dokument przyjęty przez Zarząd Województwa Opolskiego</w:t>
      </w:r>
    </w:p>
    <w:p w14:paraId="0DD37E8F" w14:textId="1DE21E4A" w:rsidR="00F10DFC" w:rsidRPr="008A35EC" w:rsidRDefault="00F10DFC" w:rsidP="008A35EC">
      <w:pPr>
        <w:spacing w:after="0"/>
        <w:rPr>
          <w:i/>
        </w:rPr>
      </w:pPr>
      <w:r w:rsidRPr="008A35EC">
        <w:rPr>
          <w:i/>
        </w:rPr>
        <w:t xml:space="preserve">Uchwałą nr </w:t>
      </w:r>
      <w:r w:rsidR="001E3098">
        <w:rPr>
          <w:i/>
        </w:rPr>
        <w:t>5019</w:t>
      </w:r>
      <w:r w:rsidRPr="008A35EC">
        <w:rPr>
          <w:i/>
        </w:rPr>
        <w:t>/202</w:t>
      </w:r>
      <w:r w:rsidR="005B479C">
        <w:rPr>
          <w:i/>
        </w:rPr>
        <w:t>6</w:t>
      </w:r>
      <w:r w:rsidRPr="008A35EC">
        <w:rPr>
          <w:i/>
        </w:rPr>
        <w:t xml:space="preserve"> z dnia</w:t>
      </w:r>
      <w:r w:rsidR="009A6093" w:rsidRPr="008A35EC">
        <w:rPr>
          <w:i/>
        </w:rPr>
        <w:t xml:space="preserve"> </w:t>
      </w:r>
      <w:r w:rsidR="001E3098">
        <w:rPr>
          <w:i/>
        </w:rPr>
        <w:t xml:space="preserve">23 </w:t>
      </w:r>
      <w:r w:rsidR="005B479C">
        <w:rPr>
          <w:i/>
        </w:rPr>
        <w:t>marca</w:t>
      </w:r>
      <w:r w:rsidR="00845C19" w:rsidRPr="008A35EC">
        <w:rPr>
          <w:i/>
        </w:rPr>
        <w:t xml:space="preserve"> </w:t>
      </w:r>
      <w:r w:rsidRPr="008A35EC">
        <w:rPr>
          <w:i/>
        </w:rPr>
        <w:t>202</w:t>
      </w:r>
      <w:r w:rsidR="005B479C">
        <w:rPr>
          <w:i/>
        </w:rPr>
        <w:t>6</w:t>
      </w:r>
      <w:r w:rsidRPr="008A35EC">
        <w:rPr>
          <w:i/>
        </w:rPr>
        <w:t xml:space="preserve"> r.</w:t>
      </w:r>
    </w:p>
    <w:p w14:paraId="08F8ACB6" w14:textId="5EFE311B" w:rsidR="00F10DFC" w:rsidRPr="008A35EC" w:rsidRDefault="00F10DFC" w:rsidP="008A35EC">
      <w:pPr>
        <w:spacing w:after="0"/>
      </w:pPr>
      <w:r w:rsidRPr="008A35EC">
        <w:t>Opole, 202</w:t>
      </w:r>
      <w:r w:rsidR="005B479C">
        <w:t>6</w:t>
      </w:r>
      <w:r w:rsidRPr="008A35EC">
        <w:t xml:space="preserve"> r.</w:t>
      </w:r>
    </w:p>
    <w:bookmarkEnd w:id="3"/>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4D411873" w14:textId="77777777" w:rsidR="00820F3D" w:rsidRDefault="00820F3D">
      <w:pPr>
        <w:rPr>
          <w:sz w:val="24"/>
          <w:szCs w:val="24"/>
        </w:rPr>
      </w:pPr>
    </w:p>
    <w:p w14:paraId="2E76ED50" w14:textId="77777777" w:rsidR="00455AED" w:rsidRDefault="00455AED">
      <w:pPr>
        <w:rPr>
          <w:sz w:val="24"/>
          <w:szCs w:val="24"/>
        </w:rPr>
      </w:pPr>
    </w:p>
    <w:p w14:paraId="3AC02BB7" w14:textId="77777777" w:rsidR="00455AED" w:rsidRDefault="00455AED">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73CA3E52"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5B479C">
        <w:rPr>
          <w:i/>
          <w:sz w:val="24"/>
          <w:szCs w:val="24"/>
        </w:rPr>
        <w:t>marzec</w:t>
      </w:r>
      <w:r w:rsidR="005155E3">
        <w:rPr>
          <w:i/>
          <w:sz w:val="24"/>
          <w:szCs w:val="24"/>
        </w:rPr>
        <w:t xml:space="preserve"> </w:t>
      </w:r>
      <w:r w:rsidRPr="00F10DFC">
        <w:rPr>
          <w:i/>
          <w:sz w:val="24"/>
          <w:szCs w:val="24"/>
        </w:rPr>
        <w:t>202</w:t>
      </w:r>
      <w:r w:rsidR="005B479C">
        <w:rPr>
          <w:i/>
          <w:sz w:val="24"/>
          <w:szCs w:val="24"/>
        </w:rPr>
        <w:t>6</w:t>
      </w:r>
      <w:r w:rsidRPr="00F10DFC">
        <w:rPr>
          <w:i/>
          <w:sz w:val="24"/>
          <w:szCs w:val="24"/>
        </w:rPr>
        <w:t xml:space="preserve"> r.</w:t>
      </w:r>
    </w:p>
    <w:p w14:paraId="6FE60B5C" w14:textId="4729D02D" w:rsidR="00F10DFC" w:rsidRDefault="005155E3" w:rsidP="005155E3">
      <w:pPr>
        <w:tabs>
          <w:tab w:val="left" w:pos="3765"/>
        </w:tabs>
        <w:spacing w:line="240" w:lineRule="auto"/>
        <w:rPr>
          <w:i/>
          <w:sz w:val="24"/>
          <w:szCs w:val="24"/>
        </w:rPr>
      </w:pPr>
      <w:r>
        <w:rPr>
          <w:i/>
          <w:sz w:val="24"/>
          <w:szCs w:val="24"/>
        </w:rPr>
        <w:tab/>
      </w:r>
    </w:p>
    <w:p w14:paraId="2539075C" w14:textId="77777777" w:rsidR="00D9473D" w:rsidRDefault="00D9473D" w:rsidP="005155E3">
      <w:pPr>
        <w:tabs>
          <w:tab w:val="left" w:pos="3765"/>
        </w:tabs>
        <w:spacing w:line="240" w:lineRule="auto"/>
        <w:rPr>
          <w:i/>
          <w:sz w:val="24"/>
          <w:szCs w:val="24"/>
        </w:rPr>
      </w:pP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2E4C9565" w14:textId="022C4AEB" w:rsidR="0068753E"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224647134" w:history="1">
            <w:r w:rsidR="0068753E" w:rsidRPr="00667ECB">
              <w:rPr>
                <w:rStyle w:val="Hipercze"/>
                <w:rFonts w:cstheme="minorHAnsi"/>
                <w:b/>
                <w:bCs/>
                <w:iCs/>
                <w:noProof/>
              </w:rPr>
              <w:t>1.</w:t>
            </w:r>
            <w:r w:rsidR="0068753E">
              <w:rPr>
                <w:rFonts w:eastAsiaTheme="minorEastAsia"/>
                <w:noProof/>
                <w:kern w:val="2"/>
                <w:sz w:val="24"/>
                <w:szCs w:val="24"/>
                <w:lang w:eastAsia="pl-PL"/>
                <w14:ligatures w14:val="standardContextual"/>
              </w:rPr>
              <w:tab/>
            </w:r>
            <w:r w:rsidR="0068753E" w:rsidRPr="00667ECB">
              <w:rPr>
                <w:rStyle w:val="Hipercze"/>
                <w:rFonts w:cstheme="minorHAnsi"/>
                <w:b/>
                <w:noProof/>
              </w:rPr>
              <w:t>Skróty i pojęcia stosowane w Regulaminie wyboru projektów w trybie konkurencyjnym i załącznikach:</w:t>
            </w:r>
            <w:r w:rsidR="0068753E">
              <w:rPr>
                <w:noProof/>
                <w:webHidden/>
              </w:rPr>
              <w:tab/>
            </w:r>
            <w:r w:rsidR="0068753E">
              <w:rPr>
                <w:noProof/>
                <w:webHidden/>
              </w:rPr>
              <w:fldChar w:fldCharType="begin"/>
            </w:r>
            <w:r w:rsidR="0068753E">
              <w:rPr>
                <w:noProof/>
                <w:webHidden/>
              </w:rPr>
              <w:instrText xml:space="preserve"> PAGEREF _Toc224647134 \h </w:instrText>
            </w:r>
            <w:r w:rsidR="0068753E">
              <w:rPr>
                <w:noProof/>
                <w:webHidden/>
              </w:rPr>
            </w:r>
            <w:r w:rsidR="0068753E">
              <w:rPr>
                <w:noProof/>
                <w:webHidden/>
              </w:rPr>
              <w:fldChar w:fldCharType="separate"/>
            </w:r>
            <w:r w:rsidR="0069253A">
              <w:rPr>
                <w:noProof/>
                <w:webHidden/>
              </w:rPr>
              <w:t>5</w:t>
            </w:r>
            <w:r w:rsidR="0068753E">
              <w:rPr>
                <w:noProof/>
                <w:webHidden/>
              </w:rPr>
              <w:fldChar w:fldCharType="end"/>
            </w:r>
          </w:hyperlink>
        </w:p>
        <w:p w14:paraId="4B0C0301" w14:textId="139DA8C8" w:rsidR="0068753E" w:rsidRDefault="0068753E">
          <w:pPr>
            <w:pStyle w:val="Spistreci1"/>
            <w:rPr>
              <w:rFonts w:eastAsiaTheme="minorEastAsia"/>
              <w:noProof/>
              <w:kern w:val="2"/>
              <w:sz w:val="24"/>
              <w:szCs w:val="24"/>
              <w:lang w:eastAsia="pl-PL"/>
              <w14:ligatures w14:val="standardContextual"/>
            </w:rPr>
          </w:pPr>
          <w:hyperlink w:anchor="_Toc224647135" w:history="1">
            <w:r w:rsidRPr="00667ECB">
              <w:rPr>
                <w:rStyle w:val="Hipercze"/>
                <w:rFonts w:cstheme="minorHAnsi"/>
                <w:b/>
                <w:bCs/>
                <w:iCs/>
                <w:noProof/>
              </w:rPr>
              <w:t>2.</w:t>
            </w:r>
            <w:r>
              <w:rPr>
                <w:rFonts w:eastAsiaTheme="minorEastAsia"/>
                <w:noProof/>
                <w:kern w:val="2"/>
                <w:sz w:val="24"/>
                <w:szCs w:val="24"/>
                <w:lang w:eastAsia="pl-PL"/>
                <w14:ligatures w14:val="standardContextual"/>
              </w:rPr>
              <w:tab/>
            </w:r>
            <w:r w:rsidRPr="00667ECB">
              <w:rPr>
                <w:rStyle w:val="Hipercze"/>
                <w:rFonts w:cstheme="minorHAnsi"/>
                <w:b/>
                <w:noProof/>
              </w:rPr>
              <w:t>Wstęp</w:t>
            </w:r>
            <w:r>
              <w:rPr>
                <w:noProof/>
                <w:webHidden/>
              </w:rPr>
              <w:tab/>
            </w:r>
            <w:r>
              <w:rPr>
                <w:noProof/>
                <w:webHidden/>
              </w:rPr>
              <w:fldChar w:fldCharType="begin"/>
            </w:r>
            <w:r>
              <w:rPr>
                <w:noProof/>
                <w:webHidden/>
              </w:rPr>
              <w:instrText xml:space="preserve"> PAGEREF _Toc224647135 \h </w:instrText>
            </w:r>
            <w:r>
              <w:rPr>
                <w:noProof/>
                <w:webHidden/>
              </w:rPr>
            </w:r>
            <w:r>
              <w:rPr>
                <w:noProof/>
                <w:webHidden/>
              </w:rPr>
              <w:fldChar w:fldCharType="separate"/>
            </w:r>
            <w:r w:rsidR="0069253A">
              <w:rPr>
                <w:noProof/>
                <w:webHidden/>
              </w:rPr>
              <w:t>8</w:t>
            </w:r>
            <w:r>
              <w:rPr>
                <w:noProof/>
                <w:webHidden/>
              </w:rPr>
              <w:fldChar w:fldCharType="end"/>
            </w:r>
          </w:hyperlink>
        </w:p>
        <w:p w14:paraId="26DC29DC" w14:textId="74C8788D" w:rsidR="0068753E" w:rsidRDefault="0068753E">
          <w:pPr>
            <w:pStyle w:val="Spistreci1"/>
            <w:rPr>
              <w:rFonts w:eastAsiaTheme="minorEastAsia"/>
              <w:noProof/>
              <w:kern w:val="2"/>
              <w:sz w:val="24"/>
              <w:szCs w:val="24"/>
              <w:lang w:eastAsia="pl-PL"/>
              <w14:ligatures w14:val="standardContextual"/>
            </w:rPr>
          </w:pPr>
          <w:hyperlink w:anchor="_Toc224647136" w:history="1">
            <w:r w:rsidRPr="00667ECB">
              <w:rPr>
                <w:rStyle w:val="Hipercze"/>
                <w:rFonts w:cstheme="minorHAnsi"/>
                <w:b/>
                <w:bCs/>
                <w:iCs/>
                <w:noProof/>
              </w:rPr>
              <w:t>3.</w:t>
            </w:r>
            <w:r>
              <w:rPr>
                <w:rFonts w:eastAsiaTheme="minorEastAsia"/>
                <w:noProof/>
                <w:kern w:val="2"/>
                <w:sz w:val="24"/>
                <w:szCs w:val="24"/>
                <w:lang w:eastAsia="pl-PL"/>
                <w14:ligatures w14:val="standardContextual"/>
              </w:rPr>
              <w:tab/>
            </w:r>
            <w:r w:rsidRPr="00667ECB">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_Toc224647136 \h </w:instrText>
            </w:r>
            <w:r>
              <w:rPr>
                <w:noProof/>
                <w:webHidden/>
              </w:rPr>
            </w:r>
            <w:r>
              <w:rPr>
                <w:noProof/>
                <w:webHidden/>
              </w:rPr>
              <w:fldChar w:fldCharType="separate"/>
            </w:r>
            <w:r w:rsidR="0069253A">
              <w:rPr>
                <w:noProof/>
                <w:webHidden/>
              </w:rPr>
              <w:t>9</w:t>
            </w:r>
            <w:r>
              <w:rPr>
                <w:noProof/>
                <w:webHidden/>
              </w:rPr>
              <w:fldChar w:fldCharType="end"/>
            </w:r>
          </w:hyperlink>
        </w:p>
        <w:p w14:paraId="673EB75C" w14:textId="424D5200" w:rsidR="0068753E" w:rsidRDefault="0068753E">
          <w:pPr>
            <w:pStyle w:val="Spistreci1"/>
            <w:rPr>
              <w:rFonts w:eastAsiaTheme="minorEastAsia"/>
              <w:noProof/>
              <w:kern w:val="2"/>
              <w:sz w:val="24"/>
              <w:szCs w:val="24"/>
              <w:lang w:eastAsia="pl-PL"/>
              <w14:ligatures w14:val="standardContextual"/>
            </w:rPr>
          </w:pPr>
          <w:hyperlink w:anchor="_Toc224647137" w:history="1">
            <w:r w:rsidRPr="00667ECB">
              <w:rPr>
                <w:rStyle w:val="Hipercze"/>
                <w:rFonts w:cstheme="minorHAnsi"/>
                <w:b/>
                <w:bCs/>
                <w:iCs/>
                <w:noProof/>
              </w:rPr>
              <w:t>4.</w:t>
            </w:r>
            <w:r>
              <w:rPr>
                <w:rFonts w:eastAsiaTheme="minorEastAsia"/>
                <w:noProof/>
                <w:kern w:val="2"/>
                <w:sz w:val="24"/>
                <w:szCs w:val="24"/>
                <w:lang w:eastAsia="pl-PL"/>
                <w14:ligatures w14:val="standardContextual"/>
              </w:rPr>
              <w:tab/>
            </w:r>
            <w:r w:rsidRPr="00667ECB">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_Toc224647137 \h </w:instrText>
            </w:r>
            <w:r>
              <w:rPr>
                <w:noProof/>
                <w:webHidden/>
              </w:rPr>
            </w:r>
            <w:r>
              <w:rPr>
                <w:noProof/>
                <w:webHidden/>
              </w:rPr>
              <w:fldChar w:fldCharType="separate"/>
            </w:r>
            <w:r w:rsidR="0069253A">
              <w:rPr>
                <w:noProof/>
                <w:webHidden/>
              </w:rPr>
              <w:t>9</w:t>
            </w:r>
            <w:r>
              <w:rPr>
                <w:noProof/>
                <w:webHidden/>
              </w:rPr>
              <w:fldChar w:fldCharType="end"/>
            </w:r>
          </w:hyperlink>
        </w:p>
        <w:p w14:paraId="6C0D277A" w14:textId="26DD7CD8" w:rsidR="0068753E" w:rsidRDefault="0068753E">
          <w:pPr>
            <w:pStyle w:val="Spistreci1"/>
            <w:rPr>
              <w:rFonts w:eastAsiaTheme="minorEastAsia"/>
              <w:noProof/>
              <w:kern w:val="2"/>
              <w:sz w:val="24"/>
              <w:szCs w:val="24"/>
              <w:lang w:eastAsia="pl-PL"/>
              <w14:ligatures w14:val="standardContextual"/>
            </w:rPr>
          </w:pPr>
          <w:hyperlink w:anchor="_Toc224647138" w:history="1">
            <w:r w:rsidRPr="00667ECB">
              <w:rPr>
                <w:rStyle w:val="Hipercze"/>
                <w:rFonts w:cstheme="minorHAnsi"/>
                <w:b/>
                <w:bCs/>
                <w:iCs/>
                <w:noProof/>
              </w:rPr>
              <w:t>5.</w:t>
            </w:r>
            <w:r>
              <w:rPr>
                <w:rFonts w:eastAsiaTheme="minorEastAsia"/>
                <w:noProof/>
                <w:kern w:val="2"/>
                <w:sz w:val="24"/>
                <w:szCs w:val="24"/>
                <w:lang w:eastAsia="pl-PL"/>
                <w14:ligatures w14:val="standardContextual"/>
              </w:rPr>
              <w:tab/>
            </w:r>
            <w:r w:rsidRPr="00667ECB">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_Toc224647138 \h </w:instrText>
            </w:r>
            <w:r>
              <w:rPr>
                <w:noProof/>
                <w:webHidden/>
              </w:rPr>
            </w:r>
            <w:r>
              <w:rPr>
                <w:noProof/>
                <w:webHidden/>
              </w:rPr>
              <w:fldChar w:fldCharType="separate"/>
            </w:r>
            <w:r w:rsidR="0069253A">
              <w:rPr>
                <w:noProof/>
                <w:webHidden/>
              </w:rPr>
              <w:t>9</w:t>
            </w:r>
            <w:r>
              <w:rPr>
                <w:noProof/>
                <w:webHidden/>
              </w:rPr>
              <w:fldChar w:fldCharType="end"/>
            </w:r>
          </w:hyperlink>
        </w:p>
        <w:p w14:paraId="4FB0521B" w14:textId="39406ACD" w:rsidR="0068753E" w:rsidRDefault="0068753E">
          <w:pPr>
            <w:pStyle w:val="Spistreci1"/>
            <w:rPr>
              <w:rFonts w:eastAsiaTheme="minorEastAsia"/>
              <w:noProof/>
              <w:kern w:val="2"/>
              <w:sz w:val="24"/>
              <w:szCs w:val="24"/>
              <w:lang w:eastAsia="pl-PL"/>
              <w14:ligatures w14:val="standardContextual"/>
            </w:rPr>
          </w:pPr>
          <w:hyperlink w:anchor="_Toc224647139" w:history="1">
            <w:r w:rsidRPr="00667ECB">
              <w:rPr>
                <w:rStyle w:val="Hipercze"/>
                <w:rFonts w:cstheme="minorHAnsi"/>
                <w:b/>
                <w:bCs/>
                <w:iCs/>
                <w:noProof/>
              </w:rPr>
              <w:t>6.</w:t>
            </w:r>
            <w:r>
              <w:rPr>
                <w:rFonts w:eastAsiaTheme="minorEastAsia"/>
                <w:noProof/>
                <w:kern w:val="2"/>
                <w:sz w:val="24"/>
                <w:szCs w:val="24"/>
                <w:lang w:eastAsia="pl-PL"/>
                <w14:ligatures w14:val="standardContextual"/>
              </w:rPr>
              <w:tab/>
            </w:r>
            <w:r w:rsidRPr="00667ECB">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_Toc224647139 \h </w:instrText>
            </w:r>
            <w:r>
              <w:rPr>
                <w:noProof/>
                <w:webHidden/>
              </w:rPr>
            </w:r>
            <w:r>
              <w:rPr>
                <w:noProof/>
                <w:webHidden/>
              </w:rPr>
              <w:fldChar w:fldCharType="separate"/>
            </w:r>
            <w:r w:rsidR="0069253A">
              <w:rPr>
                <w:noProof/>
                <w:webHidden/>
              </w:rPr>
              <w:t>9</w:t>
            </w:r>
            <w:r>
              <w:rPr>
                <w:noProof/>
                <w:webHidden/>
              </w:rPr>
              <w:fldChar w:fldCharType="end"/>
            </w:r>
          </w:hyperlink>
        </w:p>
        <w:p w14:paraId="3A4AA71B" w14:textId="06DBD05B" w:rsidR="0068753E" w:rsidRDefault="0068753E">
          <w:pPr>
            <w:pStyle w:val="Spistreci1"/>
            <w:rPr>
              <w:rFonts w:eastAsiaTheme="minorEastAsia"/>
              <w:noProof/>
              <w:kern w:val="2"/>
              <w:sz w:val="24"/>
              <w:szCs w:val="24"/>
              <w:lang w:eastAsia="pl-PL"/>
              <w14:ligatures w14:val="standardContextual"/>
            </w:rPr>
          </w:pPr>
          <w:hyperlink w:anchor="_Toc224647140" w:history="1">
            <w:r w:rsidRPr="00667ECB">
              <w:rPr>
                <w:rStyle w:val="Hipercze"/>
                <w:rFonts w:cstheme="minorHAnsi"/>
                <w:b/>
                <w:bCs/>
                <w:iCs/>
                <w:noProof/>
              </w:rPr>
              <w:t>7.</w:t>
            </w:r>
            <w:r>
              <w:rPr>
                <w:rFonts w:eastAsiaTheme="minorEastAsia"/>
                <w:noProof/>
                <w:kern w:val="2"/>
                <w:sz w:val="24"/>
                <w:szCs w:val="24"/>
                <w:lang w:eastAsia="pl-PL"/>
                <w14:ligatures w14:val="standardContextual"/>
              </w:rPr>
              <w:tab/>
            </w:r>
            <w:r w:rsidRPr="00667ECB">
              <w:rPr>
                <w:rStyle w:val="Hipercze"/>
                <w:rFonts w:cstheme="minorHAnsi"/>
                <w:b/>
                <w:noProof/>
              </w:rPr>
              <w:t>Typy przedsięwzięć</w:t>
            </w:r>
            <w:r>
              <w:rPr>
                <w:noProof/>
                <w:webHidden/>
              </w:rPr>
              <w:tab/>
            </w:r>
            <w:r>
              <w:rPr>
                <w:noProof/>
                <w:webHidden/>
              </w:rPr>
              <w:fldChar w:fldCharType="begin"/>
            </w:r>
            <w:r>
              <w:rPr>
                <w:noProof/>
                <w:webHidden/>
              </w:rPr>
              <w:instrText xml:space="preserve"> PAGEREF _Toc224647140 \h </w:instrText>
            </w:r>
            <w:r>
              <w:rPr>
                <w:noProof/>
                <w:webHidden/>
              </w:rPr>
            </w:r>
            <w:r>
              <w:rPr>
                <w:noProof/>
                <w:webHidden/>
              </w:rPr>
              <w:fldChar w:fldCharType="separate"/>
            </w:r>
            <w:r w:rsidR="0069253A">
              <w:rPr>
                <w:noProof/>
                <w:webHidden/>
              </w:rPr>
              <w:t>10</w:t>
            </w:r>
            <w:r>
              <w:rPr>
                <w:noProof/>
                <w:webHidden/>
              </w:rPr>
              <w:fldChar w:fldCharType="end"/>
            </w:r>
          </w:hyperlink>
        </w:p>
        <w:p w14:paraId="5CF993B8" w14:textId="3541429A" w:rsidR="0068753E" w:rsidRDefault="0068753E">
          <w:pPr>
            <w:pStyle w:val="Spistreci1"/>
            <w:rPr>
              <w:rFonts w:eastAsiaTheme="minorEastAsia"/>
              <w:noProof/>
              <w:kern w:val="2"/>
              <w:sz w:val="24"/>
              <w:szCs w:val="24"/>
              <w:lang w:eastAsia="pl-PL"/>
              <w14:ligatures w14:val="standardContextual"/>
            </w:rPr>
          </w:pPr>
          <w:hyperlink w:anchor="_Toc224647141" w:history="1">
            <w:r w:rsidRPr="00667ECB">
              <w:rPr>
                <w:rStyle w:val="Hipercze"/>
                <w:rFonts w:cstheme="minorHAnsi"/>
                <w:b/>
                <w:bCs/>
                <w:iCs/>
                <w:noProof/>
              </w:rPr>
              <w:t>8.</w:t>
            </w:r>
            <w:r>
              <w:rPr>
                <w:rFonts w:eastAsiaTheme="minorEastAsia"/>
                <w:noProof/>
                <w:kern w:val="2"/>
                <w:sz w:val="24"/>
                <w:szCs w:val="24"/>
                <w:lang w:eastAsia="pl-PL"/>
                <w14:ligatures w14:val="standardContextual"/>
              </w:rPr>
              <w:tab/>
            </w:r>
            <w:r w:rsidRPr="00667ECB">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_Toc224647141 \h </w:instrText>
            </w:r>
            <w:r>
              <w:rPr>
                <w:noProof/>
                <w:webHidden/>
              </w:rPr>
            </w:r>
            <w:r>
              <w:rPr>
                <w:noProof/>
                <w:webHidden/>
              </w:rPr>
              <w:fldChar w:fldCharType="separate"/>
            </w:r>
            <w:r w:rsidR="0069253A">
              <w:rPr>
                <w:noProof/>
                <w:webHidden/>
              </w:rPr>
              <w:t>10</w:t>
            </w:r>
            <w:r>
              <w:rPr>
                <w:noProof/>
                <w:webHidden/>
              </w:rPr>
              <w:fldChar w:fldCharType="end"/>
            </w:r>
          </w:hyperlink>
        </w:p>
        <w:p w14:paraId="6DA4DCAC" w14:textId="05C1F9B3" w:rsidR="0068753E" w:rsidRDefault="0068753E">
          <w:pPr>
            <w:pStyle w:val="Spistreci1"/>
            <w:rPr>
              <w:rFonts w:eastAsiaTheme="minorEastAsia"/>
              <w:noProof/>
              <w:kern w:val="2"/>
              <w:sz w:val="24"/>
              <w:szCs w:val="24"/>
              <w:lang w:eastAsia="pl-PL"/>
              <w14:ligatures w14:val="standardContextual"/>
            </w:rPr>
          </w:pPr>
          <w:hyperlink w:anchor="_Toc224647142" w:history="1">
            <w:r w:rsidRPr="00667ECB">
              <w:rPr>
                <w:rStyle w:val="Hipercze"/>
                <w:rFonts w:cstheme="minorHAnsi"/>
                <w:b/>
                <w:bCs/>
                <w:iCs/>
                <w:noProof/>
              </w:rPr>
              <w:t>9.</w:t>
            </w:r>
            <w:r>
              <w:rPr>
                <w:rFonts w:eastAsiaTheme="minorEastAsia"/>
                <w:noProof/>
                <w:kern w:val="2"/>
                <w:sz w:val="24"/>
                <w:szCs w:val="24"/>
                <w:lang w:eastAsia="pl-PL"/>
                <w14:ligatures w14:val="standardContextual"/>
              </w:rPr>
              <w:tab/>
            </w:r>
            <w:r w:rsidRPr="00667ECB">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_Toc224647142 \h </w:instrText>
            </w:r>
            <w:r>
              <w:rPr>
                <w:noProof/>
                <w:webHidden/>
              </w:rPr>
            </w:r>
            <w:r>
              <w:rPr>
                <w:noProof/>
                <w:webHidden/>
              </w:rPr>
              <w:fldChar w:fldCharType="separate"/>
            </w:r>
            <w:r w:rsidR="0069253A">
              <w:rPr>
                <w:noProof/>
                <w:webHidden/>
              </w:rPr>
              <w:t>13</w:t>
            </w:r>
            <w:r>
              <w:rPr>
                <w:noProof/>
                <w:webHidden/>
              </w:rPr>
              <w:fldChar w:fldCharType="end"/>
            </w:r>
          </w:hyperlink>
        </w:p>
        <w:p w14:paraId="68B2A2BA" w14:textId="56FD1B7C" w:rsidR="0068753E" w:rsidRDefault="0068753E">
          <w:pPr>
            <w:pStyle w:val="Spistreci1"/>
            <w:rPr>
              <w:rFonts w:eastAsiaTheme="minorEastAsia"/>
              <w:noProof/>
              <w:kern w:val="2"/>
              <w:sz w:val="24"/>
              <w:szCs w:val="24"/>
              <w:lang w:eastAsia="pl-PL"/>
              <w14:ligatures w14:val="standardContextual"/>
            </w:rPr>
          </w:pPr>
          <w:hyperlink w:anchor="_Toc224647143" w:history="1">
            <w:r w:rsidRPr="00667ECB">
              <w:rPr>
                <w:rStyle w:val="Hipercze"/>
                <w:rFonts w:cstheme="minorHAnsi"/>
                <w:b/>
                <w:bCs/>
                <w:iCs/>
                <w:noProof/>
              </w:rPr>
              <w:t>10.</w:t>
            </w:r>
            <w:r>
              <w:rPr>
                <w:rFonts w:eastAsiaTheme="minorEastAsia"/>
                <w:noProof/>
                <w:kern w:val="2"/>
                <w:sz w:val="24"/>
                <w:szCs w:val="24"/>
                <w:lang w:eastAsia="pl-PL"/>
                <w14:ligatures w14:val="standardContextual"/>
              </w:rPr>
              <w:tab/>
            </w:r>
            <w:r w:rsidRPr="00667ECB">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_Toc224647143 \h </w:instrText>
            </w:r>
            <w:r>
              <w:rPr>
                <w:noProof/>
                <w:webHidden/>
              </w:rPr>
            </w:r>
            <w:r>
              <w:rPr>
                <w:noProof/>
                <w:webHidden/>
              </w:rPr>
              <w:fldChar w:fldCharType="separate"/>
            </w:r>
            <w:r w:rsidR="0069253A">
              <w:rPr>
                <w:noProof/>
                <w:webHidden/>
              </w:rPr>
              <w:t>14</w:t>
            </w:r>
            <w:r>
              <w:rPr>
                <w:noProof/>
                <w:webHidden/>
              </w:rPr>
              <w:fldChar w:fldCharType="end"/>
            </w:r>
          </w:hyperlink>
        </w:p>
        <w:p w14:paraId="2819974F" w14:textId="6E2F83CA" w:rsidR="0068753E" w:rsidRDefault="0068753E">
          <w:pPr>
            <w:pStyle w:val="Spistreci1"/>
            <w:rPr>
              <w:rFonts w:eastAsiaTheme="minorEastAsia"/>
              <w:noProof/>
              <w:kern w:val="2"/>
              <w:sz w:val="24"/>
              <w:szCs w:val="24"/>
              <w:lang w:eastAsia="pl-PL"/>
              <w14:ligatures w14:val="standardContextual"/>
            </w:rPr>
          </w:pPr>
          <w:hyperlink w:anchor="_Toc224647144" w:history="1">
            <w:r w:rsidRPr="00667ECB">
              <w:rPr>
                <w:rStyle w:val="Hipercze"/>
                <w:rFonts w:cstheme="minorHAnsi"/>
                <w:b/>
                <w:bCs/>
                <w:iCs/>
                <w:noProof/>
              </w:rPr>
              <w:t>11.</w:t>
            </w:r>
            <w:r>
              <w:rPr>
                <w:rFonts w:eastAsiaTheme="minorEastAsia"/>
                <w:noProof/>
                <w:kern w:val="2"/>
                <w:sz w:val="24"/>
                <w:szCs w:val="24"/>
                <w:lang w:eastAsia="pl-PL"/>
                <w14:ligatures w14:val="standardContextual"/>
              </w:rPr>
              <w:tab/>
            </w:r>
            <w:r w:rsidRPr="00667ECB">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_Toc224647144 \h </w:instrText>
            </w:r>
            <w:r>
              <w:rPr>
                <w:noProof/>
                <w:webHidden/>
              </w:rPr>
            </w:r>
            <w:r>
              <w:rPr>
                <w:noProof/>
                <w:webHidden/>
              </w:rPr>
              <w:fldChar w:fldCharType="separate"/>
            </w:r>
            <w:r w:rsidR="0069253A">
              <w:rPr>
                <w:noProof/>
                <w:webHidden/>
              </w:rPr>
              <w:t>15</w:t>
            </w:r>
            <w:r>
              <w:rPr>
                <w:noProof/>
                <w:webHidden/>
              </w:rPr>
              <w:fldChar w:fldCharType="end"/>
            </w:r>
          </w:hyperlink>
        </w:p>
        <w:p w14:paraId="78CE6E17" w14:textId="394981CF" w:rsidR="0068753E" w:rsidRDefault="0068753E">
          <w:pPr>
            <w:pStyle w:val="Spistreci1"/>
            <w:rPr>
              <w:rFonts w:eastAsiaTheme="minorEastAsia"/>
              <w:noProof/>
              <w:kern w:val="2"/>
              <w:sz w:val="24"/>
              <w:szCs w:val="24"/>
              <w:lang w:eastAsia="pl-PL"/>
              <w14:ligatures w14:val="standardContextual"/>
            </w:rPr>
          </w:pPr>
          <w:hyperlink w:anchor="_Toc224647145" w:history="1">
            <w:r w:rsidRPr="00667ECB">
              <w:rPr>
                <w:rStyle w:val="Hipercze"/>
                <w:rFonts w:cstheme="minorHAnsi"/>
                <w:b/>
                <w:bCs/>
                <w:iCs/>
                <w:noProof/>
              </w:rPr>
              <w:t>12.</w:t>
            </w:r>
            <w:r>
              <w:rPr>
                <w:rFonts w:eastAsiaTheme="minorEastAsia"/>
                <w:noProof/>
                <w:kern w:val="2"/>
                <w:sz w:val="24"/>
                <w:szCs w:val="24"/>
                <w:lang w:eastAsia="pl-PL"/>
                <w14:ligatures w14:val="standardContextual"/>
              </w:rPr>
              <w:tab/>
            </w:r>
            <w:r w:rsidRPr="00667ECB">
              <w:rPr>
                <w:rStyle w:val="Hipercze"/>
                <w:rFonts w:cstheme="minorHAnsi"/>
                <w:b/>
                <w:bCs/>
                <w:noProof/>
              </w:rPr>
              <w:t>Dopuszczalny cross-financing (%)</w:t>
            </w:r>
            <w:r>
              <w:rPr>
                <w:noProof/>
                <w:webHidden/>
              </w:rPr>
              <w:tab/>
            </w:r>
            <w:r>
              <w:rPr>
                <w:noProof/>
                <w:webHidden/>
              </w:rPr>
              <w:fldChar w:fldCharType="begin"/>
            </w:r>
            <w:r>
              <w:rPr>
                <w:noProof/>
                <w:webHidden/>
              </w:rPr>
              <w:instrText xml:space="preserve"> PAGEREF _Toc224647145 \h </w:instrText>
            </w:r>
            <w:r>
              <w:rPr>
                <w:noProof/>
                <w:webHidden/>
              </w:rPr>
            </w:r>
            <w:r>
              <w:rPr>
                <w:noProof/>
                <w:webHidden/>
              </w:rPr>
              <w:fldChar w:fldCharType="separate"/>
            </w:r>
            <w:r w:rsidR="0069253A">
              <w:rPr>
                <w:noProof/>
                <w:webHidden/>
              </w:rPr>
              <w:t>15</w:t>
            </w:r>
            <w:r>
              <w:rPr>
                <w:noProof/>
                <w:webHidden/>
              </w:rPr>
              <w:fldChar w:fldCharType="end"/>
            </w:r>
          </w:hyperlink>
        </w:p>
        <w:p w14:paraId="226251A2" w14:textId="7BBAF56A" w:rsidR="0068753E" w:rsidRDefault="0068753E">
          <w:pPr>
            <w:pStyle w:val="Spistreci1"/>
            <w:rPr>
              <w:rFonts w:eastAsiaTheme="minorEastAsia"/>
              <w:noProof/>
              <w:kern w:val="2"/>
              <w:sz w:val="24"/>
              <w:szCs w:val="24"/>
              <w:lang w:eastAsia="pl-PL"/>
              <w14:ligatures w14:val="standardContextual"/>
            </w:rPr>
          </w:pPr>
          <w:hyperlink w:anchor="_Toc224647146" w:history="1">
            <w:r w:rsidRPr="00667ECB">
              <w:rPr>
                <w:rStyle w:val="Hipercze"/>
                <w:rFonts w:cstheme="minorHAnsi"/>
                <w:b/>
                <w:bCs/>
                <w:iCs/>
                <w:noProof/>
              </w:rPr>
              <w:t>13.</w:t>
            </w:r>
            <w:r>
              <w:rPr>
                <w:rFonts w:eastAsiaTheme="minorEastAsia"/>
                <w:noProof/>
                <w:kern w:val="2"/>
                <w:sz w:val="24"/>
                <w:szCs w:val="24"/>
                <w:lang w:eastAsia="pl-PL"/>
                <w14:ligatures w14:val="standardContextual"/>
              </w:rPr>
              <w:tab/>
            </w:r>
            <w:r w:rsidRPr="00667ECB">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_Toc224647146 \h </w:instrText>
            </w:r>
            <w:r>
              <w:rPr>
                <w:noProof/>
                <w:webHidden/>
              </w:rPr>
            </w:r>
            <w:r>
              <w:rPr>
                <w:noProof/>
                <w:webHidden/>
              </w:rPr>
              <w:fldChar w:fldCharType="separate"/>
            </w:r>
            <w:r w:rsidR="0069253A">
              <w:rPr>
                <w:noProof/>
                <w:webHidden/>
              </w:rPr>
              <w:t>15</w:t>
            </w:r>
            <w:r>
              <w:rPr>
                <w:noProof/>
                <w:webHidden/>
              </w:rPr>
              <w:fldChar w:fldCharType="end"/>
            </w:r>
          </w:hyperlink>
        </w:p>
        <w:p w14:paraId="30E26F45" w14:textId="329ED451" w:rsidR="0068753E" w:rsidRDefault="0068753E">
          <w:pPr>
            <w:pStyle w:val="Spistreci1"/>
            <w:rPr>
              <w:rFonts w:eastAsiaTheme="minorEastAsia"/>
              <w:noProof/>
              <w:kern w:val="2"/>
              <w:sz w:val="24"/>
              <w:szCs w:val="24"/>
              <w:lang w:eastAsia="pl-PL"/>
              <w14:ligatures w14:val="standardContextual"/>
            </w:rPr>
          </w:pPr>
          <w:hyperlink w:anchor="_Toc224647147" w:history="1">
            <w:r w:rsidRPr="00667ECB">
              <w:rPr>
                <w:rStyle w:val="Hipercze"/>
                <w:rFonts w:cstheme="minorHAnsi"/>
                <w:b/>
                <w:bCs/>
                <w:iCs/>
                <w:noProof/>
              </w:rPr>
              <w:t>14.</w:t>
            </w:r>
            <w:r>
              <w:rPr>
                <w:rFonts w:eastAsiaTheme="minorEastAsia"/>
                <w:noProof/>
                <w:kern w:val="2"/>
                <w:sz w:val="24"/>
                <w:szCs w:val="24"/>
                <w:lang w:eastAsia="pl-PL"/>
                <w14:ligatures w14:val="standardContextual"/>
              </w:rPr>
              <w:tab/>
            </w:r>
            <w:r w:rsidRPr="00667ECB">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_Toc224647147 \h </w:instrText>
            </w:r>
            <w:r>
              <w:rPr>
                <w:noProof/>
                <w:webHidden/>
              </w:rPr>
            </w:r>
            <w:r>
              <w:rPr>
                <w:noProof/>
                <w:webHidden/>
              </w:rPr>
              <w:fldChar w:fldCharType="separate"/>
            </w:r>
            <w:r w:rsidR="0069253A">
              <w:rPr>
                <w:noProof/>
                <w:webHidden/>
              </w:rPr>
              <w:t>16</w:t>
            </w:r>
            <w:r>
              <w:rPr>
                <w:noProof/>
                <w:webHidden/>
              </w:rPr>
              <w:fldChar w:fldCharType="end"/>
            </w:r>
          </w:hyperlink>
        </w:p>
        <w:p w14:paraId="79D3857A" w14:textId="52792756" w:rsidR="0068753E" w:rsidRDefault="0068753E">
          <w:pPr>
            <w:pStyle w:val="Spistreci1"/>
            <w:rPr>
              <w:rFonts w:eastAsiaTheme="minorEastAsia"/>
              <w:noProof/>
              <w:kern w:val="2"/>
              <w:sz w:val="24"/>
              <w:szCs w:val="24"/>
              <w:lang w:eastAsia="pl-PL"/>
              <w14:ligatures w14:val="standardContextual"/>
            </w:rPr>
          </w:pPr>
          <w:hyperlink w:anchor="_Toc224647148" w:history="1">
            <w:r w:rsidRPr="00667ECB">
              <w:rPr>
                <w:rStyle w:val="Hipercze"/>
                <w:rFonts w:cstheme="minorHAnsi"/>
                <w:b/>
                <w:bCs/>
                <w:iCs/>
                <w:noProof/>
              </w:rPr>
              <w:t>15.</w:t>
            </w:r>
            <w:r>
              <w:rPr>
                <w:rFonts w:eastAsiaTheme="minorEastAsia"/>
                <w:noProof/>
                <w:kern w:val="2"/>
                <w:sz w:val="24"/>
                <w:szCs w:val="24"/>
                <w:lang w:eastAsia="pl-PL"/>
                <w14:ligatures w14:val="standardContextual"/>
              </w:rPr>
              <w:tab/>
            </w:r>
            <w:r w:rsidRPr="00667ECB">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Pr>
                <w:noProof/>
                <w:webHidden/>
              </w:rPr>
              <w:tab/>
            </w:r>
            <w:r>
              <w:rPr>
                <w:noProof/>
                <w:webHidden/>
              </w:rPr>
              <w:fldChar w:fldCharType="begin"/>
            </w:r>
            <w:r>
              <w:rPr>
                <w:noProof/>
                <w:webHidden/>
              </w:rPr>
              <w:instrText xml:space="preserve"> PAGEREF _Toc224647148 \h </w:instrText>
            </w:r>
            <w:r>
              <w:rPr>
                <w:noProof/>
                <w:webHidden/>
              </w:rPr>
            </w:r>
            <w:r>
              <w:rPr>
                <w:noProof/>
                <w:webHidden/>
              </w:rPr>
              <w:fldChar w:fldCharType="separate"/>
            </w:r>
            <w:r w:rsidR="0069253A">
              <w:rPr>
                <w:noProof/>
                <w:webHidden/>
              </w:rPr>
              <w:t>16</w:t>
            </w:r>
            <w:r>
              <w:rPr>
                <w:noProof/>
                <w:webHidden/>
              </w:rPr>
              <w:fldChar w:fldCharType="end"/>
            </w:r>
          </w:hyperlink>
        </w:p>
        <w:p w14:paraId="42B48A3D" w14:textId="126D9347" w:rsidR="0068753E" w:rsidRDefault="0068753E">
          <w:pPr>
            <w:pStyle w:val="Spistreci1"/>
            <w:rPr>
              <w:rFonts w:eastAsiaTheme="minorEastAsia"/>
              <w:noProof/>
              <w:kern w:val="2"/>
              <w:sz w:val="24"/>
              <w:szCs w:val="24"/>
              <w:lang w:eastAsia="pl-PL"/>
              <w14:ligatures w14:val="standardContextual"/>
            </w:rPr>
          </w:pPr>
          <w:hyperlink w:anchor="_Toc224647149" w:history="1">
            <w:r w:rsidRPr="00667ECB">
              <w:rPr>
                <w:rStyle w:val="Hipercze"/>
                <w:rFonts w:cstheme="minorHAnsi"/>
                <w:b/>
                <w:bCs/>
                <w:iCs/>
                <w:noProof/>
              </w:rPr>
              <w:t>16.</w:t>
            </w:r>
            <w:r>
              <w:rPr>
                <w:rFonts w:eastAsiaTheme="minorEastAsia"/>
                <w:noProof/>
                <w:kern w:val="2"/>
                <w:sz w:val="24"/>
                <w:szCs w:val="24"/>
                <w:lang w:eastAsia="pl-PL"/>
                <w14:ligatures w14:val="standardContextual"/>
              </w:rPr>
              <w:tab/>
            </w:r>
            <w:r w:rsidRPr="00667ECB">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_Toc224647149 \h </w:instrText>
            </w:r>
            <w:r>
              <w:rPr>
                <w:noProof/>
                <w:webHidden/>
              </w:rPr>
            </w:r>
            <w:r>
              <w:rPr>
                <w:noProof/>
                <w:webHidden/>
              </w:rPr>
              <w:fldChar w:fldCharType="separate"/>
            </w:r>
            <w:r w:rsidR="0069253A">
              <w:rPr>
                <w:noProof/>
                <w:webHidden/>
              </w:rPr>
              <w:t>16</w:t>
            </w:r>
            <w:r>
              <w:rPr>
                <w:noProof/>
                <w:webHidden/>
              </w:rPr>
              <w:fldChar w:fldCharType="end"/>
            </w:r>
          </w:hyperlink>
        </w:p>
        <w:p w14:paraId="232815D0" w14:textId="74084EDD" w:rsidR="0068753E" w:rsidRDefault="0068753E">
          <w:pPr>
            <w:pStyle w:val="Spistreci1"/>
            <w:rPr>
              <w:rFonts w:eastAsiaTheme="minorEastAsia"/>
              <w:noProof/>
              <w:kern w:val="2"/>
              <w:sz w:val="24"/>
              <w:szCs w:val="24"/>
              <w:lang w:eastAsia="pl-PL"/>
              <w14:ligatures w14:val="standardContextual"/>
            </w:rPr>
          </w:pPr>
          <w:hyperlink w:anchor="_Toc224647150" w:history="1">
            <w:r w:rsidRPr="00667ECB">
              <w:rPr>
                <w:rStyle w:val="Hipercze"/>
                <w:rFonts w:cstheme="minorHAnsi"/>
                <w:b/>
                <w:bCs/>
                <w:iCs/>
                <w:noProof/>
              </w:rPr>
              <w:t>17.</w:t>
            </w:r>
            <w:r>
              <w:rPr>
                <w:rFonts w:eastAsiaTheme="minorEastAsia"/>
                <w:noProof/>
                <w:kern w:val="2"/>
                <w:sz w:val="24"/>
                <w:szCs w:val="24"/>
                <w:lang w:eastAsia="pl-PL"/>
                <w14:ligatures w14:val="standardContextual"/>
              </w:rPr>
              <w:tab/>
            </w:r>
            <w:r w:rsidRPr="00667ECB">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_Toc224647150 \h </w:instrText>
            </w:r>
            <w:r>
              <w:rPr>
                <w:noProof/>
                <w:webHidden/>
              </w:rPr>
            </w:r>
            <w:r>
              <w:rPr>
                <w:noProof/>
                <w:webHidden/>
              </w:rPr>
              <w:fldChar w:fldCharType="separate"/>
            </w:r>
            <w:r w:rsidR="0069253A">
              <w:rPr>
                <w:noProof/>
                <w:webHidden/>
              </w:rPr>
              <w:t>16</w:t>
            </w:r>
            <w:r>
              <w:rPr>
                <w:noProof/>
                <w:webHidden/>
              </w:rPr>
              <w:fldChar w:fldCharType="end"/>
            </w:r>
          </w:hyperlink>
        </w:p>
        <w:p w14:paraId="53D98342" w14:textId="41FC8ABF" w:rsidR="0068753E" w:rsidRDefault="0068753E">
          <w:pPr>
            <w:pStyle w:val="Spistreci1"/>
            <w:rPr>
              <w:rFonts w:eastAsiaTheme="minorEastAsia"/>
              <w:noProof/>
              <w:kern w:val="2"/>
              <w:sz w:val="24"/>
              <w:szCs w:val="24"/>
              <w:lang w:eastAsia="pl-PL"/>
              <w14:ligatures w14:val="standardContextual"/>
            </w:rPr>
          </w:pPr>
          <w:hyperlink w:anchor="_Toc224647151" w:history="1">
            <w:r w:rsidRPr="00667ECB">
              <w:rPr>
                <w:rStyle w:val="Hipercze"/>
                <w:rFonts w:cstheme="minorHAnsi"/>
                <w:b/>
                <w:bCs/>
                <w:iCs/>
                <w:noProof/>
              </w:rPr>
              <w:t>18.</w:t>
            </w:r>
            <w:r>
              <w:rPr>
                <w:rFonts w:eastAsiaTheme="minorEastAsia"/>
                <w:noProof/>
                <w:kern w:val="2"/>
                <w:sz w:val="24"/>
                <w:szCs w:val="24"/>
                <w:lang w:eastAsia="pl-PL"/>
                <w14:ligatures w14:val="standardContextual"/>
              </w:rPr>
              <w:tab/>
            </w:r>
            <w:r w:rsidRPr="00667ECB">
              <w:rPr>
                <w:rStyle w:val="Hipercze"/>
                <w:rFonts w:cstheme="minorHAnsi"/>
                <w:b/>
                <w:noProof/>
              </w:rPr>
              <w:t>Forma komunikacji</w:t>
            </w:r>
            <w:r>
              <w:rPr>
                <w:noProof/>
                <w:webHidden/>
              </w:rPr>
              <w:tab/>
            </w:r>
            <w:r>
              <w:rPr>
                <w:noProof/>
                <w:webHidden/>
              </w:rPr>
              <w:fldChar w:fldCharType="begin"/>
            </w:r>
            <w:r>
              <w:rPr>
                <w:noProof/>
                <w:webHidden/>
              </w:rPr>
              <w:instrText xml:space="preserve"> PAGEREF _Toc224647151 \h </w:instrText>
            </w:r>
            <w:r>
              <w:rPr>
                <w:noProof/>
                <w:webHidden/>
              </w:rPr>
            </w:r>
            <w:r>
              <w:rPr>
                <w:noProof/>
                <w:webHidden/>
              </w:rPr>
              <w:fldChar w:fldCharType="separate"/>
            </w:r>
            <w:r w:rsidR="0069253A">
              <w:rPr>
                <w:noProof/>
                <w:webHidden/>
              </w:rPr>
              <w:t>17</w:t>
            </w:r>
            <w:r>
              <w:rPr>
                <w:noProof/>
                <w:webHidden/>
              </w:rPr>
              <w:fldChar w:fldCharType="end"/>
            </w:r>
          </w:hyperlink>
        </w:p>
        <w:p w14:paraId="5A8D6BBE" w14:textId="56B463D9" w:rsidR="0068753E" w:rsidRDefault="0068753E">
          <w:pPr>
            <w:pStyle w:val="Spistreci1"/>
            <w:rPr>
              <w:rFonts w:eastAsiaTheme="minorEastAsia"/>
              <w:noProof/>
              <w:kern w:val="2"/>
              <w:sz w:val="24"/>
              <w:szCs w:val="24"/>
              <w:lang w:eastAsia="pl-PL"/>
              <w14:ligatures w14:val="standardContextual"/>
            </w:rPr>
          </w:pPr>
          <w:hyperlink w:anchor="_Toc224647152" w:history="1">
            <w:r w:rsidRPr="00667ECB">
              <w:rPr>
                <w:rStyle w:val="Hipercze"/>
                <w:rFonts w:cstheme="minorHAnsi"/>
                <w:b/>
                <w:bCs/>
                <w:iCs/>
                <w:noProof/>
              </w:rPr>
              <w:t>19.</w:t>
            </w:r>
            <w:r>
              <w:rPr>
                <w:rFonts w:eastAsiaTheme="minorEastAsia"/>
                <w:noProof/>
                <w:kern w:val="2"/>
                <w:sz w:val="24"/>
                <w:szCs w:val="24"/>
                <w:lang w:eastAsia="pl-PL"/>
                <w14:ligatures w14:val="standardContextual"/>
              </w:rPr>
              <w:tab/>
            </w:r>
            <w:r w:rsidRPr="00667ECB">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_Toc224647152 \h </w:instrText>
            </w:r>
            <w:r>
              <w:rPr>
                <w:noProof/>
                <w:webHidden/>
              </w:rPr>
            </w:r>
            <w:r>
              <w:rPr>
                <w:noProof/>
                <w:webHidden/>
              </w:rPr>
              <w:fldChar w:fldCharType="separate"/>
            </w:r>
            <w:r w:rsidR="0069253A">
              <w:rPr>
                <w:noProof/>
                <w:webHidden/>
              </w:rPr>
              <w:t>19</w:t>
            </w:r>
            <w:r>
              <w:rPr>
                <w:noProof/>
                <w:webHidden/>
              </w:rPr>
              <w:fldChar w:fldCharType="end"/>
            </w:r>
          </w:hyperlink>
        </w:p>
        <w:p w14:paraId="7E6B4005" w14:textId="5476B758" w:rsidR="0068753E" w:rsidRDefault="0068753E">
          <w:pPr>
            <w:pStyle w:val="Spistreci1"/>
            <w:rPr>
              <w:rFonts w:eastAsiaTheme="minorEastAsia"/>
              <w:noProof/>
              <w:kern w:val="2"/>
              <w:sz w:val="24"/>
              <w:szCs w:val="24"/>
              <w:lang w:eastAsia="pl-PL"/>
              <w14:ligatures w14:val="standardContextual"/>
            </w:rPr>
          </w:pPr>
          <w:hyperlink w:anchor="_Toc224647153" w:history="1">
            <w:r w:rsidRPr="00667ECB">
              <w:rPr>
                <w:rStyle w:val="Hipercze"/>
                <w:rFonts w:cstheme="minorHAnsi"/>
                <w:b/>
                <w:bCs/>
                <w:iCs/>
                <w:noProof/>
              </w:rPr>
              <w:t>20.</w:t>
            </w:r>
            <w:r>
              <w:rPr>
                <w:rFonts w:eastAsiaTheme="minorEastAsia"/>
                <w:noProof/>
                <w:kern w:val="2"/>
                <w:sz w:val="24"/>
                <w:szCs w:val="24"/>
                <w:lang w:eastAsia="pl-PL"/>
                <w14:ligatures w14:val="standardContextual"/>
              </w:rPr>
              <w:tab/>
            </w:r>
            <w:r w:rsidRPr="00667ECB">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_Toc224647153 \h </w:instrText>
            </w:r>
            <w:r>
              <w:rPr>
                <w:noProof/>
                <w:webHidden/>
              </w:rPr>
            </w:r>
            <w:r>
              <w:rPr>
                <w:noProof/>
                <w:webHidden/>
              </w:rPr>
              <w:fldChar w:fldCharType="separate"/>
            </w:r>
            <w:r w:rsidR="0069253A">
              <w:rPr>
                <w:noProof/>
                <w:webHidden/>
              </w:rPr>
              <w:t>20</w:t>
            </w:r>
            <w:r>
              <w:rPr>
                <w:noProof/>
                <w:webHidden/>
              </w:rPr>
              <w:fldChar w:fldCharType="end"/>
            </w:r>
          </w:hyperlink>
        </w:p>
        <w:p w14:paraId="73840483" w14:textId="5310AACC" w:rsidR="0068753E" w:rsidRDefault="0068753E">
          <w:pPr>
            <w:pStyle w:val="Spistreci1"/>
            <w:rPr>
              <w:rFonts w:eastAsiaTheme="minorEastAsia"/>
              <w:noProof/>
              <w:kern w:val="2"/>
              <w:sz w:val="24"/>
              <w:szCs w:val="24"/>
              <w:lang w:eastAsia="pl-PL"/>
              <w14:ligatures w14:val="standardContextual"/>
            </w:rPr>
          </w:pPr>
          <w:hyperlink w:anchor="_Toc224647154" w:history="1">
            <w:r w:rsidRPr="00667ECB">
              <w:rPr>
                <w:rStyle w:val="Hipercze"/>
                <w:rFonts w:cstheme="minorHAnsi"/>
                <w:b/>
                <w:bCs/>
                <w:iCs/>
                <w:noProof/>
              </w:rPr>
              <w:t>21.</w:t>
            </w:r>
            <w:r>
              <w:rPr>
                <w:rFonts w:eastAsiaTheme="minorEastAsia"/>
                <w:noProof/>
                <w:kern w:val="2"/>
                <w:sz w:val="24"/>
                <w:szCs w:val="24"/>
                <w:lang w:eastAsia="pl-PL"/>
                <w14:ligatures w14:val="standardContextual"/>
              </w:rPr>
              <w:tab/>
            </w:r>
            <w:r w:rsidRPr="00667ECB">
              <w:rPr>
                <w:rStyle w:val="Hipercze"/>
                <w:rFonts w:cstheme="minorHAnsi"/>
                <w:b/>
                <w:bCs/>
                <w:noProof/>
              </w:rPr>
              <w:t>Rozstrzygnięcie w zakresie wyboru projektu do dofinansowania</w:t>
            </w:r>
            <w:r>
              <w:rPr>
                <w:noProof/>
                <w:webHidden/>
              </w:rPr>
              <w:tab/>
            </w:r>
            <w:r>
              <w:rPr>
                <w:noProof/>
                <w:webHidden/>
              </w:rPr>
              <w:fldChar w:fldCharType="begin"/>
            </w:r>
            <w:r>
              <w:rPr>
                <w:noProof/>
                <w:webHidden/>
              </w:rPr>
              <w:instrText xml:space="preserve"> PAGEREF _Toc224647154 \h </w:instrText>
            </w:r>
            <w:r>
              <w:rPr>
                <w:noProof/>
                <w:webHidden/>
              </w:rPr>
            </w:r>
            <w:r>
              <w:rPr>
                <w:noProof/>
                <w:webHidden/>
              </w:rPr>
              <w:fldChar w:fldCharType="separate"/>
            </w:r>
            <w:r w:rsidR="0069253A">
              <w:rPr>
                <w:noProof/>
                <w:webHidden/>
              </w:rPr>
              <w:t>20</w:t>
            </w:r>
            <w:r>
              <w:rPr>
                <w:noProof/>
                <w:webHidden/>
              </w:rPr>
              <w:fldChar w:fldCharType="end"/>
            </w:r>
          </w:hyperlink>
        </w:p>
        <w:p w14:paraId="2AAE09CE" w14:textId="49703DEE" w:rsidR="0068753E" w:rsidRDefault="0068753E">
          <w:pPr>
            <w:pStyle w:val="Spistreci1"/>
            <w:rPr>
              <w:rFonts w:eastAsiaTheme="minorEastAsia"/>
              <w:noProof/>
              <w:kern w:val="2"/>
              <w:sz w:val="24"/>
              <w:szCs w:val="24"/>
              <w:lang w:eastAsia="pl-PL"/>
              <w14:ligatures w14:val="standardContextual"/>
            </w:rPr>
          </w:pPr>
          <w:hyperlink w:anchor="_Toc224647155" w:history="1">
            <w:r w:rsidRPr="00667ECB">
              <w:rPr>
                <w:rStyle w:val="Hipercze"/>
                <w:rFonts w:cstheme="minorHAnsi"/>
                <w:b/>
                <w:bCs/>
                <w:iCs/>
                <w:noProof/>
              </w:rPr>
              <w:t>22.</w:t>
            </w:r>
            <w:r>
              <w:rPr>
                <w:rFonts w:eastAsiaTheme="minorEastAsia"/>
                <w:noProof/>
                <w:kern w:val="2"/>
                <w:sz w:val="24"/>
                <w:szCs w:val="24"/>
                <w:lang w:eastAsia="pl-PL"/>
                <w14:ligatures w14:val="standardContextual"/>
              </w:rPr>
              <w:tab/>
            </w:r>
            <w:r w:rsidRPr="00667ECB">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_Toc224647155 \h </w:instrText>
            </w:r>
            <w:r>
              <w:rPr>
                <w:noProof/>
                <w:webHidden/>
              </w:rPr>
            </w:r>
            <w:r>
              <w:rPr>
                <w:noProof/>
                <w:webHidden/>
              </w:rPr>
              <w:fldChar w:fldCharType="separate"/>
            </w:r>
            <w:r w:rsidR="0069253A">
              <w:rPr>
                <w:noProof/>
                <w:webHidden/>
              </w:rPr>
              <w:t>21</w:t>
            </w:r>
            <w:r>
              <w:rPr>
                <w:noProof/>
                <w:webHidden/>
              </w:rPr>
              <w:fldChar w:fldCharType="end"/>
            </w:r>
          </w:hyperlink>
        </w:p>
        <w:p w14:paraId="71BAF32F" w14:textId="37B5BD71" w:rsidR="0068753E" w:rsidRDefault="0068753E">
          <w:pPr>
            <w:pStyle w:val="Spistreci1"/>
            <w:rPr>
              <w:rFonts w:eastAsiaTheme="minorEastAsia"/>
              <w:noProof/>
              <w:kern w:val="2"/>
              <w:sz w:val="24"/>
              <w:szCs w:val="24"/>
              <w:lang w:eastAsia="pl-PL"/>
              <w14:ligatures w14:val="standardContextual"/>
            </w:rPr>
          </w:pPr>
          <w:hyperlink w:anchor="_Toc224647156" w:history="1">
            <w:r w:rsidRPr="00667ECB">
              <w:rPr>
                <w:rStyle w:val="Hipercze"/>
                <w:rFonts w:cstheme="minorHAnsi"/>
                <w:b/>
                <w:bCs/>
                <w:iCs/>
                <w:noProof/>
              </w:rPr>
              <w:t>23.</w:t>
            </w:r>
            <w:r>
              <w:rPr>
                <w:rFonts w:eastAsiaTheme="minorEastAsia"/>
                <w:noProof/>
                <w:kern w:val="2"/>
                <w:sz w:val="24"/>
                <w:szCs w:val="24"/>
                <w:lang w:eastAsia="pl-PL"/>
                <w14:ligatures w14:val="standardContextual"/>
              </w:rPr>
              <w:tab/>
            </w:r>
            <w:r w:rsidRPr="00667ECB">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_Toc224647156 \h </w:instrText>
            </w:r>
            <w:r>
              <w:rPr>
                <w:noProof/>
                <w:webHidden/>
              </w:rPr>
            </w:r>
            <w:r>
              <w:rPr>
                <w:noProof/>
                <w:webHidden/>
              </w:rPr>
              <w:fldChar w:fldCharType="separate"/>
            </w:r>
            <w:r w:rsidR="0069253A">
              <w:rPr>
                <w:noProof/>
                <w:webHidden/>
              </w:rPr>
              <w:t>21</w:t>
            </w:r>
            <w:r>
              <w:rPr>
                <w:noProof/>
                <w:webHidden/>
              </w:rPr>
              <w:fldChar w:fldCharType="end"/>
            </w:r>
          </w:hyperlink>
        </w:p>
        <w:p w14:paraId="2C1039A0" w14:textId="49E0380F" w:rsidR="0068753E" w:rsidRDefault="0068753E">
          <w:pPr>
            <w:pStyle w:val="Spistreci1"/>
            <w:rPr>
              <w:rFonts w:eastAsiaTheme="minorEastAsia"/>
              <w:noProof/>
              <w:kern w:val="2"/>
              <w:sz w:val="24"/>
              <w:szCs w:val="24"/>
              <w:lang w:eastAsia="pl-PL"/>
              <w14:ligatures w14:val="standardContextual"/>
            </w:rPr>
          </w:pPr>
          <w:hyperlink w:anchor="_Toc224647157" w:history="1">
            <w:r w:rsidRPr="00667ECB">
              <w:rPr>
                <w:rStyle w:val="Hipercze"/>
                <w:rFonts w:cstheme="minorHAnsi"/>
                <w:b/>
                <w:bCs/>
                <w:iCs/>
                <w:noProof/>
              </w:rPr>
              <w:t>24.</w:t>
            </w:r>
            <w:r>
              <w:rPr>
                <w:rFonts w:eastAsiaTheme="minorEastAsia"/>
                <w:noProof/>
                <w:kern w:val="2"/>
                <w:sz w:val="24"/>
                <w:szCs w:val="24"/>
                <w:lang w:eastAsia="pl-PL"/>
                <w14:ligatures w14:val="standardContextual"/>
              </w:rPr>
              <w:tab/>
            </w:r>
            <w:r w:rsidRPr="00667ECB">
              <w:rPr>
                <w:rStyle w:val="Hipercze"/>
                <w:rFonts w:ascii="Calibri" w:eastAsia="Times New Roman" w:hAnsi="Calibri" w:cs="Times New Roman"/>
                <w:b/>
                <w:bCs/>
                <w:noProof/>
                <w:kern w:val="32"/>
                <w:lang w:val="x-none" w:eastAsia="x-none"/>
              </w:rPr>
              <w:t>Realizacja polityk horyzontalnych, w tym zasady równości szans  i niedyskryminacji</w:t>
            </w:r>
            <w:r>
              <w:rPr>
                <w:noProof/>
                <w:webHidden/>
              </w:rPr>
              <w:tab/>
            </w:r>
            <w:r>
              <w:rPr>
                <w:noProof/>
                <w:webHidden/>
              </w:rPr>
              <w:fldChar w:fldCharType="begin"/>
            </w:r>
            <w:r>
              <w:rPr>
                <w:noProof/>
                <w:webHidden/>
              </w:rPr>
              <w:instrText xml:space="preserve"> PAGEREF _Toc224647157 \h </w:instrText>
            </w:r>
            <w:r>
              <w:rPr>
                <w:noProof/>
                <w:webHidden/>
              </w:rPr>
            </w:r>
            <w:r>
              <w:rPr>
                <w:noProof/>
                <w:webHidden/>
              </w:rPr>
              <w:fldChar w:fldCharType="separate"/>
            </w:r>
            <w:r w:rsidR="0069253A">
              <w:rPr>
                <w:noProof/>
                <w:webHidden/>
              </w:rPr>
              <w:t>21</w:t>
            </w:r>
            <w:r>
              <w:rPr>
                <w:noProof/>
                <w:webHidden/>
              </w:rPr>
              <w:fldChar w:fldCharType="end"/>
            </w:r>
          </w:hyperlink>
        </w:p>
        <w:p w14:paraId="057F8A2B" w14:textId="7DB9CC0E" w:rsidR="0068753E" w:rsidRDefault="0068753E">
          <w:pPr>
            <w:pStyle w:val="Spistreci1"/>
            <w:rPr>
              <w:rFonts w:eastAsiaTheme="minorEastAsia"/>
              <w:noProof/>
              <w:kern w:val="2"/>
              <w:sz w:val="24"/>
              <w:szCs w:val="24"/>
              <w:lang w:eastAsia="pl-PL"/>
              <w14:ligatures w14:val="standardContextual"/>
            </w:rPr>
          </w:pPr>
          <w:hyperlink w:anchor="_Toc224647158" w:history="1">
            <w:r w:rsidRPr="00667ECB">
              <w:rPr>
                <w:rStyle w:val="Hipercze"/>
                <w:rFonts w:cstheme="minorHAnsi"/>
                <w:b/>
                <w:bCs/>
                <w:iCs/>
                <w:noProof/>
              </w:rPr>
              <w:t>25.</w:t>
            </w:r>
            <w:r>
              <w:rPr>
                <w:rFonts w:eastAsiaTheme="minorEastAsia"/>
                <w:noProof/>
                <w:kern w:val="2"/>
                <w:sz w:val="24"/>
                <w:szCs w:val="24"/>
                <w:lang w:eastAsia="pl-PL"/>
                <w14:ligatures w14:val="standardContextual"/>
              </w:rPr>
              <w:tab/>
            </w:r>
            <w:r w:rsidRPr="00667ECB">
              <w:rPr>
                <w:rStyle w:val="Hipercze"/>
                <w:rFonts w:cstheme="minorHAnsi"/>
                <w:b/>
                <w:noProof/>
              </w:rPr>
              <w:t>Czynności, które powinny zostać dokonane przed podpisaniem umowy o dofinansowaniu projektu oraz wymagane dokumenty  i terminy ich przedłożenia</w:t>
            </w:r>
            <w:r>
              <w:rPr>
                <w:noProof/>
                <w:webHidden/>
              </w:rPr>
              <w:tab/>
            </w:r>
            <w:r>
              <w:rPr>
                <w:noProof/>
                <w:webHidden/>
              </w:rPr>
              <w:fldChar w:fldCharType="begin"/>
            </w:r>
            <w:r>
              <w:rPr>
                <w:noProof/>
                <w:webHidden/>
              </w:rPr>
              <w:instrText xml:space="preserve"> PAGEREF _Toc224647158 \h </w:instrText>
            </w:r>
            <w:r>
              <w:rPr>
                <w:noProof/>
                <w:webHidden/>
              </w:rPr>
            </w:r>
            <w:r>
              <w:rPr>
                <w:noProof/>
                <w:webHidden/>
              </w:rPr>
              <w:fldChar w:fldCharType="separate"/>
            </w:r>
            <w:r w:rsidR="0069253A">
              <w:rPr>
                <w:noProof/>
                <w:webHidden/>
              </w:rPr>
              <w:t>25</w:t>
            </w:r>
            <w:r>
              <w:rPr>
                <w:noProof/>
                <w:webHidden/>
              </w:rPr>
              <w:fldChar w:fldCharType="end"/>
            </w:r>
          </w:hyperlink>
        </w:p>
        <w:p w14:paraId="08E43B56" w14:textId="41EFBED7" w:rsidR="0068753E" w:rsidRDefault="0068753E">
          <w:pPr>
            <w:pStyle w:val="Spistreci1"/>
            <w:rPr>
              <w:rFonts w:eastAsiaTheme="minorEastAsia"/>
              <w:noProof/>
              <w:kern w:val="2"/>
              <w:sz w:val="24"/>
              <w:szCs w:val="24"/>
              <w:lang w:eastAsia="pl-PL"/>
              <w14:ligatures w14:val="standardContextual"/>
            </w:rPr>
          </w:pPr>
          <w:hyperlink w:anchor="_Toc224647159" w:history="1">
            <w:r w:rsidRPr="00667ECB">
              <w:rPr>
                <w:rStyle w:val="Hipercze"/>
                <w:rFonts w:cstheme="minorHAnsi"/>
                <w:b/>
                <w:bCs/>
                <w:iCs/>
                <w:noProof/>
              </w:rPr>
              <w:t>26.</w:t>
            </w:r>
            <w:r>
              <w:rPr>
                <w:rFonts w:eastAsiaTheme="minorEastAsia"/>
                <w:noProof/>
                <w:kern w:val="2"/>
                <w:sz w:val="24"/>
                <w:szCs w:val="24"/>
                <w:lang w:eastAsia="pl-PL"/>
                <w14:ligatures w14:val="standardContextual"/>
              </w:rPr>
              <w:tab/>
            </w:r>
            <w:r w:rsidRPr="00667ECB">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_Toc224647159 \h </w:instrText>
            </w:r>
            <w:r>
              <w:rPr>
                <w:noProof/>
                <w:webHidden/>
              </w:rPr>
            </w:r>
            <w:r>
              <w:rPr>
                <w:noProof/>
                <w:webHidden/>
              </w:rPr>
              <w:fldChar w:fldCharType="separate"/>
            </w:r>
            <w:r w:rsidR="0069253A">
              <w:rPr>
                <w:noProof/>
                <w:webHidden/>
              </w:rPr>
              <w:t>26</w:t>
            </w:r>
            <w:r>
              <w:rPr>
                <w:noProof/>
                <w:webHidden/>
              </w:rPr>
              <w:fldChar w:fldCharType="end"/>
            </w:r>
          </w:hyperlink>
        </w:p>
        <w:p w14:paraId="36C5100F" w14:textId="305F1EAF" w:rsidR="0068753E" w:rsidRDefault="0068753E">
          <w:pPr>
            <w:pStyle w:val="Spistreci1"/>
            <w:rPr>
              <w:rFonts w:eastAsiaTheme="minorEastAsia"/>
              <w:noProof/>
              <w:kern w:val="2"/>
              <w:sz w:val="24"/>
              <w:szCs w:val="24"/>
              <w:lang w:eastAsia="pl-PL"/>
              <w14:ligatures w14:val="standardContextual"/>
            </w:rPr>
          </w:pPr>
          <w:hyperlink w:anchor="_Toc224647160" w:history="1">
            <w:r w:rsidRPr="00667ECB">
              <w:rPr>
                <w:rStyle w:val="Hipercze"/>
                <w:rFonts w:cstheme="minorHAnsi"/>
                <w:b/>
                <w:bCs/>
                <w:iCs/>
                <w:noProof/>
              </w:rPr>
              <w:t>27.</w:t>
            </w:r>
            <w:r>
              <w:rPr>
                <w:rFonts w:eastAsiaTheme="minorEastAsia"/>
                <w:noProof/>
                <w:kern w:val="2"/>
                <w:sz w:val="24"/>
                <w:szCs w:val="24"/>
                <w:lang w:eastAsia="pl-PL"/>
                <w14:ligatures w14:val="standardContextual"/>
              </w:rPr>
              <w:tab/>
            </w:r>
            <w:r w:rsidRPr="00667ECB">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_Toc224647160 \h </w:instrText>
            </w:r>
            <w:r>
              <w:rPr>
                <w:noProof/>
                <w:webHidden/>
              </w:rPr>
            </w:r>
            <w:r>
              <w:rPr>
                <w:noProof/>
                <w:webHidden/>
              </w:rPr>
              <w:fldChar w:fldCharType="separate"/>
            </w:r>
            <w:r w:rsidR="0069253A">
              <w:rPr>
                <w:noProof/>
                <w:webHidden/>
              </w:rPr>
              <w:t>28</w:t>
            </w:r>
            <w:r>
              <w:rPr>
                <w:noProof/>
                <w:webHidden/>
              </w:rPr>
              <w:fldChar w:fldCharType="end"/>
            </w:r>
          </w:hyperlink>
        </w:p>
        <w:p w14:paraId="4105E3AB" w14:textId="59379D39" w:rsidR="0068753E" w:rsidRDefault="0068753E">
          <w:pPr>
            <w:pStyle w:val="Spistreci1"/>
            <w:rPr>
              <w:rFonts w:eastAsiaTheme="minorEastAsia"/>
              <w:noProof/>
              <w:kern w:val="2"/>
              <w:sz w:val="24"/>
              <w:szCs w:val="24"/>
              <w:lang w:eastAsia="pl-PL"/>
              <w14:ligatures w14:val="standardContextual"/>
            </w:rPr>
          </w:pPr>
          <w:hyperlink w:anchor="_Toc224647161" w:history="1">
            <w:r w:rsidRPr="00667ECB">
              <w:rPr>
                <w:rStyle w:val="Hipercze"/>
                <w:rFonts w:cstheme="minorHAnsi"/>
                <w:b/>
                <w:bCs/>
                <w:iCs/>
                <w:noProof/>
              </w:rPr>
              <w:t>28.</w:t>
            </w:r>
            <w:r>
              <w:rPr>
                <w:rFonts w:eastAsiaTheme="minorEastAsia"/>
                <w:noProof/>
                <w:kern w:val="2"/>
                <w:sz w:val="24"/>
                <w:szCs w:val="24"/>
                <w:lang w:eastAsia="pl-PL"/>
                <w14:ligatures w14:val="standardContextual"/>
              </w:rPr>
              <w:tab/>
            </w:r>
            <w:r w:rsidRPr="00667ECB">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_Toc224647161 \h </w:instrText>
            </w:r>
            <w:r>
              <w:rPr>
                <w:noProof/>
                <w:webHidden/>
              </w:rPr>
            </w:r>
            <w:r>
              <w:rPr>
                <w:noProof/>
                <w:webHidden/>
              </w:rPr>
              <w:fldChar w:fldCharType="separate"/>
            </w:r>
            <w:r w:rsidR="0069253A">
              <w:rPr>
                <w:noProof/>
                <w:webHidden/>
              </w:rPr>
              <w:t>28</w:t>
            </w:r>
            <w:r>
              <w:rPr>
                <w:noProof/>
                <w:webHidden/>
              </w:rPr>
              <w:fldChar w:fldCharType="end"/>
            </w:r>
          </w:hyperlink>
        </w:p>
        <w:p w14:paraId="19FBF742" w14:textId="60FE5B3D" w:rsidR="0068753E" w:rsidRDefault="0068753E">
          <w:pPr>
            <w:pStyle w:val="Spistreci1"/>
            <w:rPr>
              <w:rFonts w:eastAsiaTheme="minorEastAsia"/>
              <w:noProof/>
              <w:kern w:val="2"/>
              <w:sz w:val="24"/>
              <w:szCs w:val="24"/>
              <w:lang w:eastAsia="pl-PL"/>
              <w14:ligatures w14:val="standardContextual"/>
            </w:rPr>
          </w:pPr>
          <w:hyperlink w:anchor="_Toc224647162" w:history="1">
            <w:r w:rsidRPr="00667ECB">
              <w:rPr>
                <w:rStyle w:val="Hipercze"/>
                <w:rFonts w:cstheme="minorHAnsi"/>
                <w:b/>
                <w:bCs/>
                <w:iCs/>
                <w:noProof/>
              </w:rPr>
              <w:t>29.</w:t>
            </w:r>
            <w:r>
              <w:rPr>
                <w:rFonts w:eastAsiaTheme="minorEastAsia"/>
                <w:noProof/>
                <w:kern w:val="2"/>
                <w:sz w:val="24"/>
                <w:szCs w:val="24"/>
                <w:lang w:eastAsia="pl-PL"/>
                <w14:ligatures w14:val="standardContextual"/>
              </w:rPr>
              <w:tab/>
            </w:r>
            <w:r w:rsidRPr="00667ECB">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_Toc224647162 \h </w:instrText>
            </w:r>
            <w:r>
              <w:rPr>
                <w:noProof/>
                <w:webHidden/>
              </w:rPr>
            </w:r>
            <w:r>
              <w:rPr>
                <w:noProof/>
                <w:webHidden/>
              </w:rPr>
              <w:fldChar w:fldCharType="separate"/>
            </w:r>
            <w:r w:rsidR="0069253A">
              <w:rPr>
                <w:noProof/>
                <w:webHidden/>
              </w:rPr>
              <w:t>29</w:t>
            </w:r>
            <w:r>
              <w:rPr>
                <w:noProof/>
                <w:webHidden/>
              </w:rPr>
              <w:fldChar w:fldCharType="end"/>
            </w:r>
          </w:hyperlink>
        </w:p>
        <w:p w14:paraId="7249542C" w14:textId="109631A4" w:rsidR="0068753E" w:rsidRDefault="0068753E">
          <w:pPr>
            <w:pStyle w:val="Spistreci1"/>
            <w:rPr>
              <w:rFonts w:eastAsiaTheme="minorEastAsia"/>
              <w:noProof/>
              <w:kern w:val="2"/>
              <w:sz w:val="24"/>
              <w:szCs w:val="24"/>
              <w:lang w:eastAsia="pl-PL"/>
              <w14:ligatures w14:val="standardContextual"/>
            </w:rPr>
          </w:pPr>
          <w:hyperlink w:anchor="_Toc224647163" w:history="1">
            <w:r w:rsidRPr="00667ECB">
              <w:rPr>
                <w:rStyle w:val="Hipercze"/>
                <w:rFonts w:cstheme="minorHAnsi"/>
                <w:b/>
                <w:bCs/>
                <w:iCs/>
                <w:noProof/>
              </w:rPr>
              <w:t>30.</w:t>
            </w:r>
            <w:r>
              <w:rPr>
                <w:rFonts w:eastAsiaTheme="minorEastAsia"/>
                <w:noProof/>
                <w:kern w:val="2"/>
                <w:sz w:val="24"/>
                <w:szCs w:val="24"/>
                <w:lang w:eastAsia="pl-PL"/>
                <w14:ligatures w14:val="standardContextual"/>
              </w:rPr>
              <w:tab/>
            </w:r>
            <w:r w:rsidRPr="00667ECB">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_Toc224647163 \h </w:instrText>
            </w:r>
            <w:r>
              <w:rPr>
                <w:noProof/>
                <w:webHidden/>
              </w:rPr>
            </w:r>
            <w:r>
              <w:rPr>
                <w:noProof/>
                <w:webHidden/>
              </w:rPr>
              <w:fldChar w:fldCharType="separate"/>
            </w:r>
            <w:r w:rsidR="0069253A">
              <w:rPr>
                <w:noProof/>
                <w:webHidden/>
              </w:rPr>
              <w:t>30</w:t>
            </w:r>
            <w:r>
              <w:rPr>
                <w:noProof/>
                <w:webHidden/>
              </w:rPr>
              <w:fldChar w:fldCharType="end"/>
            </w:r>
          </w:hyperlink>
        </w:p>
        <w:p w14:paraId="022F1AD8" w14:textId="7AC6A604" w:rsidR="0068753E" w:rsidRDefault="0068753E">
          <w:pPr>
            <w:pStyle w:val="Spistreci1"/>
            <w:rPr>
              <w:rFonts w:eastAsiaTheme="minorEastAsia"/>
              <w:noProof/>
              <w:kern w:val="2"/>
              <w:sz w:val="24"/>
              <w:szCs w:val="24"/>
              <w:lang w:eastAsia="pl-PL"/>
              <w14:ligatures w14:val="standardContextual"/>
            </w:rPr>
          </w:pPr>
          <w:hyperlink w:anchor="_Toc224647164" w:history="1">
            <w:r w:rsidRPr="00667ECB">
              <w:rPr>
                <w:rStyle w:val="Hipercze"/>
                <w:rFonts w:cstheme="minorHAnsi"/>
                <w:b/>
                <w:bCs/>
                <w:iCs/>
                <w:noProof/>
              </w:rPr>
              <w:t>31.</w:t>
            </w:r>
            <w:r>
              <w:rPr>
                <w:rFonts w:eastAsiaTheme="minorEastAsia"/>
                <w:noProof/>
                <w:kern w:val="2"/>
                <w:sz w:val="24"/>
                <w:szCs w:val="24"/>
                <w:lang w:eastAsia="pl-PL"/>
                <w14:ligatures w14:val="standardContextual"/>
              </w:rPr>
              <w:tab/>
            </w:r>
            <w:r w:rsidRPr="00667ECB">
              <w:rPr>
                <w:rStyle w:val="Hipercze"/>
                <w:rFonts w:cstheme="minorHAnsi"/>
                <w:b/>
                <w:bCs/>
                <w:noProof/>
              </w:rPr>
              <w:t>Uprawnienia skargowe wnioskodawcy/beneficjenta  w postępowaniu konkurencyjnym</w:t>
            </w:r>
            <w:r w:rsidRPr="00667ECB">
              <w:rPr>
                <w:rStyle w:val="Hipercze"/>
                <w:rFonts w:cstheme="minorHAnsi"/>
                <w:b/>
                <w:noProof/>
              </w:rPr>
              <w:t xml:space="preserve"> </w:t>
            </w:r>
            <w:r w:rsidRPr="00667ECB">
              <w:rPr>
                <w:rStyle w:val="Hipercze"/>
                <w:rFonts w:cstheme="minorHAnsi"/>
                <w:b/>
                <w:bCs/>
                <w:noProof/>
              </w:rPr>
              <w:t>(z wyłączeniem procedury odwoławczej o której mowa w pkt. 30 niniejszego Regulaminu)</w:t>
            </w:r>
            <w:r>
              <w:rPr>
                <w:noProof/>
                <w:webHidden/>
              </w:rPr>
              <w:tab/>
            </w:r>
            <w:r>
              <w:rPr>
                <w:noProof/>
                <w:webHidden/>
              </w:rPr>
              <w:fldChar w:fldCharType="begin"/>
            </w:r>
            <w:r>
              <w:rPr>
                <w:noProof/>
                <w:webHidden/>
              </w:rPr>
              <w:instrText xml:space="preserve"> PAGEREF _Toc224647164 \h </w:instrText>
            </w:r>
            <w:r>
              <w:rPr>
                <w:noProof/>
                <w:webHidden/>
              </w:rPr>
            </w:r>
            <w:r>
              <w:rPr>
                <w:noProof/>
                <w:webHidden/>
              </w:rPr>
              <w:fldChar w:fldCharType="separate"/>
            </w:r>
            <w:r w:rsidR="0069253A">
              <w:rPr>
                <w:noProof/>
                <w:webHidden/>
              </w:rPr>
              <w:t>30</w:t>
            </w:r>
            <w:r>
              <w:rPr>
                <w:noProof/>
                <w:webHidden/>
              </w:rPr>
              <w:fldChar w:fldCharType="end"/>
            </w:r>
          </w:hyperlink>
        </w:p>
        <w:p w14:paraId="64257183" w14:textId="5D331FB0" w:rsidR="0068753E" w:rsidRDefault="0068753E">
          <w:pPr>
            <w:pStyle w:val="Spistreci1"/>
            <w:rPr>
              <w:rFonts w:eastAsiaTheme="minorEastAsia"/>
              <w:noProof/>
              <w:kern w:val="2"/>
              <w:sz w:val="24"/>
              <w:szCs w:val="24"/>
              <w:lang w:eastAsia="pl-PL"/>
              <w14:ligatures w14:val="standardContextual"/>
            </w:rPr>
          </w:pPr>
          <w:hyperlink w:anchor="_Toc224647165" w:history="1">
            <w:r w:rsidRPr="00667ECB">
              <w:rPr>
                <w:rStyle w:val="Hipercze"/>
                <w:rFonts w:cstheme="minorHAnsi"/>
                <w:b/>
                <w:bCs/>
                <w:iCs/>
                <w:noProof/>
              </w:rPr>
              <w:t>32.</w:t>
            </w:r>
            <w:r>
              <w:rPr>
                <w:rFonts w:eastAsiaTheme="minorEastAsia"/>
                <w:noProof/>
                <w:kern w:val="2"/>
                <w:sz w:val="24"/>
                <w:szCs w:val="24"/>
                <w:lang w:eastAsia="pl-PL"/>
                <w14:ligatures w14:val="standardContextual"/>
              </w:rPr>
              <w:tab/>
            </w:r>
            <w:r w:rsidRPr="00667ECB">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_Toc224647165 \h </w:instrText>
            </w:r>
            <w:r>
              <w:rPr>
                <w:noProof/>
                <w:webHidden/>
              </w:rPr>
            </w:r>
            <w:r>
              <w:rPr>
                <w:noProof/>
                <w:webHidden/>
              </w:rPr>
              <w:fldChar w:fldCharType="separate"/>
            </w:r>
            <w:r w:rsidR="0069253A">
              <w:rPr>
                <w:noProof/>
                <w:webHidden/>
              </w:rPr>
              <w:t>32</w:t>
            </w:r>
            <w:r>
              <w:rPr>
                <w:noProof/>
                <w:webHidden/>
              </w:rPr>
              <w:fldChar w:fldCharType="end"/>
            </w:r>
          </w:hyperlink>
        </w:p>
        <w:p w14:paraId="0B808C68" w14:textId="5B72DB96" w:rsidR="0068753E" w:rsidRDefault="0068753E">
          <w:pPr>
            <w:pStyle w:val="Spistreci1"/>
            <w:rPr>
              <w:rFonts w:eastAsiaTheme="minorEastAsia"/>
              <w:noProof/>
              <w:kern w:val="2"/>
              <w:sz w:val="24"/>
              <w:szCs w:val="24"/>
              <w:lang w:eastAsia="pl-PL"/>
              <w14:ligatures w14:val="standardContextual"/>
            </w:rPr>
          </w:pPr>
          <w:hyperlink w:anchor="_Toc224647166" w:history="1">
            <w:r w:rsidRPr="00667ECB">
              <w:rPr>
                <w:rStyle w:val="Hipercze"/>
                <w:rFonts w:cstheme="minorHAnsi"/>
                <w:b/>
                <w:bCs/>
                <w:iCs/>
                <w:noProof/>
              </w:rPr>
              <w:t>33.</w:t>
            </w:r>
            <w:r>
              <w:rPr>
                <w:rFonts w:eastAsiaTheme="minorEastAsia"/>
                <w:noProof/>
                <w:kern w:val="2"/>
                <w:sz w:val="24"/>
                <w:szCs w:val="24"/>
                <w:lang w:eastAsia="pl-PL"/>
                <w14:ligatures w14:val="standardContextual"/>
              </w:rPr>
              <w:tab/>
            </w:r>
            <w:r w:rsidRPr="00667ECB">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_Toc224647166 \h </w:instrText>
            </w:r>
            <w:r>
              <w:rPr>
                <w:noProof/>
                <w:webHidden/>
              </w:rPr>
            </w:r>
            <w:r>
              <w:rPr>
                <w:noProof/>
                <w:webHidden/>
              </w:rPr>
              <w:fldChar w:fldCharType="separate"/>
            </w:r>
            <w:r w:rsidR="0069253A">
              <w:rPr>
                <w:noProof/>
                <w:webHidden/>
              </w:rPr>
              <w:t>33</w:t>
            </w:r>
            <w:r>
              <w:rPr>
                <w:noProof/>
                <w:webHidden/>
              </w:rPr>
              <w:fldChar w:fldCharType="end"/>
            </w:r>
          </w:hyperlink>
        </w:p>
        <w:p w14:paraId="5D9725C8" w14:textId="360A059C" w:rsidR="0068753E" w:rsidRDefault="0068753E">
          <w:pPr>
            <w:pStyle w:val="Spistreci1"/>
            <w:rPr>
              <w:rFonts w:eastAsiaTheme="minorEastAsia"/>
              <w:noProof/>
              <w:kern w:val="2"/>
              <w:sz w:val="24"/>
              <w:szCs w:val="24"/>
              <w:lang w:eastAsia="pl-PL"/>
              <w14:ligatures w14:val="standardContextual"/>
            </w:rPr>
          </w:pPr>
          <w:hyperlink w:anchor="_Toc224647167" w:history="1">
            <w:r w:rsidRPr="00667ECB">
              <w:rPr>
                <w:rStyle w:val="Hipercze"/>
                <w:rFonts w:cstheme="minorHAnsi"/>
                <w:b/>
                <w:bCs/>
                <w:iCs/>
                <w:noProof/>
              </w:rPr>
              <w:t>34.</w:t>
            </w:r>
            <w:r>
              <w:rPr>
                <w:rFonts w:eastAsiaTheme="minorEastAsia"/>
                <w:noProof/>
                <w:kern w:val="2"/>
                <w:sz w:val="24"/>
                <w:szCs w:val="24"/>
                <w:lang w:eastAsia="pl-PL"/>
                <w14:ligatures w14:val="standardContextual"/>
              </w:rPr>
              <w:tab/>
            </w:r>
            <w:r w:rsidRPr="00667ECB">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_Toc224647167 \h </w:instrText>
            </w:r>
            <w:r>
              <w:rPr>
                <w:noProof/>
                <w:webHidden/>
              </w:rPr>
            </w:r>
            <w:r>
              <w:rPr>
                <w:noProof/>
                <w:webHidden/>
              </w:rPr>
              <w:fldChar w:fldCharType="separate"/>
            </w:r>
            <w:r w:rsidR="0069253A">
              <w:rPr>
                <w:noProof/>
                <w:webHidden/>
              </w:rPr>
              <w:t>33</w:t>
            </w:r>
            <w:r>
              <w:rPr>
                <w:noProof/>
                <w:webHidden/>
              </w:rPr>
              <w:fldChar w:fldCharType="end"/>
            </w:r>
          </w:hyperlink>
        </w:p>
        <w:p w14:paraId="0A9145BF" w14:textId="63527657" w:rsidR="0068753E" w:rsidRDefault="0068753E">
          <w:pPr>
            <w:pStyle w:val="Spistreci1"/>
            <w:rPr>
              <w:rFonts w:eastAsiaTheme="minorEastAsia"/>
              <w:noProof/>
              <w:kern w:val="2"/>
              <w:sz w:val="24"/>
              <w:szCs w:val="24"/>
              <w:lang w:eastAsia="pl-PL"/>
              <w14:ligatures w14:val="standardContextual"/>
            </w:rPr>
          </w:pPr>
          <w:hyperlink w:anchor="_Toc224647168" w:history="1">
            <w:r w:rsidRPr="00667ECB">
              <w:rPr>
                <w:rStyle w:val="Hipercze"/>
                <w:rFonts w:cstheme="minorHAnsi"/>
                <w:b/>
                <w:bCs/>
                <w:iCs/>
                <w:noProof/>
              </w:rPr>
              <w:t>35.</w:t>
            </w:r>
            <w:r>
              <w:rPr>
                <w:rFonts w:eastAsiaTheme="minorEastAsia"/>
                <w:noProof/>
                <w:kern w:val="2"/>
                <w:sz w:val="24"/>
                <w:szCs w:val="24"/>
                <w:lang w:eastAsia="pl-PL"/>
                <w14:ligatures w14:val="standardContextual"/>
              </w:rPr>
              <w:tab/>
            </w:r>
            <w:r w:rsidRPr="00667ECB">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_Toc224647168 \h </w:instrText>
            </w:r>
            <w:r>
              <w:rPr>
                <w:noProof/>
                <w:webHidden/>
              </w:rPr>
            </w:r>
            <w:r>
              <w:rPr>
                <w:noProof/>
                <w:webHidden/>
              </w:rPr>
              <w:fldChar w:fldCharType="separate"/>
            </w:r>
            <w:r w:rsidR="0069253A">
              <w:rPr>
                <w:noProof/>
                <w:webHidden/>
              </w:rPr>
              <w:t>34</w:t>
            </w:r>
            <w:r>
              <w:rPr>
                <w:noProof/>
                <w:webHidden/>
              </w:rPr>
              <w:fldChar w:fldCharType="end"/>
            </w:r>
          </w:hyperlink>
        </w:p>
        <w:p w14:paraId="022D6CEF" w14:textId="37976496" w:rsidR="0068753E" w:rsidRDefault="0068753E">
          <w:pPr>
            <w:pStyle w:val="Spistreci1"/>
            <w:rPr>
              <w:rFonts w:eastAsiaTheme="minorEastAsia"/>
              <w:noProof/>
              <w:kern w:val="2"/>
              <w:sz w:val="24"/>
              <w:szCs w:val="24"/>
              <w:lang w:eastAsia="pl-PL"/>
              <w14:ligatures w14:val="standardContextual"/>
            </w:rPr>
          </w:pPr>
          <w:hyperlink w:anchor="_Toc224647169" w:history="1">
            <w:r w:rsidRPr="00667ECB">
              <w:rPr>
                <w:rStyle w:val="Hipercze"/>
                <w:rFonts w:cstheme="minorHAnsi"/>
                <w:b/>
                <w:bCs/>
                <w:iCs/>
                <w:noProof/>
              </w:rPr>
              <w:t>36.</w:t>
            </w:r>
            <w:r>
              <w:rPr>
                <w:rFonts w:eastAsiaTheme="minorEastAsia"/>
                <w:noProof/>
                <w:kern w:val="2"/>
                <w:sz w:val="24"/>
                <w:szCs w:val="24"/>
                <w:lang w:eastAsia="pl-PL"/>
                <w14:ligatures w14:val="standardContextual"/>
              </w:rPr>
              <w:tab/>
            </w:r>
            <w:r w:rsidRPr="00667ECB">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_Toc224647169 \h </w:instrText>
            </w:r>
            <w:r>
              <w:rPr>
                <w:noProof/>
                <w:webHidden/>
              </w:rPr>
            </w:r>
            <w:r>
              <w:rPr>
                <w:noProof/>
                <w:webHidden/>
              </w:rPr>
              <w:fldChar w:fldCharType="separate"/>
            </w:r>
            <w:r w:rsidR="0069253A">
              <w:rPr>
                <w:noProof/>
                <w:webHidden/>
              </w:rPr>
              <w:t>34</w:t>
            </w:r>
            <w:r>
              <w:rPr>
                <w:noProof/>
                <w:webHidden/>
              </w:rPr>
              <w:fldChar w:fldCharType="end"/>
            </w:r>
          </w:hyperlink>
        </w:p>
        <w:p w14:paraId="23B8B750" w14:textId="3D82C642" w:rsidR="0068753E" w:rsidRDefault="0068753E">
          <w:pPr>
            <w:pStyle w:val="Spistreci1"/>
            <w:rPr>
              <w:rFonts w:eastAsiaTheme="minorEastAsia"/>
              <w:noProof/>
              <w:kern w:val="2"/>
              <w:sz w:val="24"/>
              <w:szCs w:val="24"/>
              <w:lang w:eastAsia="pl-PL"/>
              <w14:ligatures w14:val="standardContextual"/>
            </w:rPr>
          </w:pPr>
          <w:hyperlink w:anchor="_Toc224647170" w:history="1">
            <w:r w:rsidRPr="00667ECB">
              <w:rPr>
                <w:rStyle w:val="Hipercze"/>
                <w:rFonts w:cstheme="minorHAnsi"/>
                <w:b/>
                <w:bCs/>
                <w:iCs/>
                <w:noProof/>
              </w:rPr>
              <w:t>37.</w:t>
            </w:r>
            <w:r>
              <w:rPr>
                <w:rFonts w:eastAsiaTheme="minorEastAsia"/>
                <w:noProof/>
                <w:kern w:val="2"/>
                <w:sz w:val="24"/>
                <w:szCs w:val="24"/>
                <w:lang w:eastAsia="pl-PL"/>
                <w14:ligatures w14:val="standardContextual"/>
              </w:rPr>
              <w:tab/>
            </w:r>
            <w:r w:rsidRPr="00667ECB">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_Toc224647170 \h </w:instrText>
            </w:r>
            <w:r>
              <w:rPr>
                <w:noProof/>
                <w:webHidden/>
              </w:rPr>
            </w:r>
            <w:r>
              <w:rPr>
                <w:noProof/>
                <w:webHidden/>
              </w:rPr>
              <w:fldChar w:fldCharType="separate"/>
            </w:r>
            <w:r w:rsidR="0069253A">
              <w:rPr>
                <w:noProof/>
                <w:webHidden/>
              </w:rPr>
              <w:t>35</w:t>
            </w:r>
            <w:r>
              <w:rPr>
                <w:noProof/>
                <w:webHidden/>
              </w:rPr>
              <w:fldChar w:fldCharType="end"/>
            </w:r>
          </w:hyperlink>
        </w:p>
        <w:p w14:paraId="005D2B2C" w14:textId="613366CF" w:rsidR="0068753E" w:rsidRDefault="0068753E">
          <w:pPr>
            <w:pStyle w:val="Spistreci1"/>
            <w:rPr>
              <w:rFonts w:eastAsiaTheme="minorEastAsia"/>
              <w:noProof/>
              <w:kern w:val="2"/>
              <w:sz w:val="24"/>
              <w:szCs w:val="24"/>
              <w:lang w:eastAsia="pl-PL"/>
              <w14:ligatures w14:val="standardContextual"/>
            </w:rPr>
          </w:pPr>
          <w:hyperlink w:anchor="_Toc224647171" w:history="1">
            <w:r w:rsidRPr="00667ECB">
              <w:rPr>
                <w:rStyle w:val="Hipercze"/>
                <w:rFonts w:cstheme="minorHAnsi"/>
                <w:b/>
                <w:bCs/>
                <w:iCs/>
                <w:noProof/>
              </w:rPr>
              <w:t>38.</w:t>
            </w:r>
            <w:r>
              <w:rPr>
                <w:rFonts w:eastAsiaTheme="minorEastAsia"/>
                <w:noProof/>
                <w:kern w:val="2"/>
                <w:sz w:val="24"/>
                <w:szCs w:val="24"/>
                <w:lang w:eastAsia="pl-PL"/>
                <w14:ligatures w14:val="standardContextual"/>
              </w:rPr>
              <w:tab/>
            </w:r>
            <w:r w:rsidRPr="00667ECB">
              <w:rPr>
                <w:rStyle w:val="Hipercze"/>
                <w:rFonts w:cstheme="minorHAnsi"/>
                <w:b/>
                <w:noProof/>
              </w:rPr>
              <w:t>Załączniki</w:t>
            </w:r>
            <w:r>
              <w:rPr>
                <w:noProof/>
                <w:webHidden/>
              </w:rPr>
              <w:tab/>
            </w:r>
            <w:r>
              <w:rPr>
                <w:noProof/>
                <w:webHidden/>
              </w:rPr>
              <w:fldChar w:fldCharType="begin"/>
            </w:r>
            <w:r>
              <w:rPr>
                <w:noProof/>
                <w:webHidden/>
              </w:rPr>
              <w:instrText xml:space="preserve"> PAGEREF _Toc224647171 \h </w:instrText>
            </w:r>
            <w:r>
              <w:rPr>
                <w:noProof/>
                <w:webHidden/>
              </w:rPr>
            </w:r>
            <w:r>
              <w:rPr>
                <w:noProof/>
                <w:webHidden/>
              </w:rPr>
              <w:fldChar w:fldCharType="separate"/>
            </w:r>
            <w:r w:rsidR="0069253A">
              <w:rPr>
                <w:noProof/>
                <w:webHidden/>
              </w:rPr>
              <w:t>35</w:t>
            </w:r>
            <w:r>
              <w:rPr>
                <w:noProof/>
                <w:webHidden/>
              </w:rPr>
              <w:fldChar w:fldCharType="end"/>
            </w:r>
          </w:hyperlink>
        </w:p>
        <w:p w14:paraId="114DD675" w14:textId="5B2325E8" w:rsidR="0068753E" w:rsidRDefault="0068753E">
          <w:pPr>
            <w:pStyle w:val="Spistreci1"/>
            <w:rPr>
              <w:rFonts w:eastAsiaTheme="minorEastAsia"/>
              <w:noProof/>
              <w:kern w:val="2"/>
              <w:sz w:val="24"/>
              <w:szCs w:val="24"/>
              <w:lang w:eastAsia="pl-PL"/>
              <w14:ligatures w14:val="standardContextual"/>
            </w:rPr>
          </w:pPr>
          <w:hyperlink w:anchor="_Toc224647172" w:history="1">
            <w:r w:rsidRPr="00667ECB">
              <w:rPr>
                <w:rStyle w:val="Hipercze"/>
                <w:rFonts w:cstheme="minorHAnsi"/>
                <w:b/>
                <w:bCs/>
                <w:iCs/>
                <w:noProof/>
              </w:rPr>
              <w:t>39.</w:t>
            </w:r>
            <w:r>
              <w:rPr>
                <w:rFonts w:eastAsiaTheme="minorEastAsia"/>
                <w:noProof/>
                <w:kern w:val="2"/>
                <w:sz w:val="24"/>
                <w:szCs w:val="24"/>
                <w:lang w:eastAsia="pl-PL"/>
                <w14:ligatures w14:val="standardContextual"/>
              </w:rPr>
              <w:tab/>
            </w:r>
            <w:r w:rsidRPr="00667ECB">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_Toc224647172 \h </w:instrText>
            </w:r>
            <w:r>
              <w:rPr>
                <w:noProof/>
                <w:webHidden/>
              </w:rPr>
            </w:r>
            <w:r>
              <w:rPr>
                <w:noProof/>
                <w:webHidden/>
              </w:rPr>
              <w:fldChar w:fldCharType="separate"/>
            </w:r>
            <w:r w:rsidR="0069253A">
              <w:rPr>
                <w:noProof/>
                <w:webHidden/>
              </w:rPr>
              <w:t>36</w:t>
            </w:r>
            <w:r>
              <w:rPr>
                <w:noProof/>
                <w:webHidden/>
              </w:rPr>
              <w:fldChar w:fldCharType="end"/>
            </w:r>
          </w:hyperlink>
        </w:p>
        <w:p w14:paraId="72290511" w14:textId="2AA953B1" w:rsidR="0068753E" w:rsidRDefault="0068753E">
          <w:pPr>
            <w:pStyle w:val="Spistreci1"/>
            <w:rPr>
              <w:rFonts w:eastAsiaTheme="minorEastAsia"/>
              <w:noProof/>
              <w:kern w:val="2"/>
              <w:sz w:val="24"/>
              <w:szCs w:val="24"/>
              <w:lang w:eastAsia="pl-PL"/>
              <w14:ligatures w14:val="standardContextual"/>
            </w:rPr>
          </w:pPr>
          <w:hyperlink w:anchor="_Toc224647173" w:history="1">
            <w:r w:rsidRPr="00667ECB">
              <w:rPr>
                <w:rStyle w:val="Hipercze"/>
                <w:rFonts w:cstheme="minorHAnsi"/>
                <w:b/>
                <w:bCs/>
                <w:iCs/>
                <w:noProof/>
              </w:rPr>
              <w:t>40.</w:t>
            </w:r>
            <w:r>
              <w:rPr>
                <w:rFonts w:eastAsiaTheme="minorEastAsia"/>
                <w:noProof/>
                <w:kern w:val="2"/>
                <w:sz w:val="24"/>
                <w:szCs w:val="24"/>
                <w:lang w:eastAsia="pl-PL"/>
                <w14:ligatures w14:val="standardContextual"/>
              </w:rPr>
              <w:tab/>
            </w:r>
            <w:r w:rsidRPr="00667ECB">
              <w:rPr>
                <w:rStyle w:val="Hipercze"/>
                <w:rFonts w:cstheme="minorHAnsi"/>
                <w:b/>
                <w:noProof/>
              </w:rPr>
              <w:t>Uwagi końcowe</w:t>
            </w:r>
            <w:r>
              <w:rPr>
                <w:noProof/>
                <w:webHidden/>
              </w:rPr>
              <w:tab/>
            </w:r>
            <w:r>
              <w:rPr>
                <w:noProof/>
                <w:webHidden/>
              </w:rPr>
              <w:fldChar w:fldCharType="begin"/>
            </w:r>
            <w:r>
              <w:rPr>
                <w:noProof/>
                <w:webHidden/>
              </w:rPr>
              <w:instrText xml:space="preserve"> PAGEREF _Toc224647173 \h </w:instrText>
            </w:r>
            <w:r>
              <w:rPr>
                <w:noProof/>
                <w:webHidden/>
              </w:rPr>
            </w:r>
            <w:r>
              <w:rPr>
                <w:noProof/>
                <w:webHidden/>
              </w:rPr>
              <w:fldChar w:fldCharType="separate"/>
            </w:r>
            <w:r w:rsidR="0069253A">
              <w:rPr>
                <w:noProof/>
                <w:webHidden/>
              </w:rPr>
              <w:t>37</w:t>
            </w:r>
            <w:r>
              <w:rPr>
                <w:noProof/>
                <w:webHidden/>
              </w:rPr>
              <w:fldChar w:fldCharType="end"/>
            </w:r>
          </w:hyperlink>
        </w:p>
        <w:p w14:paraId="49545ABE" w14:textId="2AB45F16"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pPr>
        <w:pStyle w:val="Nagwek1"/>
        <w:numPr>
          <w:ilvl w:val="0"/>
          <w:numId w:val="1"/>
        </w:numPr>
        <w:spacing w:before="0" w:after="240"/>
        <w:ind w:left="426" w:hanging="426"/>
        <w:rPr>
          <w:rFonts w:asciiTheme="minorHAnsi" w:hAnsiTheme="minorHAnsi" w:cstheme="minorHAnsi"/>
          <w:b/>
          <w:color w:val="000000" w:themeColor="text1"/>
        </w:rPr>
      </w:pPr>
      <w:bookmarkStart w:id="4" w:name="_Toc224647134"/>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63948A57" w14:textId="72E593AC" w:rsidR="006214E5" w:rsidRPr="006214E5" w:rsidRDefault="006214E5" w:rsidP="004157AE">
      <w:pPr>
        <w:spacing w:after="60" w:line="276" w:lineRule="auto"/>
        <w:rPr>
          <w:rFonts w:cstheme="minorHAnsi"/>
          <w:sz w:val="24"/>
          <w:szCs w:val="24"/>
        </w:rPr>
      </w:pPr>
      <w:proofErr w:type="spellStart"/>
      <w:r w:rsidRPr="006214E5">
        <w:rPr>
          <w:rFonts w:cstheme="minorHAnsi"/>
          <w:b/>
          <w:bCs/>
          <w:sz w:val="24"/>
          <w:szCs w:val="24"/>
        </w:rPr>
        <w:t>APiW</w:t>
      </w:r>
      <w:proofErr w:type="spellEnd"/>
      <w:r w:rsidRPr="006214E5">
        <w:rPr>
          <w:rFonts w:cstheme="minorHAnsi"/>
          <w:b/>
          <w:bCs/>
          <w:sz w:val="24"/>
          <w:szCs w:val="24"/>
        </w:rPr>
        <w:t xml:space="preserve"> – </w:t>
      </w:r>
      <w:r w:rsidRPr="006214E5">
        <w:rPr>
          <w:rFonts w:cstheme="minorHAnsi"/>
          <w:sz w:val="24"/>
          <w:szCs w:val="24"/>
        </w:rPr>
        <w:t>Analiza</w:t>
      </w:r>
      <w:r w:rsidRPr="006214E5">
        <w:rPr>
          <w:rFonts w:cstheme="minorHAnsi"/>
          <w:b/>
          <w:bCs/>
          <w:sz w:val="24"/>
          <w:szCs w:val="24"/>
        </w:rPr>
        <w:t xml:space="preserve"> </w:t>
      </w:r>
      <w:r w:rsidRPr="006214E5">
        <w:rPr>
          <w:rFonts w:cstheme="minorHAnsi"/>
          <w:sz w:val="24"/>
          <w:szCs w:val="24"/>
        </w:rPr>
        <w:t>potrzeb i wymagań dla projektów hybrydowych</w:t>
      </w:r>
    </w:p>
    <w:p w14:paraId="758A6500" w14:textId="650029C9"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Integracji, Funduszu Bezpieczeństwa Wewnętrznego i Instrumentu Wsparcia Finansowego na</w:t>
      </w:r>
      <w:r w:rsidR="00162163">
        <w:rPr>
          <w:sz w:val="24"/>
          <w:szCs w:val="24"/>
        </w:rPr>
        <w:t> </w:t>
      </w:r>
      <w:r w:rsidR="00373758" w:rsidRPr="004157AE">
        <w:rPr>
          <w:sz w:val="24"/>
          <w:szCs w:val="24"/>
        </w:rPr>
        <w:t xml:space="preserve">rzecz Zarządzania Granicami i Polityki Wizowej </w:t>
      </w:r>
    </w:p>
    <w:p w14:paraId="33529F60" w14:textId="0632DC89" w:rsidR="005B479C" w:rsidRDefault="005B479C" w:rsidP="004157AE">
      <w:pPr>
        <w:spacing w:after="60" w:line="276" w:lineRule="auto"/>
        <w:rPr>
          <w:rFonts w:cstheme="minorHAnsi"/>
          <w:sz w:val="24"/>
          <w:szCs w:val="24"/>
        </w:rPr>
      </w:pPr>
      <w:r w:rsidRPr="003D2E81">
        <w:rPr>
          <w:rFonts w:cstheme="minorHAnsi"/>
          <w:b/>
          <w:bCs/>
          <w:sz w:val="24"/>
          <w:szCs w:val="24"/>
        </w:rPr>
        <w:t xml:space="preserve">DNSH </w:t>
      </w:r>
      <w:bookmarkStart w:id="5" w:name="_Hlk163820925"/>
      <w:r w:rsidRPr="003D2E81">
        <w:rPr>
          <w:rFonts w:cstheme="minorHAnsi"/>
          <w:sz w:val="28"/>
          <w:szCs w:val="28"/>
        </w:rPr>
        <w:t>–</w:t>
      </w:r>
      <w:bookmarkEnd w:id="5"/>
      <w:r w:rsidRPr="003D2E81">
        <w:rPr>
          <w:rFonts w:cstheme="minorHAnsi"/>
          <w:sz w:val="28"/>
          <w:szCs w:val="28"/>
        </w:rPr>
        <w:t xml:space="preserve"> </w:t>
      </w:r>
      <w:r w:rsidRPr="003D2E81">
        <w:rPr>
          <w:rFonts w:cstheme="minorHAnsi"/>
          <w:sz w:val="24"/>
          <w:szCs w:val="24"/>
        </w:rPr>
        <w:t xml:space="preserve">„Do No </w:t>
      </w:r>
      <w:proofErr w:type="spellStart"/>
      <w:r w:rsidRPr="003D2E81">
        <w:rPr>
          <w:rFonts w:cstheme="minorHAnsi"/>
          <w:sz w:val="24"/>
          <w:szCs w:val="24"/>
        </w:rPr>
        <w:t>Significant</w:t>
      </w:r>
      <w:proofErr w:type="spellEnd"/>
      <w:r w:rsidRPr="003D2E81">
        <w:rPr>
          <w:rFonts w:cstheme="minorHAnsi"/>
          <w:sz w:val="24"/>
          <w:szCs w:val="24"/>
        </w:rPr>
        <w:t xml:space="preserve"> </w:t>
      </w:r>
      <w:proofErr w:type="spellStart"/>
      <w:r w:rsidRPr="003D2E81">
        <w:rPr>
          <w:rFonts w:cstheme="minorHAnsi"/>
          <w:sz w:val="24"/>
          <w:szCs w:val="24"/>
        </w:rPr>
        <w:t>Harm</w:t>
      </w:r>
      <w:proofErr w:type="spellEnd"/>
      <w:r w:rsidRPr="003D2E81">
        <w:rPr>
          <w:rFonts w:cstheme="minorHAnsi"/>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sidRPr="003D2E81">
        <w:rPr>
          <w:rFonts w:cstheme="minorHAnsi"/>
          <w:sz w:val="24"/>
          <w:szCs w:val="24"/>
        </w:rPr>
        <w:br/>
        <w:t xml:space="preserve">o obiegu zamkniętym, w tym zapobieganie powstawaniu odpadów i recykling, zapobieganie </w:t>
      </w:r>
      <w:r w:rsidRPr="003D2E81">
        <w:rPr>
          <w:rFonts w:cstheme="minorHAnsi"/>
          <w:sz w:val="24"/>
          <w:szCs w:val="24"/>
        </w:rPr>
        <w:br/>
        <w:t xml:space="preserve">i kontrola zanieczyszczeń powietrza, wody lub ziemi, ochrona i odbudowa bioróżnorodności </w:t>
      </w:r>
      <w:r w:rsidRPr="003D2E81">
        <w:rPr>
          <w:rFonts w:cstheme="minorHAnsi"/>
          <w:sz w:val="24"/>
          <w:szCs w:val="24"/>
        </w:rPr>
        <w:br/>
        <w:t>i ekosystemów</w:t>
      </w:r>
    </w:p>
    <w:p w14:paraId="0118FB2A" w14:textId="2B62026E" w:rsidR="005B479C" w:rsidRPr="005B479C" w:rsidRDefault="005B479C" w:rsidP="005B479C">
      <w:pPr>
        <w:spacing w:after="60" w:line="276" w:lineRule="auto"/>
        <w:rPr>
          <w:rFonts w:cstheme="minorHAnsi"/>
          <w:b/>
          <w:bCs/>
          <w:sz w:val="36"/>
          <w:szCs w:val="36"/>
        </w:rPr>
      </w:pPr>
      <w:r w:rsidRPr="003D2E81">
        <w:rPr>
          <w:rFonts w:cstheme="minorHAnsi"/>
          <w:b/>
          <w:bCs/>
          <w:sz w:val="24"/>
          <w:szCs w:val="24"/>
        </w:rPr>
        <w:t>Dokumentacja projektowa</w:t>
      </w:r>
      <w:r w:rsidRPr="003D2E81">
        <w:rPr>
          <w:rFonts w:cstheme="minorHAnsi"/>
          <w:sz w:val="24"/>
          <w:szCs w:val="24"/>
        </w:rPr>
        <w:t xml:space="preserve"> – Wniosek o dofinansowanie wraz z załącznikami</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1D08F04D" w14:textId="64DCF1A6" w:rsidR="005B479C" w:rsidRPr="00784B51" w:rsidRDefault="005B479C" w:rsidP="004157AE">
      <w:pPr>
        <w:spacing w:after="60" w:line="276" w:lineRule="auto"/>
        <w:rPr>
          <w:rFonts w:cstheme="minorHAnsi"/>
          <w:sz w:val="24"/>
          <w:szCs w:val="24"/>
        </w:rPr>
      </w:pPr>
      <w:r w:rsidRPr="003D2E81">
        <w:rPr>
          <w:rFonts w:cstheme="minorHAnsi"/>
          <w:b/>
          <w:bCs/>
          <w:sz w:val="24"/>
          <w:szCs w:val="24"/>
        </w:rPr>
        <w:t>DWF</w:t>
      </w:r>
      <w:r w:rsidRPr="003D2E81">
        <w:rPr>
          <w:rFonts w:cstheme="minorHAnsi"/>
          <w:sz w:val="24"/>
          <w:szCs w:val="24"/>
        </w:rPr>
        <w:t xml:space="preserve"> – Departament Wdrażania Funduszy Europejskich Urzędu Marszałkowskiego Województwa Opolskiego</w:t>
      </w:r>
    </w:p>
    <w:p w14:paraId="53AE4337" w14:textId="11F1BE85" w:rsidR="00E7098D" w:rsidRPr="00784B51" w:rsidRDefault="00E7098D" w:rsidP="004157AE">
      <w:pPr>
        <w:spacing w:after="60" w:line="276" w:lineRule="auto"/>
        <w:rPr>
          <w:rFonts w:cstheme="minorHAnsi"/>
          <w:sz w:val="24"/>
          <w:szCs w:val="24"/>
        </w:rPr>
      </w:pPr>
      <w:r w:rsidRPr="00784B51">
        <w:rPr>
          <w:rFonts w:cstheme="minorHAnsi"/>
          <w:b/>
          <w:sz w:val="24"/>
          <w:szCs w:val="24"/>
        </w:rPr>
        <w:t>Dyrektywa OOŚ</w:t>
      </w:r>
      <w:r w:rsidRPr="00784B51">
        <w:rPr>
          <w:rFonts w:cstheme="minorHAnsi"/>
          <w:sz w:val="24"/>
          <w:szCs w:val="24"/>
        </w:rPr>
        <w:t xml:space="preserve"> – 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5D88CD9"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2C5A3F50" w14:textId="7EDBCBA3" w:rsidR="00995DC2" w:rsidRPr="00784B51" w:rsidRDefault="00995DC2" w:rsidP="004157AE">
      <w:pPr>
        <w:spacing w:after="60" w:line="276" w:lineRule="auto"/>
        <w:rPr>
          <w:rFonts w:cstheme="minorHAnsi"/>
          <w:sz w:val="24"/>
          <w:szCs w:val="24"/>
        </w:rPr>
      </w:pPr>
      <w:r w:rsidRPr="003D2E81">
        <w:rPr>
          <w:rFonts w:cstheme="minorHAnsi"/>
          <w:b/>
          <w:sz w:val="24"/>
          <w:szCs w:val="24"/>
        </w:rPr>
        <w:t>FEO 2021-2027/Program</w:t>
      </w:r>
      <w:r w:rsidRPr="003D2E81">
        <w:rPr>
          <w:rFonts w:cstheme="minorHAnsi"/>
          <w:sz w:val="24"/>
          <w:szCs w:val="24"/>
        </w:rPr>
        <w:t xml:space="preserve"> – Fundusze Europejskie dla Opolskiego 2021-2027 – program regionalny </w:t>
      </w:r>
      <w:r w:rsidRPr="00912EEB">
        <w:rPr>
          <w:rFonts w:cstheme="minorHAnsi"/>
          <w:sz w:val="24"/>
          <w:szCs w:val="24"/>
        </w:rPr>
        <w:t>Fundusze Europejskie dla Opolskiego 2021-2027</w:t>
      </w:r>
      <w:r w:rsidRPr="003D2E81">
        <w:rPr>
          <w:rFonts w:cstheme="minorHAnsi"/>
          <w:sz w:val="24"/>
          <w:szCs w:val="24"/>
        </w:rPr>
        <w:t xml:space="preserve"> przyjęty </w:t>
      </w:r>
      <w:bookmarkStart w:id="6" w:name="_Hlk173332538"/>
      <w:r w:rsidRPr="003D2E81">
        <w:rPr>
          <w:rFonts w:cstheme="minorHAnsi"/>
          <w:sz w:val="24"/>
          <w:szCs w:val="24"/>
        </w:rPr>
        <w:t>Decyzją Wykonawczą Komisji z dnia</w:t>
      </w:r>
      <w:r>
        <w:rPr>
          <w:rFonts w:cstheme="minorHAnsi"/>
          <w:sz w:val="24"/>
          <w:szCs w:val="24"/>
        </w:rPr>
        <w:t xml:space="preserve"> 27.11.2022 r. ze zm.</w:t>
      </w:r>
      <w:r w:rsidRPr="003D2E81">
        <w:rPr>
          <w:rFonts w:cstheme="minorHAnsi"/>
          <w:sz w:val="24"/>
          <w:szCs w:val="24"/>
        </w:rPr>
        <w:t xml:space="preserve"> </w:t>
      </w:r>
      <w:bookmarkEnd w:id="6"/>
    </w:p>
    <w:p w14:paraId="217A7C02" w14:textId="0ECDBF1B"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r w:rsidRPr="00784B51">
        <w:rPr>
          <w:rFonts w:cstheme="minorHAnsi"/>
          <w:sz w:val="24"/>
          <w:szCs w:val="24"/>
        </w:rPr>
        <w:t xml:space="preserve">– Instytucja Zarządzająca </w:t>
      </w:r>
      <w:r w:rsidR="00995DC2">
        <w:rPr>
          <w:rFonts w:cstheme="minorHAnsi"/>
          <w:sz w:val="24"/>
          <w:szCs w:val="24"/>
        </w:rPr>
        <w:t xml:space="preserve">programem </w:t>
      </w:r>
      <w:r w:rsidRPr="00784B51">
        <w:rPr>
          <w:rFonts w:cstheme="minorHAnsi"/>
          <w:sz w:val="24"/>
          <w:szCs w:val="24"/>
        </w:rPr>
        <w:t>Fundusze Europejskie dla</w:t>
      </w:r>
      <w:r w:rsidR="00162163">
        <w:rPr>
          <w:rFonts w:cstheme="minorHAnsi"/>
          <w:sz w:val="24"/>
          <w:szCs w:val="24"/>
        </w:rPr>
        <w:t> </w:t>
      </w:r>
      <w:r w:rsidRPr="00784B51">
        <w:rPr>
          <w:rFonts w:cstheme="minorHAnsi"/>
          <w:sz w:val="24"/>
          <w:szCs w:val="24"/>
        </w:rPr>
        <w:t>Opolskiego 2021-2027 tj. Zarząd Województwa Opolskiego</w:t>
      </w:r>
    </w:p>
    <w:p w14:paraId="177EA433" w14:textId="62742E3F" w:rsidR="00995DC2" w:rsidRPr="00784B51" w:rsidRDefault="00995DC2" w:rsidP="004157AE">
      <w:pPr>
        <w:spacing w:after="60" w:line="276" w:lineRule="auto"/>
        <w:rPr>
          <w:rFonts w:cstheme="minorHAnsi"/>
          <w:sz w:val="24"/>
          <w:szCs w:val="24"/>
        </w:rPr>
      </w:pPr>
      <w:bookmarkStart w:id="7" w:name="_Hlk164322071"/>
      <w:r w:rsidRPr="003D2E81">
        <w:rPr>
          <w:rFonts w:cstheme="minorHAnsi"/>
          <w:b/>
          <w:bCs/>
          <w:sz w:val="24"/>
          <w:szCs w:val="24"/>
        </w:rPr>
        <w:t>JST</w:t>
      </w:r>
      <w:r w:rsidRPr="003D2E81">
        <w:rPr>
          <w:rFonts w:cstheme="minorHAnsi"/>
          <w:sz w:val="24"/>
          <w:szCs w:val="24"/>
        </w:rPr>
        <w:t xml:space="preserve"> </w:t>
      </w:r>
      <w:bookmarkStart w:id="8" w:name="_Hlk218253132"/>
      <w:r w:rsidRPr="003D2E81">
        <w:rPr>
          <w:rFonts w:cstheme="minorHAnsi"/>
          <w:sz w:val="24"/>
          <w:szCs w:val="24"/>
        </w:rPr>
        <w:t>–</w:t>
      </w:r>
      <w:bookmarkEnd w:id="8"/>
      <w:r w:rsidRPr="003D2E81">
        <w:rPr>
          <w:rFonts w:cstheme="minorHAnsi"/>
          <w:sz w:val="24"/>
          <w:szCs w:val="24"/>
        </w:rPr>
        <w:t xml:space="preserve"> </w:t>
      </w:r>
      <w:r>
        <w:rPr>
          <w:rFonts w:cstheme="minorHAnsi"/>
          <w:sz w:val="24"/>
          <w:szCs w:val="24"/>
        </w:rPr>
        <w:t>j</w:t>
      </w:r>
      <w:r w:rsidRPr="003D2E81">
        <w:rPr>
          <w:rFonts w:cstheme="minorHAnsi"/>
          <w:sz w:val="24"/>
          <w:szCs w:val="24"/>
        </w:rPr>
        <w:t xml:space="preserve">ednostka </w:t>
      </w:r>
      <w:r>
        <w:rPr>
          <w:rFonts w:cstheme="minorHAnsi"/>
          <w:sz w:val="24"/>
          <w:szCs w:val="24"/>
        </w:rPr>
        <w:t>s</w:t>
      </w:r>
      <w:r w:rsidRPr="003D2E81">
        <w:rPr>
          <w:rFonts w:cstheme="minorHAnsi"/>
          <w:sz w:val="24"/>
          <w:szCs w:val="24"/>
        </w:rPr>
        <w:t xml:space="preserve">amorządu </w:t>
      </w:r>
      <w:r>
        <w:rPr>
          <w:rFonts w:cstheme="minorHAnsi"/>
          <w:sz w:val="24"/>
          <w:szCs w:val="24"/>
        </w:rPr>
        <w:t>t</w:t>
      </w:r>
      <w:r w:rsidRPr="003D2E81">
        <w:rPr>
          <w:rFonts w:cstheme="minorHAnsi"/>
          <w:sz w:val="24"/>
          <w:szCs w:val="24"/>
        </w:rPr>
        <w:t>erytorialnego</w:t>
      </w:r>
      <w:bookmarkEnd w:id="7"/>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KM FEO 2021-2027</w:t>
      </w:r>
      <w:r w:rsidRPr="00784B51">
        <w:rPr>
          <w:rFonts w:cstheme="minorHAnsi"/>
          <w:sz w:val="24"/>
          <w:szCs w:val="24"/>
        </w:rPr>
        <w:t xml:space="preserve"> – Komitet Monitorujący Fundusze Europejskie dla Opolskiego 2021-2027</w:t>
      </w:r>
    </w:p>
    <w:p w14:paraId="5D0F653B" w14:textId="77777777"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p>
    <w:p w14:paraId="37E4D762" w14:textId="77777777" w:rsidR="00995DC2" w:rsidRPr="003D2E81" w:rsidRDefault="00995DC2" w:rsidP="00995DC2">
      <w:pPr>
        <w:spacing w:after="60" w:line="276" w:lineRule="auto"/>
        <w:rPr>
          <w:rFonts w:cstheme="minorHAnsi"/>
          <w:b/>
          <w:bCs/>
          <w:sz w:val="24"/>
          <w:szCs w:val="24"/>
        </w:rPr>
      </w:pPr>
      <w:r w:rsidRPr="003D2E81">
        <w:rPr>
          <w:rFonts w:cstheme="minorHAnsi"/>
          <w:b/>
          <w:bCs/>
          <w:sz w:val="24"/>
          <w:szCs w:val="24"/>
        </w:rPr>
        <w:t xml:space="preserve">Korekta – </w:t>
      </w:r>
      <w:r w:rsidRPr="003D2E81">
        <w:rPr>
          <w:rFonts w:cstheme="minorHAnsi"/>
          <w:sz w:val="24"/>
          <w:szCs w:val="24"/>
        </w:rPr>
        <w:t>uzupełniona/poprawiona dokumentacja projektowa</w:t>
      </w:r>
    </w:p>
    <w:p w14:paraId="59D76905" w14:textId="585703B9" w:rsidR="00995DC2" w:rsidRDefault="00995DC2" w:rsidP="004157AE">
      <w:pPr>
        <w:spacing w:after="60" w:line="276" w:lineRule="auto"/>
        <w:rPr>
          <w:rFonts w:cstheme="minorHAnsi"/>
          <w:sz w:val="24"/>
          <w:szCs w:val="24"/>
        </w:rPr>
      </w:pPr>
      <w:r w:rsidRPr="003D2E81">
        <w:rPr>
          <w:rFonts w:cstheme="minorHAnsi"/>
          <w:b/>
          <w:bCs/>
          <w:sz w:val="24"/>
          <w:szCs w:val="24"/>
        </w:rPr>
        <w:t>Koszty pośrednie</w:t>
      </w:r>
      <w:r w:rsidRPr="003D2E81">
        <w:rPr>
          <w:rFonts w:cstheme="minorHAnsi"/>
          <w:sz w:val="24"/>
          <w:szCs w:val="24"/>
        </w:rPr>
        <w:t xml:space="preserve"> – 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5E2FC33B"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w:t>
      </w:r>
      <w:r w:rsidR="00162163">
        <w:rPr>
          <w:rFonts w:ascii="Calibri" w:eastAsia="Calibri" w:hAnsi="Calibri" w:cs="Calibri"/>
          <w:sz w:val="24"/>
          <w:szCs w:val="24"/>
        </w:rPr>
        <w:t> </w:t>
      </w:r>
      <w:r w:rsidRPr="00E23017">
        <w:rPr>
          <w:rFonts w:ascii="Calibri" w:eastAsia="Calibri" w:hAnsi="Calibri" w:cs="Calibri"/>
          <w:sz w:val="24"/>
          <w:szCs w:val="24"/>
        </w:rPr>
        <w:t>grudnia 2006 r. (Dz. U. z 2012 r., poz. 1169, ze zm.)</w:t>
      </w:r>
    </w:p>
    <w:p w14:paraId="18B7663A" w14:textId="1F85AF5A"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 xml:space="preserve">Karta praw podstawowych Unii Europejskiej z dnia </w:t>
      </w:r>
      <w:r w:rsidR="00250009">
        <w:rPr>
          <w:rFonts w:ascii="Calibri" w:eastAsia="Calibri" w:hAnsi="Calibri" w:cs="Calibri"/>
          <w:sz w:val="24"/>
          <w:szCs w:val="24"/>
        </w:rPr>
        <w:t>7 czerwca</w:t>
      </w:r>
      <w:r w:rsidRPr="005A4967">
        <w:rPr>
          <w:rFonts w:ascii="Calibri" w:eastAsia="Calibri" w:hAnsi="Calibri" w:cs="Calibri"/>
          <w:sz w:val="24"/>
          <w:szCs w:val="24"/>
        </w:rPr>
        <w:t xml:space="preserve"> 201</w:t>
      </w:r>
      <w:r w:rsidR="00250009">
        <w:rPr>
          <w:rFonts w:ascii="Calibri" w:eastAsia="Calibri" w:hAnsi="Calibri" w:cs="Calibri"/>
          <w:sz w:val="24"/>
          <w:szCs w:val="24"/>
        </w:rPr>
        <w:t>6</w:t>
      </w:r>
      <w:r w:rsidRPr="005A4967">
        <w:rPr>
          <w:rFonts w:ascii="Calibri" w:eastAsia="Calibri" w:hAnsi="Calibri" w:cs="Calibri"/>
          <w:sz w:val="24"/>
          <w:szCs w:val="24"/>
        </w:rPr>
        <w:t xml:space="preserve"> r. (</w:t>
      </w:r>
      <w:r w:rsidR="00995DC2" w:rsidRPr="00E50212">
        <w:rPr>
          <w:rFonts w:eastAsia="Calibri" w:cstheme="minorHAnsi"/>
          <w:sz w:val="24"/>
          <w:szCs w:val="24"/>
        </w:rPr>
        <w:t>Dz. Urz. UE C</w:t>
      </w:r>
      <w:r w:rsidR="00162163">
        <w:rPr>
          <w:rFonts w:eastAsia="Calibri" w:cstheme="minorHAnsi"/>
          <w:sz w:val="24"/>
          <w:szCs w:val="24"/>
        </w:rPr>
        <w:t> </w:t>
      </w:r>
      <w:r w:rsidR="00995DC2" w:rsidRPr="00E50212">
        <w:rPr>
          <w:rFonts w:eastAsia="Calibri" w:cstheme="minorHAnsi"/>
          <w:sz w:val="24"/>
          <w:szCs w:val="24"/>
        </w:rPr>
        <w:t>202   z 07.06.2016, str.</w:t>
      </w:r>
      <w:r w:rsidR="00995DC2">
        <w:rPr>
          <w:rFonts w:eastAsia="Calibri" w:cstheme="minorHAnsi"/>
          <w:sz w:val="24"/>
          <w:szCs w:val="24"/>
        </w:rPr>
        <w:t xml:space="preserve"> </w:t>
      </w:r>
      <w:r w:rsidR="00995DC2" w:rsidRPr="00E50212">
        <w:rPr>
          <w:rFonts w:eastAsia="Calibri" w:cstheme="minorHAnsi"/>
          <w:sz w:val="24"/>
          <w:szCs w:val="24"/>
        </w:rPr>
        <w:t>389</w:t>
      </w:r>
      <w:r w:rsidRPr="005A4967">
        <w:rPr>
          <w:rFonts w:ascii="Calibri" w:eastAsia="Calibri" w:hAnsi="Calibri" w:cs="Calibri"/>
          <w:sz w:val="24"/>
          <w:szCs w:val="24"/>
        </w:rPr>
        <w:t>)</w:t>
      </w:r>
    </w:p>
    <w:p w14:paraId="7707E504" w14:textId="51C742FF" w:rsidR="00E7098D" w:rsidRPr="00784B51" w:rsidRDefault="00E7098D" w:rsidP="004157AE">
      <w:pPr>
        <w:spacing w:after="60" w:line="276" w:lineRule="auto"/>
        <w:rPr>
          <w:rFonts w:cstheme="minorHAnsi"/>
          <w:sz w:val="24"/>
          <w:szCs w:val="24"/>
        </w:rPr>
      </w:pPr>
      <w:r w:rsidRPr="00784B51">
        <w:rPr>
          <w:rFonts w:cstheme="minorHAnsi"/>
          <w:b/>
          <w:sz w:val="24"/>
          <w:szCs w:val="24"/>
        </w:rPr>
        <w:t>Kpa</w:t>
      </w:r>
      <w:r w:rsidRPr="00784B51">
        <w:rPr>
          <w:rFonts w:cstheme="minorHAnsi"/>
          <w:sz w:val="24"/>
          <w:szCs w:val="24"/>
        </w:rPr>
        <w:t xml:space="preserve"> –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r w:rsidR="00995DC2" w:rsidRPr="00E50212">
        <w:rPr>
          <w:rFonts w:cstheme="minorHAnsi"/>
          <w:sz w:val="24"/>
          <w:szCs w:val="24"/>
        </w:rPr>
        <w:t>z</w:t>
      </w:r>
      <w:r w:rsidR="00162163">
        <w:rPr>
          <w:rFonts w:cstheme="minorHAnsi"/>
          <w:sz w:val="24"/>
          <w:szCs w:val="24"/>
        </w:rPr>
        <w:t> </w:t>
      </w:r>
      <w:r w:rsidR="00995DC2" w:rsidRPr="00E50212">
        <w:rPr>
          <w:rFonts w:cstheme="minorHAnsi"/>
          <w:sz w:val="24"/>
          <w:szCs w:val="24"/>
        </w:rPr>
        <w:t>2025 r., poz. 1691</w:t>
      </w:r>
      <w:r w:rsidRPr="00784B51">
        <w:rPr>
          <w:rFonts w:cstheme="minorHAnsi"/>
          <w:sz w:val="24"/>
          <w:szCs w:val="24"/>
        </w:rPr>
        <w:t>)</w:t>
      </w:r>
    </w:p>
    <w:p w14:paraId="04E9CB55" w14:textId="73ED2430" w:rsidR="00E7098D" w:rsidRPr="00784B51"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w:t>
      </w:r>
      <w:r w:rsidR="00FF7E63">
        <w:rPr>
          <w:rFonts w:cstheme="minorHAnsi"/>
          <w:sz w:val="24"/>
          <w:szCs w:val="24"/>
        </w:rPr>
        <w:t>Panel Wnioskodawcy</w:t>
      </w:r>
    </w:p>
    <w:p w14:paraId="182A3F8B" w14:textId="21FA2279" w:rsidR="00E7098D"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7B3A827C"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12E5E69F" w14:textId="530F4004" w:rsidR="006214E5" w:rsidRPr="00E23017" w:rsidRDefault="006214E5" w:rsidP="004157AE">
      <w:pPr>
        <w:spacing w:after="60" w:line="276" w:lineRule="auto"/>
        <w:rPr>
          <w:rFonts w:cstheme="minorHAnsi"/>
          <w:sz w:val="24"/>
          <w:szCs w:val="24"/>
        </w:rPr>
      </w:pPr>
      <w:r w:rsidRPr="003D2E81">
        <w:rPr>
          <w:rFonts w:cstheme="minorHAnsi"/>
          <w:b/>
          <w:bCs/>
          <w:sz w:val="24"/>
          <w:szCs w:val="24"/>
        </w:rPr>
        <w:t>Nabór</w:t>
      </w:r>
      <w:r w:rsidRPr="003D2E81">
        <w:rPr>
          <w:rFonts w:cstheme="minorHAnsi"/>
          <w:sz w:val="24"/>
          <w:szCs w:val="24"/>
        </w:rPr>
        <w:t xml:space="preserve"> – Proces składania dokumentacji projektowej, który rozpoczyna się w dniu udostępnienia formularza wniosku o dofinansowanie projektu w systemie teleinformatycznym, w terminach określonych w Regulaminie wyboru projektów</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2A53F2BE" w14:textId="1F9F74A4" w:rsidR="006214E5" w:rsidRPr="00784B51" w:rsidRDefault="006214E5" w:rsidP="004157AE">
      <w:pPr>
        <w:spacing w:after="60" w:line="276" w:lineRule="auto"/>
        <w:rPr>
          <w:rFonts w:cstheme="minorHAnsi"/>
          <w:sz w:val="24"/>
          <w:szCs w:val="24"/>
        </w:rPr>
      </w:pPr>
      <w:bookmarkStart w:id="9" w:name="_Hlk164322236"/>
      <w:r w:rsidRPr="003D2E81">
        <w:rPr>
          <w:rFonts w:cstheme="minorHAnsi"/>
          <w:b/>
          <w:bCs/>
          <w:sz w:val="24"/>
          <w:szCs w:val="24"/>
        </w:rPr>
        <w:t>Podpis elektroniczny</w:t>
      </w:r>
      <w:r w:rsidRPr="003D2E81">
        <w:rPr>
          <w:rFonts w:cstheme="minorHAnsi"/>
          <w:sz w:val="24"/>
          <w:szCs w:val="24"/>
        </w:rPr>
        <w:t xml:space="preserve"> – pod pojęciem podpisu elektronicznego rozumie się podpis przy użyciu potwierdzonego profilu zaufanego lub kwalifikowanego podpisu elektronicznego</w:t>
      </w:r>
      <w:bookmarkEnd w:id="9"/>
    </w:p>
    <w:p w14:paraId="5863EC2D" w14:textId="58550343"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Dz.U. 202</w:t>
      </w:r>
      <w:r w:rsidR="00A67B08">
        <w:rPr>
          <w:rFonts w:cstheme="minorHAnsi"/>
          <w:sz w:val="24"/>
          <w:szCs w:val="24"/>
        </w:rPr>
        <w:t>4</w:t>
      </w:r>
      <w:r w:rsidR="00335CAB" w:rsidRPr="00335CAB">
        <w:rPr>
          <w:rFonts w:cstheme="minorHAnsi"/>
          <w:sz w:val="24"/>
          <w:szCs w:val="24"/>
        </w:rPr>
        <w:t xml:space="preserve"> poz. </w:t>
      </w:r>
      <w:r w:rsidR="00A67B08">
        <w:rPr>
          <w:rFonts w:cstheme="minorHAnsi"/>
          <w:sz w:val="24"/>
          <w:szCs w:val="24"/>
        </w:rPr>
        <w:t xml:space="preserve">1320 </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7932A240" w14:textId="24BCA1A3" w:rsidR="006214E5" w:rsidRPr="003D2E81" w:rsidRDefault="006214E5" w:rsidP="006214E5">
      <w:pPr>
        <w:spacing w:after="60" w:line="276" w:lineRule="auto"/>
        <w:rPr>
          <w:rFonts w:cstheme="minorHAnsi"/>
          <w:sz w:val="24"/>
          <w:szCs w:val="24"/>
        </w:rPr>
      </w:pPr>
      <w:r w:rsidRPr="003D2E81">
        <w:rPr>
          <w:rFonts w:cstheme="minorHAnsi"/>
          <w:b/>
          <w:bCs/>
          <w:sz w:val="24"/>
          <w:szCs w:val="24"/>
        </w:rPr>
        <w:t xml:space="preserve">Pomoc de </w:t>
      </w:r>
      <w:proofErr w:type="spellStart"/>
      <w:r w:rsidRPr="003D2E81">
        <w:rPr>
          <w:rFonts w:cstheme="minorHAnsi"/>
          <w:b/>
          <w:bCs/>
          <w:sz w:val="24"/>
          <w:szCs w:val="24"/>
        </w:rPr>
        <w:t>minimis</w:t>
      </w:r>
      <w:proofErr w:type="spellEnd"/>
      <w:r w:rsidRPr="003D2E81">
        <w:rPr>
          <w:rFonts w:cstheme="minorHAnsi"/>
          <w:sz w:val="24"/>
          <w:szCs w:val="24"/>
        </w:rPr>
        <w:t xml:space="preserve"> – pomoc zgodna z przepisami Rozporządzenia Komisji (UE) 2023/2831 z dnia 13 grudnia 2023 r. w sprawie stosowania art. 107 i 108 Traktatu o funkcjonowaniu Unii Europejskiej do pomocy de </w:t>
      </w:r>
      <w:proofErr w:type="spellStart"/>
      <w:r w:rsidRPr="003D2E81">
        <w:rPr>
          <w:rFonts w:cstheme="minorHAnsi"/>
          <w:sz w:val="24"/>
          <w:szCs w:val="24"/>
        </w:rPr>
        <w:t>minimis</w:t>
      </w:r>
      <w:proofErr w:type="spellEnd"/>
      <w:r w:rsidRPr="003D2E81">
        <w:rPr>
          <w:rFonts w:cstheme="minorHAnsi"/>
          <w:sz w:val="24"/>
          <w:szCs w:val="24"/>
        </w:rPr>
        <w:t xml:space="preserve"> (Dz. Urz. UE L z 15.12.2023) oraz Rozporządzenia Ministra Funduszy i Polityki Regionalnej z dnia 17 kwietnia 2024 r. </w:t>
      </w:r>
      <w:r w:rsidRPr="003D2E81">
        <w:rPr>
          <w:rFonts w:cstheme="minorHAnsi"/>
          <w:bCs/>
          <w:sz w:val="24"/>
          <w:szCs w:val="24"/>
        </w:rPr>
        <w:t>w sprawie udzielania pomocy </w:t>
      </w:r>
      <w:r w:rsidRPr="003D2E81">
        <w:rPr>
          <w:rFonts w:cstheme="minorHAnsi"/>
          <w:sz w:val="24"/>
          <w:szCs w:val="24"/>
        </w:rPr>
        <w:t>de</w:t>
      </w:r>
      <w:r w:rsidR="00162163">
        <w:rPr>
          <w:rFonts w:cstheme="minorHAnsi"/>
          <w:sz w:val="24"/>
          <w:szCs w:val="24"/>
        </w:rPr>
        <w:t> </w:t>
      </w:r>
      <w:proofErr w:type="spellStart"/>
      <w:r w:rsidRPr="003D2E81">
        <w:rPr>
          <w:rFonts w:cstheme="minorHAnsi"/>
          <w:sz w:val="24"/>
          <w:szCs w:val="24"/>
        </w:rPr>
        <w:t>minimis</w:t>
      </w:r>
      <w:proofErr w:type="spellEnd"/>
      <w:r w:rsidRPr="003D2E81">
        <w:rPr>
          <w:rFonts w:cstheme="minorHAnsi"/>
          <w:bCs/>
          <w:sz w:val="24"/>
          <w:szCs w:val="24"/>
        </w:rPr>
        <w:t> w ramach regionalnych programów na lata 2021-2027</w:t>
      </w:r>
    </w:p>
    <w:p w14:paraId="3DC9BB8B" w14:textId="77777777" w:rsidR="006214E5" w:rsidRPr="003D2E81" w:rsidRDefault="006214E5" w:rsidP="006214E5">
      <w:pPr>
        <w:spacing w:after="60" w:line="276" w:lineRule="auto"/>
        <w:rPr>
          <w:rFonts w:cstheme="minorHAnsi"/>
          <w:sz w:val="24"/>
          <w:szCs w:val="24"/>
        </w:rPr>
      </w:pPr>
      <w:r w:rsidRPr="003D2E81">
        <w:rPr>
          <w:rFonts w:cstheme="minorHAnsi"/>
          <w:b/>
          <w:bCs/>
          <w:sz w:val="24"/>
          <w:szCs w:val="24"/>
        </w:rPr>
        <w:lastRenderedPageBreak/>
        <w:t>Pomoc publiczna</w:t>
      </w:r>
      <w:r w:rsidRPr="003D2E81">
        <w:rPr>
          <w:rFonts w:cstheme="minorHAnsi"/>
          <w:sz w:val="24"/>
          <w:szCs w:val="24"/>
        </w:rPr>
        <w:t xml:space="preserve"> – 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7F2C8BB9"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 xml:space="preserve">występuje transfer środków publicznych, </w:t>
      </w:r>
    </w:p>
    <w:p w14:paraId="6AF93C4E"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 xml:space="preserve">podmiot uzyskuje korzyść ekonomiczną, </w:t>
      </w:r>
    </w:p>
    <w:p w14:paraId="768B5F2A"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 xml:space="preserve">wsparcie ma charakter selektywny, to znaczy uprzywilejowuje określony lub określone podmioty albo produkcję określonych towarów, </w:t>
      </w:r>
    </w:p>
    <w:p w14:paraId="5BCEBE93"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grozi zakłóceniem lub zakłóca konkurencję na rynku unijnym przedsiębiorstwom oraz wpływa na wymianę handlową między krajami członkowskimi UE</w:t>
      </w:r>
    </w:p>
    <w:p w14:paraId="1C04C6B7" w14:textId="6A821195" w:rsidR="006214E5" w:rsidRDefault="006214E5" w:rsidP="00503811">
      <w:pPr>
        <w:spacing w:after="60" w:line="276" w:lineRule="auto"/>
        <w:rPr>
          <w:rFonts w:cstheme="minorHAnsi"/>
          <w:sz w:val="24"/>
          <w:szCs w:val="24"/>
        </w:rPr>
      </w:pPr>
      <w:r w:rsidRPr="006214E5">
        <w:rPr>
          <w:rFonts w:cstheme="minorHAnsi"/>
          <w:b/>
          <w:bCs/>
          <w:sz w:val="24"/>
          <w:szCs w:val="24"/>
        </w:rPr>
        <w:t>Projekt</w:t>
      </w:r>
      <w:r w:rsidRPr="006214E5">
        <w:rPr>
          <w:rFonts w:cstheme="minorHAnsi"/>
          <w:sz w:val="24"/>
          <w:szCs w:val="24"/>
        </w:rPr>
        <w:t xml:space="preserve"> – Przedsięwzięcie będące przedmiotem wniosku o dofinansowanie</w:t>
      </w:r>
    </w:p>
    <w:p w14:paraId="20EF76C0" w14:textId="61113BEE" w:rsidR="006214E5" w:rsidRPr="00784B51" w:rsidRDefault="006214E5" w:rsidP="00503811">
      <w:pPr>
        <w:spacing w:after="60" w:line="276" w:lineRule="auto"/>
        <w:rPr>
          <w:rFonts w:cstheme="minorHAnsi"/>
          <w:sz w:val="24"/>
          <w:szCs w:val="24"/>
        </w:rPr>
      </w:pPr>
      <w:r w:rsidRPr="003D2E81">
        <w:rPr>
          <w:rFonts w:cstheme="minorHAnsi"/>
          <w:b/>
          <w:bCs/>
          <w:sz w:val="24"/>
          <w:szCs w:val="24"/>
        </w:rPr>
        <w:t>RDOŚ</w:t>
      </w:r>
      <w:r w:rsidRPr="003D2E81">
        <w:rPr>
          <w:rFonts w:cstheme="minorHAnsi"/>
          <w:sz w:val="24"/>
          <w:szCs w:val="24"/>
        </w:rPr>
        <w:t xml:space="preserve"> – Regionalna Dyrekcja Ochrony Środowiska</w:t>
      </w:r>
    </w:p>
    <w:p w14:paraId="0C684CB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23ADE712"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i Rady (UE) nr</w:t>
      </w:r>
      <w:r w:rsidR="00162163">
        <w:rPr>
          <w:rFonts w:cstheme="minorHAnsi"/>
          <w:sz w:val="24"/>
          <w:szCs w:val="24"/>
        </w:rPr>
        <w:t> </w:t>
      </w:r>
      <w:r w:rsidRPr="00784B51">
        <w:rPr>
          <w:rFonts w:cstheme="minorHAnsi"/>
          <w:sz w:val="24"/>
          <w:szCs w:val="24"/>
        </w:rPr>
        <w:t xml:space="preserve">2021/1060 z 24 czerwca 2021 r. ustanawiające wspólne przepisy dotyczące Europejskiego Funduszu Rozwoju Regionalnego, Europejskiego Funduszu Społecznego Plus, Funduszu Spójności, Funduszu na rzecz Sprawiedliwej Transformacji i Europejskiego Funduszu </w:t>
      </w:r>
      <w:r w:rsidR="006214E5">
        <w:rPr>
          <w:rFonts w:cstheme="minorHAnsi"/>
          <w:sz w:val="24"/>
          <w:szCs w:val="24"/>
        </w:rPr>
        <w:t>M</w:t>
      </w:r>
      <w:r w:rsidRPr="00784B51">
        <w:rPr>
          <w:rFonts w:cstheme="minorHAnsi"/>
          <w:sz w:val="24"/>
          <w:szCs w:val="24"/>
        </w:rPr>
        <w:t xml:space="preserve">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4AA9744F"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6214E5">
        <w:rPr>
          <w:rFonts w:cstheme="minorHAnsi"/>
          <w:sz w:val="24"/>
          <w:szCs w:val="24"/>
        </w:rPr>
        <w:t>4</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w:t>
      </w:r>
      <w:r w:rsidR="00566023">
        <w:rPr>
          <w:rFonts w:cstheme="minorHAnsi"/>
          <w:sz w:val="24"/>
          <w:szCs w:val="24"/>
        </w:rPr>
        <w:t>1112</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5F861F13"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w:t>
      </w:r>
      <w:proofErr w:type="spellStart"/>
      <w:r w:rsidR="00566023">
        <w:rPr>
          <w:rFonts w:cstheme="minorHAnsi"/>
          <w:sz w:val="24"/>
          <w:szCs w:val="24"/>
        </w:rPr>
        <w:t>t.j</w:t>
      </w:r>
      <w:proofErr w:type="spellEnd"/>
      <w:r w:rsidR="00566023">
        <w:rPr>
          <w:rFonts w:cstheme="minorHAnsi"/>
          <w:sz w:val="24"/>
          <w:szCs w:val="24"/>
        </w:rPr>
        <w:t xml:space="preserve">. </w:t>
      </w:r>
      <w:r w:rsidRPr="00784B51">
        <w:rPr>
          <w:rFonts w:cstheme="minorHAnsi"/>
          <w:sz w:val="24"/>
          <w:szCs w:val="24"/>
        </w:rPr>
        <w:t xml:space="preserve">Dz. U. </w:t>
      </w:r>
      <w:r w:rsidR="00373758" w:rsidRPr="00784B51">
        <w:rPr>
          <w:rFonts w:cstheme="minorHAnsi"/>
          <w:sz w:val="24"/>
          <w:szCs w:val="24"/>
        </w:rPr>
        <w:br/>
      </w:r>
      <w:r w:rsidRPr="00784B51">
        <w:rPr>
          <w:rFonts w:cstheme="minorHAnsi"/>
          <w:sz w:val="24"/>
          <w:szCs w:val="24"/>
        </w:rPr>
        <w:t>z 202</w:t>
      </w:r>
      <w:r w:rsidR="00566023">
        <w:rPr>
          <w:rFonts w:cstheme="minorHAnsi"/>
          <w:sz w:val="24"/>
          <w:szCs w:val="24"/>
        </w:rPr>
        <w:t>5</w:t>
      </w:r>
      <w:r w:rsidRPr="00784B51">
        <w:rPr>
          <w:rFonts w:cstheme="minorHAnsi"/>
          <w:sz w:val="24"/>
          <w:szCs w:val="24"/>
        </w:rPr>
        <w:t xml:space="preserve"> r.</w:t>
      </w:r>
      <w:r w:rsidR="006D00D7">
        <w:rPr>
          <w:rFonts w:cstheme="minorHAnsi"/>
          <w:sz w:val="24"/>
          <w:szCs w:val="24"/>
        </w:rPr>
        <w:t>,</w:t>
      </w:r>
      <w:r w:rsidRPr="00784B51">
        <w:rPr>
          <w:rFonts w:cstheme="minorHAnsi"/>
          <w:sz w:val="24"/>
          <w:szCs w:val="24"/>
        </w:rPr>
        <w:t xml:space="preserve"> poz. 1</w:t>
      </w:r>
      <w:r w:rsidR="00566023">
        <w:rPr>
          <w:rFonts w:cstheme="minorHAnsi"/>
          <w:sz w:val="24"/>
          <w:szCs w:val="24"/>
        </w:rPr>
        <w:t>733 ze zm.</w:t>
      </w:r>
      <w:r w:rsidRPr="00784B51">
        <w:rPr>
          <w:rFonts w:cstheme="minorHAnsi"/>
          <w:sz w:val="24"/>
          <w:szCs w:val="24"/>
        </w:rPr>
        <w:t>)</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 </w:t>
      </w:r>
      <w:r w:rsidR="00E7098D" w:rsidRPr="00784B51">
        <w:rPr>
          <w:rFonts w:cstheme="minorHAnsi"/>
          <w:sz w:val="24"/>
          <w:szCs w:val="24"/>
        </w:rPr>
        <w:t>zgodnie z ustawą wdrożeniową należy przez to rozumieć podmiot, który złożył wniosek o dofinansowanie projektu</w:t>
      </w:r>
    </w:p>
    <w:p w14:paraId="6C7CD48B" w14:textId="4F4D7D1C" w:rsidR="00566023" w:rsidRPr="00784B51" w:rsidRDefault="00566023" w:rsidP="004157AE">
      <w:pPr>
        <w:spacing w:after="60" w:line="276" w:lineRule="auto"/>
        <w:rPr>
          <w:rFonts w:cstheme="minorHAnsi"/>
          <w:sz w:val="24"/>
          <w:szCs w:val="24"/>
        </w:rPr>
      </w:pPr>
      <w:r w:rsidRPr="00566023">
        <w:rPr>
          <w:rFonts w:cstheme="minorHAnsi"/>
          <w:b/>
          <w:bCs/>
          <w:sz w:val="24"/>
          <w:szCs w:val="24"/>
        </w:rPr>
        <w:t>ZIT</w:t>
      </w:r>
      <w:r>
        <w:rPr>
          <w:rFonts w:cstheme="minorHAnsi"/>
          <w:sz w:val="24"/>
          <w:szCs w:val="24"/>
        </w:rPr>
        <w:t xml:space="preserve"> – Zintegrowane Inwestycje Terytorialne są instrumentem rozwoju terytorialnego, o którym mowa w art. 28 Rozporządzenia Ogólnego</w:t>
      </w:r>
    </w:p>
    <w:p w14:paraId="43A7D203" w14:textId="20A5578D" w:rsidR="00E7098D" w:rsidRPr="00784B51"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18308C5E" w14:textId="77777777" w:rsidR="00E7098D" w:rsidRPr="008B7C53" w:rsidRDefault="00E7098D">
      <w:pPr>
        <w:pStyle w:val="Nagwek1"/>
        <w:numPr>
          <w:ilvl w:val="0"/>
          <w:numId w:val="1"/>
        </w:numPr>
        <w:spacing w:after="240"/>
        <w:ind w:left="426" w:hanging="426"/>
        <w:rPr>
          <w:rFonts w:asciiTheme="minorHAnsi" w:hAnsiTheme="minorHAnsi" w:cstheme="minorHAnsi"/>
          <w:b/>
          <w:color w:val="auto"/>
        </w:rPr>
      </w:pPr>
      <w:bookmarkStart w:id="10" w:name="_Toc224647135"/>
      <w:r w:rsidRPr="008B7C53">
        <w:rPr>
          <w:rFonts w:asciiTheme="minorHAnsi" w:hAnsiTheme="minorHAnsi" w:cstheme="minorHAnsi"/>
          <w:b/>
          <w:color w:val="auto"/>
        </w:rPr>
        <w:t>Wstęp</w:t>
      </w:r>
      <w:bookmarkEnd w:id="10"/>
    </w:p>
    <w:p w14:paraId="1985AC5F" w14:textId="0263D672" w:rsidR="00E7098D" w:rsidRPr="00025ABC" w:rsidRDefault="00E7098D">
      <w:pPr>
        <w:pStyle w:val="Akapitzlist"/>
        <w:numPr>
          <w:ilvl w:val="0"/>
          <w:numId w:val="12"/>
        </w:numPr>
        <w:spacing w:after="120" w:line="276" w:lineRule="auto"/>
        <w:ind w:left="425" w:hanging="425"/>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w:t>
      </w:r>
      <w:r w:rsidR="00162163">
        <w:rPr>
          <w:rFonts w:cstheme="minorHAnsi"/>
          <w:sz w:val="24"/>
          <w:szCs w:val="24"/>
        </w:rPr>
        <w:t> </w:t>
      </w:r>
      <w:r w:rsidRPr="00025ABC">
        <w:rPr>
          <w:rFonts w:cstheme="minorHAnsi"/>
          <w:sz w:val="24"/>
          <w:szCs w:val="24"/>
        </w:rPr>
        <w:t>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48A764B7" w:rsidR="00E7098D" w:rsidRPr="00025ABC" w:rsidRDefault="00E7098D">
      <w:pPr>
        <w:pStyle w:val="Akapitzlist"/>
        <w:numPr>
          <w:ilvl w:val="0"/>
          <w:numId w:val="12"/>
        </w:numPr>
        <w:spacing w:after="120" w:line="276" w:lineRule="auto"/>
        <w:ind w:left="425" w:hanging="425"/>
        <w:contextualSpacing w:val="0"/>
        <w:rPr>
          <w:rFonts w:cstheme="minorHAnsi"/>
          <w:sz w:val="24"/>
          <w:szCs w:val="24"/>
        </w:rPr>
      </w:pPr>
      <w:r w:rsidRPr="00025ABC">
        <w:rPr>
          <w:rFonts w:cstheme="minorHAnsi"/>
          <w:sz w:val="24"/>
          <w:szCs w:val="24"/>
        </w:rPr>
        <w:t>IZ zastrzega sobie prawo do wprowadzania zmian w regulaminie do czasu zakończenia postępowania, za wyjątkiem części dotyczącej wskazania sposobu wyboru projektów do</w:t>
      </w:r>
      <w:r w:rsidR="00162163">
        <w:rPr>
          <w:rFonts w:cstheme="minorHAnsi"/>
          <w:sz w:val="24"/>
          <w:szCs w:val="24"/>
        </w:rPr>
        <w:t> </w:t>
      </w:r>
      <w:r w:rsidRPr="00025ABC">
        <w:rPr>
          <w:rFonts w:cstheme="minorHAnsi"/>
          <w:sz w:val="24"/>
          <w:szCs w:val="24"/>
        </w:rPr>
        <w:t xml:space="preserve">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pPr>
        <w:pStyle w:val="Akapitzlist"/>
        <w:numPr>
          <w:ilvl w:val="0"/>
          <w:numId w:val="12"/>
        </w:numPr>
        <w:spacing w:after="120"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pPr>
        <w:pStyle w:val="Akapitzlist"/>
        <w:numPr>
          <w:ilvl w:val="0"/>
          <w:numId w:val="12"/>
        </w:numPr>
        <w:spacing w:after="120"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pPr>
        <w:pStyle w:val="Akapitzlist"/>
        <w:numPr>
          <w:ilvl w:val="0"/>
          <w:numId w:val="12"/>
        </w:numPr>
        <w:spacing w:after="120"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lastRenderedPageBreak/>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250A628D" w14:textId="77777777" w:rsidR="00E8474C" w:rsidRPr="00025ABC" w:rsidRDefault="00E8474C" w:rsidP="005D6D87">
      <w:pPr>
        <w:pStyle w:val="Akapitzlist"/>
        <w:spacing w:line="276" w:lineRule="auto"/>
        <w:ind w:left="426"/>
        <w:contextualSpacing w:val="0"/>
        <w:rPr>
          <w:rFonts w:cstheme="minorHAnsi"/>
          <w:sz w:val="24"/>
          <w:szCs w:val="24"/>
        </w:rPr>
      </w:pPr>
    </w:p>
    <w:p w14:paraId="41F6EB0B" w14:textId="710CF73C" w:rsidR="006158F7" w:rsidRPr="008B7C53" w:rsidRDefault="006158F7">
      <w:pPr>
        <w:pStyle w:val="Nagwek1"/>
        <w:numPr>
          <w:ilvl w:val="0"/>
          <w:numId w:val="1"/>
        </w:numPr>
        <w:spacing w:before="0" w:after="240"/>
        <w:ind w:left="426" w:hanging="426"/>
        <w:rPr>
          <w:rFonts w:asciiTheme="minorHAnsi" w:hAnsiTheme="minorHAnsi" w:cstheme="minorHAnsi"/>
          <w:b/>
          <w:i/>
        </w:rPr>
      </w:pPr>
      <w:bookmarkStart w:id="11" w:name="_Toc224647136"/>
      <w:r w:rsidRPr="008B7C53">
        <w:rPr>
          <w:rFonts w:asciiTheme="minorHAnsi" w:hAnsiTheme="minorHAnsi" w:cstheme="minorHAnsi"/>
          <w:b/>
          <w:color w:val="auto"/>
        </w:rPr>
        <w:t>Pełna nazwa i adres właściwej instytucji</w:t>
      </w:r>
      <w:bookmarkEnd w:id="11"/>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pPr>
        <w:pStyle w:val="Akapitzlist"/>
        <w:numPr>
          <w:ilvl w:val="0"/>
          <w:numId w:val="2"/>
        </w:numPr>
        <w:ind w:left="426" w:hanging="426"/>
        <w:rPr>
          <w:rFonts w:cstheme="minorHAnsi"/>
          <w:sz w:val="24"/>
          <w:szCs w:val="24"/>
        </w:rPr>
      </w:pPr>
      <w:r w:rsidRPr="00C3491C">
        <w:rPr>
          <w:rFonts w:cstheme="minorHAnsi"/>
          <w:sz w:val="24"/>
          <w:szCs w:val="24"/>
        </w:rPr>
        <w:t>Departament Finansów;</w:t>
      </w:r>
      <w:bookmarkStart w:id="12" w:name="_Hlk156294877"/>
    </w:p>
    <w:p w14:paraId="2861FD15" w14:textId="0A0D99B2" w:rsidR="009B0D9F" w:rsidRDefault="009B0D9F" w:rsidP="00566023">
      <w:pPr>
        <w:rPr>
          <w:rFonts w:cstheme="minorHAnsi"/>
          <w:sz w:val="24"/>
          <w:szCs w:val="24"/>
        </w:rPr>
      </w:pPr>
      <w:r>
        <w:rPr>
          <w:rFonts w:cstheme="minorHAnsi"/>
          <w:sz w:val="24"/>
          <w:szCs w:val="24"/>
        </w:rPr>
        <w:t>który mieści się w Opolu przy ul. Ozimskiej 19.</w:t>
      </w:r>
      <w:bookmarkEnd w:id="12"/>
    </w:p>
    <w:p w14:paraId="378F6297" w14:textId="77777777" w:rsidR="00E8474C" w:rsidRPr="00566023" w:rsidRDefault="00E8474C" w:rsidP="00566023">
      <w:pPr>
        <w:rPr>
          <w:rFonts w:cstheme="minorHAnsi"/>
          <w:sz w:val="24"/>
          <w:szCs w:val="24"/>
        </w:rPr>
      </w:pPr>
    </w:p>
    <w:p w14:paraId="7F49687F" w14:textId="2F2172DC" w:rsidR="00634629" w:rsidRPr="008B7C53" w:rsidRDefault="00634629">
      <w:pPr>
        <w:pStyle w:val="Nagwek1"/>
        <w:numPr>
          <w:ilvl w:val="0"/>
          <w:numId w:val="1"/>
        </w:numPr>
        <w:spacing w:before="0" w:after="240"/>
        <w:ind w:left="426" w:hanging="426"/>
        <w:rPr>
          <w:rFonts w:asciiTheme="minorHAnsi" w:hAnsiTheme="minorHAnsi" w:cstheme="minorHAnsi"/>
          <w:b/>
          <w:color w:val="auto"/>
        </w:rPr>
      </w:pPr>
      <w:bookmarkStart w:id="13" w:name="_Toc224647137"/>
      <w:r w:rsidRPr="008B7C53">
        <w:rPr>
          <w:rFonts w:asciiTheme="minorHAnsi" w:hAnsiTheme="minorHAnsi" w:cstheme="minorHAnsi"/>
          <w:b/>
          <w:color w:val="auto"/>
        </w:rPr>
        <w:t>Projekty podlegające dofinansowaniu</w:t>
      </w:r>
      <w:bookmarkEnd w:id="13"/>
    </w:p>
    <w:p w14:paraId="22D9FB90" w14:textId="7BFFB45D" w:rsidR="00E8474C" w:rsidRPr="00BF1A41" w:rsidRDefault="0096663B" w:rsidP="004157AE">
      <w:pPr>
        <w:rPr>
          <w:rFonts w:cstheme="minorHAnsi"/>
          <w:sz w:val="24"/>
          <w:szCs w:val="24"/>
        </w:rPr>
      </w:pPr>
      <w:r>
        <w:rPr>
          <w:rFonts w:cstheme="minorHAnsi"/>
          <w:sz w:val="24"/>
          <w:szCs w:val="24"/>
        </w:rPr>
        <w:t>Projekty spełniające warunki naboru i kryteria z zakresu efektywności energetycznej</w:t>
      </w:r>
      <w:r w:rsidR="001F0111" w:rsidRPr="005D6D87">
        <w:rPr>
          <w:rFonts w:eastAsia="MS UI Gothic" w:cstheme="minorHAnsi"/>
          <w:sz w:val="24"/>
          <w:szCs w:val="24"/>
        </w:rPr>
        <w:t>.</w:t>
      </w:r>
    </w:p>
    <w:p w14:paraId="6B6D3470" w14:textId="702797BA" w:rsidR="00634629" w:rsidRPr="00571001" w:rsidRDefault="00634629">
      <w:pPr>
        <w:pStyle w:val="Nagwek1"/>
        <w:numPr>
          <w:ilvl w:val="0"/>
          <w:numId w:val="1"/>
        </w:numPr>
        <w:spacing w:before="0" w:after="240" w:line="240" w:lineRule="auto"/>
        <w:ind w:left="426" w:hanging="426"/>
        <w:rPr>
          <w:rFonts w:asciiTheme="minorHAnsi" w:hAnsiTheme="minorHAnsi" w:cstheme="minorHAnsi"/>
          <w:b/>
          <w:color w:val="auto"/>
        </w:rPr>
      </w:pPr>
      <w:bookmarkStart w:id="14" w:name="_Toc146018525"/>
      <w:bookmarkStart w:id="15" w:name="_Toc139632808"/>
      <w:bookmarkStart w:id="16" w:name="_Toc139635191"/>
      <w:bookmarkStart w:id="17" w:name="_Toc139872300"/>
      <w:bookmarkStart w:id="18" w:name="_Toc139872349"/>
      <w:bookmarkStart w:id="19" w:name="_Toc139632809"/>
      <w:bookmarkStart w:id="20" w:name="_Toc139635192"/>
      <w:bookmarkStart w:id="21" w:name="_Toc139872301"/>
      <w:bookmarkStart w:id="22" w:name="_Toc139872350"/>
      <w:bookmarkStart w:id="23" w:name="_Toc139632810"/>
      <w:bookmarkStart w:id="24" w:name="_Toc139635193"/>
      <w:bookmarkStart w:id="25" w:name="_Toc139872302"/>
      <w:bookmarkStart w:id="26" w:name="_Toc139872351"/>
      <w:bookmarkStart w:id="27" w:name="_Toc139632811"/>
      <w:bookmarkStart w:id="28" w:name="_Toc139635194"/>
      <w:bookmarkStart w:id="29" w:name="_Toc139872303"/>
      <w:bookmarkStart w:id="30" w:name="_Toc139872352"/>
      <w:bookmarkStart w:id="31" w:name="_Toc139632812"/>
      <w:bookmarkStart w:id="32" w:name="_Toc139635195"/>
      <w:bookmarkStart w:id="33" w:name="_Toc139872304"/>
      <w:bookmarkStart w:id="34" w:name="_Toc139872353"/>
      <w:bookmarkStart w:id="35" w:name="_Toc139632813"/>
      <w:bookmarkStart w:id="36" w:name="_Toc139635196"/>
      <w:bookmarkStart w:id="37" w:name="_Toc139872305"/>
      <w:bookmarkStart w:id="38" w:name="_Toc139872354"/>
      <w:bookmarkStart w:id="39" w:name="_Toc22464713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71001">
        <w:rPr>
          <w:rFonts w:asciiTheme="minorHAnsi" w:hAnsiTheme="minorHAnsi" w:cstheme="minorHAnsi"/>
          <w:b/>
          <w:color w:val="auto"/>
        </w:rPr>
        <w:t>Typ beneficjenta ogólny</w:t>
      </w:r>
      <w:bookmarkEnd w:id="39"/>
    </w:p>
    <w:p w14:paraId="5781AD30" w14:textId="6051EDF3" w:rsidR="00634629" w:rsidRDefault="00634629">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41E0C784" w14:textId="2D9364FF" w:rsidR="00F1519D" w:rsidRPr="00571001" w:rsidRDefault="00F1519D">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24DDF80F" w14:textId="3FC4C6BF" w:rsidR="00634629" w:rsidRDefault="00634629">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Służby publiczne</w:t>
      </w:r>
    </w:p>
    <w:p w14:paraId="77617D4B" w14:textId="77777777" w:rsidR="00E8474C" w:rsidRPr="00571001" w:rsidRDefault="00E8474C" w:rsidP="005D6D87">
      <w:pPr>
        <w:pStyle w:val="Akapitzlist"/>
        <w:spacing w:line="276" w:lineRule="auto"/>
        <w:ind w:left="426"/>
        <w:jc w:val="both"/>
        <w:rPr>
          <w:rFonts w:cstheme="minorHAnsi"/>
          <w:sz w:val="24"/>
          <w:szCs w:val="24"/>
        </w:rPr>
      </w:pPr>
    </w:p>
    <w:p w14:paraId="062B66C2" w14:textId="5AF32589" w:rsidR="00634629" w:rsidRPr="00571001" w:rsidRDefault="00634629">
      <w:pPr>
        <w:pStyle w:val="Nagwek1"/>
        <w:numPr>
          <w:ilvl w:val="0"/>
          <w:numId w:val="1"/>
        </w:numPr>
        <w:spacing w:before="0" w:after="240"/>
        <w:ind w:left="426" w:hanging="426"/>
        <w:rPr>
          <w:rFonts w:asciiTheme="minorHAnsi" w:hAnsiTheme="minorHAnsi" w:cstheme="minorHAnsi"/>
          <w:b/>
          <w:color w:val="auto"/>
        </w:rPr>
      </w:pPr>
      <w:bookmarkStart w:id="40" w:name="_Toc224647139"/>
      <w:r w:rsidRPr="00571001">
        <w:rPr>
          <w:rFonts w:asciiTheme="minorHAnsi" w:hAnsiTheme="minorHAnsi" w:cstheme="minorHAnsi"/>
          <w:b/>
          <w:color w:val="auto"/>
        </w:rPr>
        <w:t>Typ beneficjenta szczegółowy</w:t>
      </w:r>
      <w:bookmarkEnd w:id="40"/>
    </w:p>
    <w:p w14:paraId="4A11DE98" w14:textId="7338956D" w:rsidR="00634629" w:rsidRDefault="00EF7953">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4B5D80E9" w:rsidR="00172722" w:rsidRDefault="00172722">
      <w:pPr>
        <w:pStyle w:val="Akapitzlist"/>
        <w:numPr>
          <w:ilvl w:val="0"/>
          <w:numId w:val="6"/>
        </w:numPr>
        <w:spacing w:line="276" w:lineRule="auto"/>
        <w:ind w:left="426" w:hanging="426"/>
        <w:rPr>
          <w:rFonts w:cstheme="minorHAnsi"/>
          <w:sz w:val="24"/>
          <w:szCs w:val="24"/>
        </w:rPr>
      </w:pPr>
      <w:r w:rsidRPr="00172722">
        <w:rPr>
          <w:rFonts w:cstheme="minorHAnsi"/>
          <w:sz w:val="24"/>
          <w:szCs w:val="24"/>
        </w:rPr>
        <w:t>Jednostki organizacyjne działające w imieniu jednostek samorządu terytorialneg</w:t>
      </w:r>
      <w:r>
        <w:rPr>
          <w:rFonts w:cstheme="minorHAnsi"/>
          <w:sz w:val="24"/>
          <w:szCs w:val="24"/>
        </w:rPr>
        <w:t>o</w:t>
      </w:r>
    </w:p>
    <w:p w14:paraId="0F92DEAC" w14:textId="3F51D6BF" w:rsidR="00F1519D" w:rsidRDefault="00F1519D">
      <w:pPr>
        <w:pStyle w:val="Akapitzlist"/>
        <w:numPr>
          <w:ilvl w:val="0"/>
          <w:numId w:val="6"/>
        </w:numPr>
        <w:spacing w:line="276" w:lineRule="auto"/>
        <w:ind w:left="426" w:hanging="426"/>
        <w:rPr>
          <w:rFonts w:cstheme="minorHAnsi"/>
          <w:sz w:val="24"/>
          <w:szCs w:val="24"/>
        </w:rPr>
      </w:pPr>
      <w:r w:rsidRPr="00F1519D">
        <w:rPr>
          <w:rFonts w:cstheme="minorHAnsi"/>
          <w:sz w:val="24"/>
          <w:szCs w:val="24"/>
        </w:rPr>
        <w:t>Partnerstwa</w:t>
      </w:r>
      <w:r>
        <w:rPr>
          <w:rFonts w:cstheme="minorHAnsi"/>
          <w:sz w:val="24"/>
          <w:szCs w:val="24"/>
        </w:rPr>
        <w:t xml:space="preserve"> </w:t>
      </w:r>
      <w:r w:rsidRPr="00F1519D">
        <w:rPr>
          <w:rFonts w:cstheme="minorHAnsi"/>
          <w:sz w:val="24"/>
          <w:szCs w:val="24"/>
        </w:rPr>
        <w:t>Publiczno-Prywatne</w:t>
      </w:r>
    </w:p>
    <w:p w14:paraId="05E1A7C4" w14:textId="4164E7EA" w:rsidR="004D124B" w:rsidRPr="004D124B" w:rsidRDefault="004D124B" w:rsidP="004D124B">
      <w:pPr>
        <w:spacing w:line="276" w:lineRule="auto"/>
        <w:rPr>
          <w:rFonts w:cstheme="minorHAnsi"/>
          <w:b/>
          <w:bCs/>
          <w:sz w:val="24"/>
          <w:szCs w:val="24"/>
        </w:rPr>
      </w:pPr>
      <w:r w:rsidRPr="004D124B">
        <w:rPr>
          <w:rFonts w:cstheme="minorHAnsi"/>
          <w:b/>
          <w:bCs/>
          <w:sz w:val="24"/>
          <w:szCs w:val="24"/>
        </w:rPr>
        <w:t xml:space="preserve">W przypadku realizacji projektu w formule PPP </w:t>
      </w:r>
      <w:bookmarkStart w:id="41" w:name="_Hlk158359414"/>
      <w:r w:rsidRPr="004D124B">
        <w:rPr>
          <w:rFonts w:cstheme="minorHAnsi"/>
          <w:b/>
          <w:bCs/>
          <w:sz w:val="24"/>
          <w:szCs w:val="24"/>
        </w:rPr>
        <w:t>uprawnionym do złożenia wniosku o</w:t>
      </w:r>
      <w:r w:rsidR="00162163">
        <w:rPr>
          <w:rFonts w:cstheme="minorHAnsi"/>
          <w:b/>
          <w:bCs/>
          <w:sz w:val="24"/>
          <w:szCs w:val="24"/>
        </w:rPr>
        <w:t> </w:t>
      </w:r>
      <w:r w:rsidRPr="004D124B">
        <w:rPr>
          <w:rFonts w:cstheme="minorHAnsi"/>
          <w:b/>
          <w:bCs/>
          <w:sz w:val="24"/>
          <w:szCs w:val="24"/>
        </w:rPr>
        <w:t xml:space="preserve">dofinansowanie jest </w:t>
      </w:r>
      <w:r w:rsidRPr="004D124B">
        <w:rPr>
          <w:rFonts w:cstheme="minorHAnsi"/>
          <w:b/>
          <w:bCs/>
          <w:sz w:val="24"/>
          <w:szCs w:val="24"/>
          <w:u w:val="single"/>
        </w:rPr>
        <w:t>podmiot publiczny.</w:t>
      </w:r>
    </w:p>
    <w:bookmarkEnd w:id="41"/>
    <w:p w14:paraId="3E26CE71" w14:textId="77777777" w:rsidR="001468A6" w:rsidRPr="00571001" w:rsidRDefault="001468A6" w:rsidP="001468A6">
      <w:pPr>
        <w:pStyle w:val="Akapitzlist"/>
        <w:spacing w:line="276" w:lineRule="auto"/>
        <w:ind w:left="426"/>
        <w:rPr>
          <w:rFonts w:cstheme="minorHAnsi"/>
          <w:sz w:val="24"/>
          <w:szCs w:val="24"/>
        </w:rPr>
      </w:pPr>
    </w:p>
    <w:p w14:paraId="4AE0FB4C" w14:textId="142F5789" w:rsidR="00634629" w:rsidRDefault="00634629">
      <w:pPr>
        <w:pStyle w:val="Nagwek1"/>
        <w:numPr>
          <w:ilvl w:val="0"/>
          <w:numId w:val="1"/>
        </w:numPr>
        <w:spacing w:before="0" w:after="240"/>
        <w:ind w:left="426" w:hanging="426"/>
        <w:rPr>
          <w:rFonts w:asciiTheme="minorHAnsi" w:hAnsiTheme="minorHAnsi" w:cstheme="minorHAnsi"/>
          <w:b/>
          <w:color w:val="auto"/>
        </w:rPr>
      </w:pPr>
      <w:bookmarkStart w:id="42" w:name="_Toc224647140"/>
      <w:r w:rsidRPr="00571001">
        <w:rPr>
          <w:rFonts w:asciiTheme="minorHAnsi" w:hAnsiTheme="minorHAnsi" w:cstheme="minorHAnsi"/>
          <w:b/>
          <w:color w:val="auto"/>
        </w:rPr>
        <w:lastRenderedPageBreak/>
        <w:t>Typy przedsięwzięć</w:t>
      </w:r>
      <w:bookmarkEnd w:id="42"/>
    </w:p>
    <w:p w14:paraId="7BD431F2" w14:textId="4E635CE0" w:rsidR="001468A6" w:rsidRDefault="00F1519D">
      <w:pPr>
        <w:pStyle w:val="Akapitzlist"/>
        <w:numPr>
          <w:ilvl w:val="0"/>
          <w:numId w:val="3"/>
        </w:numPr>
        <w:spacing w:after="120" w:line="276" w:lineRule="auto"/>
        <w:ind w:left="425" w:hanging="425"/>
        <w:contextualSpacing w:val="0"/>
        <w:rPr>
          <w:sz w:val="24"/>
          <w:szCs w:val="24"/>
        </w:rPr>
      </w:pPr>
      <w:r w:rsidRPr="008A35EC">
        <w:rPr>
          <w:sz w:val="24"/>
          <w:szCs w:val="24"/>
        </w:rPr>
        <w:t xml:space="preserve">Kompleksowa modernizacja energetyczna </w:t>
      </w:r>
      <w:r w:rsidR="00AC154E">
        <w:rPr>
          <w:sz w:val="24"/>
          <w:szCs w:val="24"/>
        </w:rPr>
        <w:t>budynków</w:t>
      </w:r>
      <w:r w:rsidRPr="008A35EC">
        <w:rPr>
          <w:sz w:val="24"/>
          <w:szCs w:val="24"/>
        </w:rPr>
        <w:t xml:space="preserve"> użyteczności publicznej (wraz z</w:t>
      </w:r>
      <w:r w:rsidR="00C75B79">
        <w:rPr>
          <w:sz w:val="24"/>
          <w:szCs w:val="24"/>
        </w:rPr>
        <w:t> </w:t>
      </w:r>
      <w:r w:rsidRPr="008A35EC">
        <w:rPr>
          <w:sz w:val="24"/>
          <w:szCs w:val="24"/>
        </w:rPr>
        <w:t>audytem) wraz z instalacją urządzeń OZE oraz wymianą/modernizacją źródeł ciepła albo podłączeniem do sieci ciepłowniczej.</w:t>
      </w:r>
      <w:r w:rsidR="00B915E2" w:rsidRPr="008A35EC">
        <w:rPr>
          <w:sz w:val="24"/>
          <w:szCs w:val="24"/>
        </w:rPr>
        <w:t xml:space="preserve"> </w:t>
      </w:r>
    </w:p>
    <w:p w14:paraId="3F7E84A7" w14:textId="0DC47C69" w:rsidR="006414F7" w:rsidRPr="00E22DD0" w:rsidRDefault="006414F7">
      <w:pPr>
        <w:pStyle w:val="Akapitzlist"/>
        <w:numPr>
          <w:ilvl w:val="0"/>
          <w:numId w:val="3"/>
        </w:numPr>
        <w:spacing w:line="276" w:lineRule="auto"/>
        <w:ind w:left="426" w:hanging="426"/>
        <w:rPr>
          <w:sz w:val="24"/>
          <w:szCs w:val="24"/>
        </w:rPr>
      </w:pPr>
      <w:r>
        <w:rPr>
          <w:sz w:val="24"/>
          <w:szCs w:val="24"/>
        </w:rPr>
        <w:t>Kompleksowa modernizacja energetyczna wielorodzinnych budynków mieszkalnych, będąc</w:t>
      </w:r>
      <w:r w:rsidR="00C0681B">
        <w:rPr>
          <w:sz w:val="24"/>
          <w:szCs w:val="24"/>
        </w:rPr>
        <w:t>ych</w:t>
      </w:r>
      <w:r>
        <w:rPr>
          <w:sz w:val="24"/>
          <w:szCs w:val="24"/>
        </w:rPr>
        <w:t xml:space="preserve"> w zasobach gminnych (wraz z audytem) wraz z instalacją urządzeń OZE oraz wymianą/modernizacją źródeł ciepła albo podłączeniem do sieci ciepłownicze</w:t>
      </w:r>
      <w:bookmarkStart w:id="43" w:name="_Hlk150506912"/>
      <w:bookmarkStart w:id="44" w:name="_Hlk150506851"/>
      <w:r>
        <w:rPr>
          <w:sz w:val="24"/>
          <w:szCs w:val="24"/>
        </w:rPr>
        <w:t>j.</w:t>
      </w:r>
    </w:p>
    <w:bookmarkEnd w:id="43"/>
    <w:p w14:paraId="73B3D52E" w14:textId="0665FD0D" w:rsidR="006414F7" w:rsidRDefault="006414F7">
      <w:pPr>
        <w:pStyle w:val="Akapitzlist"/>
        <w:numPr>
          <w:ilvl w:val="0"/>
          <w:numId w:val="2"/>
        </w:numPr>
        <w:spacing w:after="120" w:line="276" w:lineRule="auto"/>
        <w:rPr>
          <w:sz w:val="24"/>
          <w:szCs w:val="24"/>
        </w:rPr>
      </w:pPr>
      <w:r w:rsidRPr="004958E0">
        <w:rPr>
          <w:sz w:val="24"/>
          <w:szCs w:val="24"/>
        </w:rPr>
        <w:t>z programu nie będą wspierane budynki należące do skarbu państwa oraz budynki wielorodzinne spółdzielni mieszkaniowych.</w:t>
      </w:r>
    </w:p>
    <w:p w14:paraId="43A8C4B2" w14:textId="77777777" w:rsidR="00E8474C" w:rsidRPr="004958E0" w:rsidRDefault="00E8474C" w:rsidP="004958E0">
      <w:pPr>
        <w:pStyle w:val="Akapitzlist"/>
        <w:spacing w:after="120" w:line="276" w:lineRule="auto"/>
        <w:rPr>
          <w:sz w:val="24"/>
          <w:szCs w:val="24"/>
        </w:rPr>
      </w:pPr>
    </w:p>
    <w:p w14:paraId="5380ADB1" w14:textId="41A5A302" w:rsidR="00126CAB" w:rsidRDefault="00126CAB">
      <w:pPr>
        <w:pStyle w:val="Nagwek1"/>
        <w:numPr>
          <w:ilvl w:val="0"/>
          <w:numId w:val="1"/>
        </w:numPr>
        <w:spacing w:before="0" w:after="240"/>
        <w:ind w:left="425" w:hanging="425"/>
        <w:rPr>
          <w:rFonts w:asciiTheme="minorHAnsi" w:hAnsiTheme="minorHAnsi" w:cstheme="minorHAnsi"/>
          <w:b/>
          <w:color w:val="auto"/>
        </w:rPr>
      </w:pPr>
      <w:bookmarkStart w:id="45" w:name="_Toc224647141"/>
      <w:bookmarkEnd w:id="44"/>
      <w:r w:rsidRPr="00571001">
        <w:rPr>
          <w:rFonts w:asciiTheme="minorHAnsi" w:hAnsiTheme="minorHAnsi" w:cstheme="minorHAnsi"/>
          <w:b/>
          <w:color w:val="auto"/>
        </w:rPr>
        <w:t>Szczegółowe warunki realizacji projektów</w:t>
      </w:r>
      <w:bookmarkEnd w:id="45"/>
    </w:p>
    <w:p w14:paraId="207BF78C" w14:textId="2B1FEA79" w:rsidR="00850C7A" w:rsidRPr="00697845" w:rsidRDefault="008105BA">
      <w:pPr>
        <w:pStyle w:val="Akapitzlist"/>
        <w:numPr>
          <w:ilvl w:val="0"/>
          <w:numId w:val="15"/>
        </w:numPr>
        <w:spacing w:after="120"/>
        <w:ind w:left="425" w:hanging="357"/>
        <w:contextualSpacing w:val="0"/>
        <w:rPr>
          <w:sz w:val="24"/>
          <w:szCs w:val="24"/>
        </w:rPr>
      </w:pPr>
      <w:r w:rsidRPr="00DE2C1E">
        <w:rPr>
          <w:sz w:val="24"/>
          <w:szCs w:val="24"/>
        </w:rPr>
        <w:t>W ramach niniejszego postępowania zostan</w:t>
      </w:r>
      <w:r w:rsidR="00085327">
        <w:rPr>
          <w:sz w:val="24"/>
          <w:szCs w:val="24"/>
        </w:rPr>
        <w:t>ą</w:t>
      </w:r>
      <w:r w:rsidRPr="00DE2C1E">
        <w:rPr>
          <w:sz w:val="24"/>
          <w:szCs w:val="24"/>
        </w:rPr>
        <w:t xml:space="preserve"> przeprowadzon</w:t>
      </w:r>
      <w:r w:rsidR="00085327">
        <w:rPr>
          <w:sz w:val="24"/>
          <w:szCs w:val="24"/>
        </w:rPr>
        <w:t>e</w:t>
      </w:r>
      <w:r w:rsidRPr="00DE2C1E">
        <w:rPr>
          <w:sz w:val="24"/>
          <w:szCs w:val="24"/>
        </w:rPr>
        <w:t xml:space="preserve"> </w:t>
      </w:r>
      <w:r w:rsidR="00085327">
        <w:rPr>
          <w:sz w:val="24"/>
          <w:szCs w:val="24"/>
        </w:rPr>
        <w:t>cztery</w:t>
      </w:r>
      <w:r w:rsidRPr="00DE2C1E">
        <w:rPr>
          <w:sz w:val="24"/>
          <w:szCs w:val="24"/>
        </w:rPr>
        <w:t xml:space="preserve"> wyodrębnion</w:t>
      </w:r>
      <w:r w:rsidR="00085327">
        <w:rPr>
          <w:sz w:val="24"/>
          <w:szCs w:val="24"/>
        </w:rPr>
        <w:t>e</w:t>
      </w:r>
      <w:r w:rsidRPr="00DE2C1E">
        <w:rPr>
          <w:sz w:val="24"/>
          <w:szCs w:val="24"/>
        </w:rPr>
        <w:t xml:space="preserve"> nabor</w:t>
      </w:r>
      <w:r w:rsidR="00085327">
        <w:rPr>
          <w:sz w:val="24"/>
          <w:szCs w:val="24"/>
        </w:rPr>
        <w:t>y</w:t>
      </w:r>
      <w:r w:rsidRPr="00DE2C1E">
        <w:rPr>
          <w:sz w:val="24"/>
          <w:szCs w:val="24"/>
        </w:rPr>
        <w:t>, każdy dla innego subregionu:</w:t>
      </w:r>
    </w:p>
    <w:p w14:paraId="57D9478E" w14:textId="11536137"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FEOP.02.01-IZ.00-00</w:t>
      </w:r>
      <w:r w:rsidR="00566023">
        <w:rPr>
          <w:b/>
          <w:bCs/>
          <w:sz w:val="24"/>
          <w:szCs w:val="24"/>
        </w:rPr>
        <w:t>1</w:t>
      </w:r>
      <w:r w:rsidRPr="0085198A">
        <w:rPr>
          <w:b/>
          <w:bCs/>
          <w:sz w:val="24"/>
          <w:szCs w:val="24"/>
        </w:rPr>
        <w:t>/2</w:t>
      </w:r>
      <w:r w:rsidR="00566023">
        <w:rPr>
          <w:b/>
          <w:bCs/>
          <w:sz w:val="24"/>
          <w:szCs w:val="24"/>
        </w:rPr>
        <w:t>6</w:t>
      </w:r>
      <w:r w:rsidRPr="0085198A">
        <w:rPr>
          <w:b/>
          <w:bCs/>
          <w:sz w:val="24"/>
          <w:szCs w:val="24"/>
        </w:rPr>
        <w:t xml:space="preserve"> dla Subregionu Brzeskiego,</w:t>
      </w:r>
    </w:p>
    <w:p w14:paraId="459AFF3B" w14:textId="5C95290C"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FEOP.02.01-IZ.00-00</w:t>
      </w:r>
      <w:r w:rsidR="00566023">
        <w:rPr>
          <w:b/>
          <w:bCs/>
          <w:sz w:val="24"/>
          <w:szCs w:val="24"/>
        </w:rPr>
        <w:t>2</w:t>
      </w:r>
      <w:r w:rsidRPr="0085198A">
        <w:rPr>
          <w:b/>
          <w:bCs/>
          <w:sz w:val="24"/>
          <w:szCs w:val="24"/>
        </w:rPr>
        <w:t>/2</w:t>
      </w:r>
      <w:r w:rsidR="00566023">
        <w:rPr>
          <w:b/>
          <w:bCs/>
          <w:sz w:val="24"/>
          <w:szCs w:val="24"/>
        </w:rPr>
        <w:t>6</w:t>
      </w:r>
      <w:r w:rsidRPr="0085198A">
        <w:rPr>
          <w:b/>
          <w:bCs/>
          <w:sz w:val="24"/>
          <w:szCs w:val="24"/>
        </w:rPr>
        <w:t xml:space="preserve"> dla Subregionu Kędzierzyńsko-Strzeleckiego,</w:t>
      </w:r>
    </w:p>
    <w:p w14:paraId="663E62CF" w14:textId="5E17A315"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FEOP.02.01-IZ.00-00</w:t>
      </w:r>
      <w:r w:rsidR="00566023">
        <w:rPr>
          <w:b/>
          <w:bCs/>
          <w:sz w:val="24"/>
          <w:szCs w:val="24"/>
        </w:rPr>
        <w:t>3</w:t>
      </w:r>
      <w:r w:rsidRPr="0085198A">
        <w:rPr>
          <w:b/>
          <w:bCs/>
          <w:sz w:val="24"/>
          <w:szCs w:val="24"/>
        </w:rPr>
        <w:t>/2</w:t>
      </w:r>
      <w:r w:rsidR="00566023">
        <w:rPr>
          <w:b/>
          <w:bCs/>
          <w:sz w:val="24"/>
          <w:szCs w:val="24"/>
        </w:rPr>
        <w:t>6</w:t>
      </w:r>
      <w:r w:rsidRPr="0085198A">
        <w:rPr>
          <w:b/>
          <w:bCs/>
          <w:sz w:val="24"/>
          <w:szCs w:val="24"/>
        </w:rPr>
        <w:t xml:space="preserve"> dla Subregionu Południowego,</w:t>
      </w:r>
    </w:p>
    <w:p w14:paraId="02617A04" w14:textId="5C7687CB"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w:t>
      </w:r>
      <w:r w:rsidR="00566023">
        <w:rPr>
          <w:b/>
          <w:bCs/>
          <w:sz w:val="24"/>
          <w:szCs w:val="24"/>
        </w:rPr>
        <w:t>04</w:t>
      </w:r>
      <w:r w:rsidRPr="0085198A">
        <w:rPr>
          <w:b/>
          <w:bCs/>
          <w:sz w:val="24"/>
          <w:szCs w:val="24"/>
        </w:rPr>
        <w:t>/2</w:t>
      </w:r>
      <w:r w:rsidR="00566023">
        <w:rPr>
          <w:b/>
          <w:bCs/>
          <w:sz w:val="24"/>
          <w:szCs w:val="24"/>
        </w:rPr>
        <w:t>6</w:t>
      </w:r>
      <w:r w:rsidRPr="0085198A">
        <w:rPr>
          <w:b/>
          <w:bCs/>
          <w:sz w:val="24"/>
          <w:szCs w:val="24"/>
        </w:rPr>
        <w:t xml:space="preserve"> dla Subregionu Północnego.</w:t>
      </w:r>
    </w:p>
    <w:p w14:paraId="703F7B1C" w14:textId="77777777" w:rsidR="0085198A" w:rsidRPr="008105BA" w:rsidRDefault="0085198A" w:rsidP="0085198A">
      <w:pPr>
        <w:pStyle w:val="Akapitzlist"/>
        <w:ind w:left="1440"/>
        <w:rPr>
          <w:b/>
          <w:bCs/>
          <w:sz w:val="24"/>
          <w:szCs w:val="24"/>
        </w:rPr>
      </w:pPr>
    </w:p>
    <w:p w14:paraId="3DA294D3" w14:textId="7EFE7DA0" w:rsidR="006A748F" w:rsidRDefault="006A748F" w:rsidP="0061489B">
      <w:pPr>
        <w:pStyle w:val="Akapitzlist"/>
        <w:spacing w:after="60" w:line="276" w:lineRule="auto"/>
        <w:ind w:left="425"/>
        <w:contextualSpacing w:val="0"/>
        <w:rPr>
          <w:rFonts w:cstheme="minorHAnsi"/>
          <w:sz w:val="24"/>
          <w:szCs w:val="24"/>
        </w:rPr>
      </w:pPr>
      <w:r>
        <w:t xml:space="preserve">Powyższe oznacza, </w:t>
      </w:r>
      <w:r>
        <w:rPr>
          <w:rFonts w:cstheme="minorHAnsi"/>
          <w:sz w:val="24"/>
          <w:szCs w:val="24"/>
        </w:rPr>
        <w:t>że</w:t>
      </w:r>
      <w:r>
        <w:rPr>
          <w:rFonts w:cstheme="minorHAnsi"/>
          <w:b/>
          <w:bCs/>
          <w:sz w:val="24"/>
          <w:szCs w:val="24"/>
        </w:rPr>
        <w:t xml:space="preserve"> wniosek o dofinansowanie projektu złożony w ramach naboru do</w:t>
      </w:r>
      <w:r w:rsidR="00162163">
        <w:rPr>
          <w:rFonts w:cstheme="minorHAnsi"/>
          <w:b/>
          <w:bCs/>
          <w:sz w:val="24"/>
          <w:szCs w:val="24"/>
        </w:rPr>
        <w:t> </w:t>
      </w:r>
      <w:r>
        <w:rPr>
          <w:rFonts w:cstheme="minorHAnsi"/>
          <w:b/>
          <w:bCs/>
          <w:sz w:val="24"/>
          <w:szCs w:val="24"/>
        </w:rPr>
        <w:t xml:space="preserve">danego subregionu może być realizowany wyłącznie na obszarze tego subregionu. </w:t>
      </w:r>
      <w:r w:rsidRPr="005B398E">
        <w:rPr>
          <w:rFonts w:cstheme="minorHAnsi"/>
          <w:sz w:val="24"/>
          <w:szCs w:val="24"/>
        </w:rPr>
        <w:t xml:space="preserve">Mapa </w:t>
      </w:r>
      <w:r>
        <w:rPr>
          <w:rFonts w:cstheme="minorHAnsi"/>
          <w:sz w:val="24"/>
          <w:szCs w:val="24"/>
        </w:rPr>
        <w:t>z podziałem subregionalnym w województwie opolskim</w:t>
      </w:r>
      <w:r w:rsidRPr="005B398E">
        <w:rPr>
          <w:rFonts w:cstheme="minorHAnsi"/>
          <w:sz w:val="24"/>
          <w:szCs w:val="24"/>
        </w:rPr>
        <w:t xml:space="preserve"> zamiesz</w:t>
      </w:r>
      <w:r w:rsidR="00654200">
        <w:rPr>
          <w:rFonts w:cstheme="minorHAnsi"/>
          <w:sz w:val="24"/>
          <w:szCs w:val="24"/>
        </w:rPr>
        <w:t>cz</w:t>
      </w:r>
      <w:r w:rsidRPr="005B398E">
        <w:rPr>
          <w:rFonts w:cstheme="minorHAnsi"/>
          <w:sz w:val="24"/>
          <w:szCs w:val="24"/>
        </w:rPr>
        <w:t>ona została w</w:t>
      </w:r>
      <w:r w:rsidR="00E4122B">
        <w:rPr>
          <w:rFonts w:cstheme="minorHAnsi"/>
          <w:sz w:val="24"/>
          <w:szCs w:val="24"/>
        </w:rPr>
        <w:t> </w:t>
      </w:r>
      <w:r w:rsidRPr="005B398E">
        <w:rPr>
          <w:rFonts w:cstheme="minorHAnsi"/>
          <w:sz w:val="24"/>
          <w:szCs w:val="24"/>
        </w:rPr>
        <w:t>ogłoszeniu</w:t>
      </w:r>
      <w:r>
        <w:rPr>
          <w:rFonts w:cstheme="minorHAnsi"/>
          <w:sz w:val="24"/>
          <w:szCs w:val="24"/>
        </w:rPr>
        <w:t xml:space="preserve"> o naborze na stronie </w:t>
      </w:r>
      <w:r w:rsidRPr="005B398E">
        <w:rPr>
          <w:rFonts w:cstheme="minorHAnsi"/>
          <w:sz w:val="24"/>
          <w:szCs w:val="24"/>
          <w:u w:val="single"/>
        </w:rPr>
        <w:t>funduszeue.opolskie.pl</w:t>
      </w:r>
      <w:r>
        <w:rPr>
          <w:rFonts w:cstheme="minorHAnsi"/>
          <w:sz w:val="24"/>
          <w:szCs w:val="24"/>
        </w:rPr>
        <w:t xml:space="preserve"> </w:t>
      </w:r>
      <w:r w:rsidRPr="005B398E">
        <w:rPr>
          <w:rFonts w:cstheme="minorHAnsi"/>
          <w:sz w:val="24"/>
          <w:szCs w:val="24"/>
        </w:rPr>
        <w:t xml:space="preserve">w pozycji </w:t>
      </w:r>
      <w:r w:rsidRPr="005B398E">
        <w:rPr>
          <w:rFonts w:cstheme="minorHAnsi"/>
          <w:i/>
          <w:iCs/>
          <w:sz w:val="24"/>
          <w:szCs w:val="24"/>
        </w:rPr>
        <w:t>Inne dokumenty obowiązujące w</w:t>
      </w:r>
      <w:r>
        <w:rPr>
          <w:rFonts w:cstheme="minorHAnsi"/>
          <w:i/>
          <w:iCs/>
          <w:sz w:val="24"/>
          <w:szCs w:val="24"/>
        </w:rPr>
        <w:t> </w:t>
      </w:r>
      <w:r w:rsidRPr="005B398E">
        <w:rPr>
          <w:rFonts w:cstheme="minorHAnsi"/>
          <w:i/>
          <w:iCs/>
          <w:sz w:val="24"/>
          <w:szCs w:val="24"/>
        </w:rPr>
        <w:t>naborze</w:t>
      </w:r>
      <w:r>
        <w:rPr>
          <w:rFonts w:cstheme="minorHAnsi"/>
          <w:sz w:val="24"/>
          <w:szCs w:val="24"/>
        </w:rPr>
        <w:t>.</w:t>
      </w:r>
    </w:p>
    <w:p w14:paraId="35555095" w14:textId="4B4636FD" w:rsidR="0013583B" w:rsidRDefault="0013583B">
      <w:pPr>
        <w:pStyle w:val="Akapitzlist"/>
        <w:numPr>
          <w:ilvl w:val="0"/>
          <w:numId w:val="15"/>
        </w:numPr>
        <w:spacing w:after="60"/>
        <w:ind w:left="425" w:hanging="357"/>
        <w:contextualSpacing w:val="0"/>
        <w:rPr>
          <w:sz w:val="24"/>
          <w:szCs w:val="24"/>
        </w:rPr>
      </w:pPr>
      <w:bookmarkStart w:id="46" w:name="_Hlk156294924"/>
      <w:r w:rsidRPr="0013583B">
        <w:rPr>
          <w:sz w:val="24"/>
          <w:szCs w:val="24"/>
        </w:rPr>
        <w:t xml:space="preserve">Wnioskodawca może złożyć w ramach </w:t>
      </w:r>
      <w:r>
        <w:rPr>
          <w:sz w:val="24"/>
          <w:szCs w:val="24"/>
        </w:rPr>
        <w:t xml:space="preserve">naboru </w:t>
      </w:r>
      <w:r w:rsidRPr="0013583B">
        <w:rPr>
          <w:sz w:val="24"/>
          <w:szCs w:val="24"/>
        </w:rPr>
        <w:t>tylko jeden wniosek o dofinansowanie</w:t>
      </w:r>
      <w:r w:rsidR="00F97B78">
        <w:rPr>
          <w:sz w:val="24"/>
          <w:szCs w:val="24"/>
        </w:rPr>
        <w:t xml:space="preserve"> dla</w:t>
      </w:r>
      <w:r w:rsidR="00162163">
        <w:rPr>
          <w:sz w:val="24"/>
          <w:szCs w:val="24"/>
        </w:rPr>
        <w:t> </w:t>
      </w:r>
      <w:r w:rsidR="00F97B78" w:rsidRPr="00F97B78">
        <w:rPr>
          <w:sz w:val="24"/>
          <w:szCs w:val="24"/>
        </w:rPr>
        <w:t>danego typu projektu</w:t>
      </w:r>
      <w:r w:rsidR="00F97B78">
        <w:rPr>
          <w:sz w:val="24"/>
          <w:szCs w:val="24"/>
        </w:rPr>
        <w:t>. Oznacza to, że łącznie wnioskodawca może złożyć dwa wnioski w</w:t>
      </w:r>
      <w:r w:rsidR="0061489B">
        <w:rPr>
          <w:sz w:val="24"/>
          <w:szCs w:val="24"/>
        </w:rPr>
        <w:t> </w:t>
      </w:r>
      <w:r w:rsidR="00F97B78">
        <w:rPr>
          <w:sz w:val="24"/>
          <w:szCs w:val="24"/>
        </w:rPr>
        <w:t>dwóch różnych typach projektu.</w:t>
      </w:r>
      <w:r w:rsidR="00F97B78" w:rsidRPr="00F97B78">
        <w:rPr>
          <w:sz w:val="24"/>
          <w:szCs w:val="24"/>
        </w:rPr>
        <w:t xml:space="preserve"> </w:t>
      </w:r>
      <w:r w:rsidRPr="0013583B">
        <w:rPr>
          <w:sz w:val="24"/>
          <w:szCs w:val="24"/>
        </w:rPr>
        <w:t>Równocześnie wnioskodawca nie może być partnerem w</w:t>
      </w:r>
      <w:r w:rsidR="0061489B">
        <w:rPr>
          <w:sz w:val="24"/>
          <w:szCs w:val="24"/>
        </w:rPr>
        <w:t> </w:t>
      </w:r>
      <w:r w:rsidRPr="0013583B">
        <w:rPr>
          <w:sz w:val="24"/>
          <w:szCs w:val="24"/>
        </w:rPr>
        <w:t xml:space="preserve">innym projekcie/innych projektach złożonym/złożonych w ramach danego </w:t>
      </w:r>
      <w:r>
        <w:rPr>
          <w:sz w:val="24"/>
          <w:szCs w:val="24"/>
        </w:rPr>
        <w:t>naboru i</w:t>
      </w:r>
      <w:r w:rsidR="0061489B">
        <w:rPr>
          <w:sz w:val="24"/>
          <w:szCs w:val="24"/>
        </w:rPr>
        <w:t> </w:t>
      </w:r>
      <w:r>
        <w:rPr>
          <w:sz w:val="24"/>
          <w:szCs w:val="24"/>
        </w:rPr>
        <w:t>typu projektu</w:t>
      </w:r>
      <w:r w:rsidRPr="0013583B">
        <w:rPr>
          <w:sz w:val="24"/>
          <w:szCs w:val="24"/>
        </w:rPr>
        <w:t>.</w:t>
      </w:r>
      <w:r w:rsidR="00F97B78">
        <w:rPr>
          <w:sz w:val="24"/>
          <w:szCs w:val="24"/>
        </w:rPr>
        <w:t xml:space="preserve"> </w:t>
      </w:r>
      <w:r w:rsidR="00F97B78" w:rsidRPr="00F97B78">
        <w:rPr>
          <w:sz w:val="24"/>
          <w:szCs w:val="24"/>
        </w:rPr>
        <w:t>Złożenie większej liczby wniosków będzie skutkowało odrzuceniem kolejnych wniosków złożonych przez wnioskodawcę w ramach danego typu projektu.</w:t>
      </w:r>
    </w:p>
    <w:p w14:paraId="0C1C6D47" w14:textId="3B9579C5" w:rsidR="00933EEA" w:rsidRDefault="00933EEA">
      <w:pPr>
        <w:pStyle w:val="Akapitzlist"/>
        <w:numPr>
          <w:ilvl w:val="0"/>
          <w:numId w:val="15"/>
        </w:numPr>
        <w:spacing w:after="60"/>
        <w:ind w:left="425" w:hanging="357"/>
        <w:contextualSpacing w:val="0"/>
        <w:rPr>
          <w:sz w:val="24"/>
          <w:szCs w:val="24"/>
        </w:rPr>
      </w:pPr>
      <w:r>
        <w:rPr>
          <w:sz w:val="24"/>
          <w:szCs w:val="24"/>
        </w:rPr>
        <w:t>W przypadku, gdy jeden obiekt pełni mieszane funkcje tj. zarówno publiczne jak i</w:t>
      </w:r>
      <w:r w:rsidR="00DD622E">
        <w:rPr>
          <w:sz w:val="24"/>
          <w:szCs w:val="24"/>
        </w:rPr>
        <w:t> </w:t>
      </w:r>
      <w:r>
        <w:rPr>
          <w:sz w:val="24"/>
          <w:szCs w:val="24"/>
        </w:rPr>
        <w:t xml:space="preserve">mieszkalne, wniosek należy złożyć do typu </w:t>
      </w:r>
      <w:r w:rsidR="007E0722">
        <w:rPr>
          <w:sz w:val="24"/>
          <w:szCs w:val="24"/>
        </w:rPr>
        <w:t xml:space="preserve">odpowiadającego </w:t>
      </w:r>
      <w:r w:rsidR="009328E5">
        <w:rPr>
          <w:sz w:val="24"/>
          <w:szCs w:val="24"/>
        </w:rPr>
        <w:t>dominującej funkcji budynku.</w:t>
      </w:r>
    </w:p>
    <w:p w14:paraId="7B8DB58D" w14:textId="7678CB5E" w:rsidR="001F0111" w:rsidRPr="00927D50" w:rsidRDefault="001F0111">
      <w:pPr>
        <w:pStyle w:val="Akapitzlist"/>
        <w:numPr>
          <w:ilvl w:val="0"/>
          <w:numId w:val="15"/>
        </w:numPr>
        <w:spacing w:after="120"/>
        <w:ind w:left="425" w:hanging="357"/>
        <w:contextualSpacing w:val="0"/>
        <w:rPr>
          <w:sz w:val="24"/>
          <w:szCs w:val="24"/>
        </w:rPr>
      </w:pPr>
      <w:r w:rsidRPr="00927D50">
        <w:rPr>
          <w:sz w:val="24"/>
          <w:szCs w:val="24"/>
        </w:rPr>
        <w:t xml:space="preserve">W przypadku występowania w </w:t>
      </w:r>
      <w:r w:rsidR="00085327" w:rsidRPr="00927D50">
        <w:rPr>
          <w:sz w:val="24"/>
          <w:szCs w:val="24"/>
        </w:rPr>
        <w:t>budynku</w:t>
      </w:r>
      <w:r w:rsidRPr="00927D50">
        <w:rPr>
          <w:sz w:val="24"/>
          <w:szCs w:val="24"/>
        </w:rPr>
        <w:t xml:space="preserve"> objętym projektem </w:t>
      </w:r>
      <w:r w:rsidR="007E0722">
        <w:rPr>
          <w:sz w:val="24"/>
          <w:szCs w:val="24"/>
        </w:rPr>
        <w:t xml:space="preserve">tzw. </w:t>
      </w:r>
      <w:r w:rsidRPr="00927D50">
        <w:rPr>
          <w:sz w:val="24"/>
          <w:szCs w:val="24"/>
        </w:rPr>
        <w:t xml:space="preserve">powierzchni </w:t>
      </w:r>
      <w:r w:rsidR="007E0722">
        <w:rPr>
          <w:sz w:val="24"/>
          <w:szCs w:val="24"/>
        </w:rPr>
        <w:t>komercyjnych</w:t>
      </w:r>
      <w:r w:rsidR="004958E0" w:rsidRPr="00927D50">
        <w:rPr>
          <w:sz w:val="24"/>
          <w:szCs w:val="24"/>
        </w:rPr>
        <w:t xml:space="preserve"> (np. punktów handlowo-usługowych)</w:t>
      </w:r>
      <w:r w:rsidRPr="00927D50">
        <w:rPr>
          <w:sz w:val="24"/>
          <w:szCs w:val="24"/>
        </w:rPr>
        <w:t xml:space="preserve">, wydatki dotyczące realizacji inwestycji na tych powierzchniach </w:t>
      </w:r>
      <w:r w:rsidR="004958E0" w:rsidRPr="00927D50">
        <w:rPr>
          <w:sz w:val="24"/>
          <w:szCs w:val="24"/>
        </w:rPr>
        <w:t xml:space="preserve">uznaje się za </w:t>
      </w:r>
      <w:r w:rsidRPr="00927D50">
        <w:rPr>
          <w:sz w:val="24"/>
          <w:szCs w:val="24"/>
        </w:rPr>
        <w:t xml:space="preserve"> niekwalifikowalne</w:t>
      </w:r>
      <w:r w:rsidR="0069253A">
        <w:rPr>
          <w:sz w:val="24"/>
          <w:szCs w:val="24"/>
        </w:rPr>
        <w:t xml:space="preserve">. W takim przypadku Wnioskodawca zobowiązany jest do zamieszczenia metodologii </w:t>
      </w:r>
      <w:r w:rsidR="00884D8B">
        <w:rPr>
          <w:sz w:val="24"/>
          <w:szCs w:val="24"/>
        </w:rPr>
        <w:t xml:space="preserve">przedstawiającej uznanie </w:t>
      </w:r>
      <w:r w:rsidR="00884D8B">
        <w:rPr>
          <w:sz w:val="24"/>
          <w:szCs w:val="24"/>
        </w:rPr>
        <w:lastRenderedPageBreak/>
        <w:t xml:space="preserve">wydatków niekwalifikowalnych, np. wg kosztorysów lub proporcji metrażu powierzchni w SWI. </w:t>
      </w:r>
    </w:p>
    <w:bookmarkEnd w:id="46"/>
    <w:p w14:paraId="13D9C838" w14:textId="38EB3D69" w:rsidR="008105BA" w:rsidRPr="006A748F" w:rsidRDefault="006A748F">
      <w:pPr>
        <w:pStyle w:val="Akapitzlist"/>
        <w:numPr>
          <w:ilvl w:val="0"/>
          <w:numId w:val="15"/>
        </w:numPr>
        <w:spacing w:after="60"/>
        <w:ind w:left="425" w:hanging="357"/>
        <w:contextualSpacing w:val="0"/>
        <w:rPr>
          <w:sz w:val="24"/>
          <w:szCs w:val="24"/>
        </w:rPr>
      </w:pPr>
      <w:r w:rsidRPr="006A748F">
        <w:rPr>
          <w:sz w:val="24"/>
          <w:szCs w:val="24"/>
        </w:rPr>
        <w:t>Wszelkie inwestycje powinny być zgodne z unijnymi standardami i przepisami w</w:t>
      </w:r>
      <w:r w:rsidR="00E4122B">
        <w:rPr>
          <w:sz w:val="24"/>
          <w:szCs w:val="24"/>
        </w:rPr>
        <w:t> </w:t>
      </w:r>
      <w:r w:rsidRPr="006A748F">
        <w:rPr>
          <w:sz w:val="24"/>
          <w:szCs w:val="24"/>
        </w:rPr>
        <w:t>zakresie ochrony środowiska.</w:t>
      </w:r>
    </w:p>
    <w:p w14:paraId="31A8CAC1" w14:textId="58C3BCEC" w:rsidR="00126CAB" w:rsidRDefault="006A748F">
      <w:pPr>
        <w:pStyle w:val="Akapitzlist"/>
        <w:numPr>
          <w:ilvl w:val="0"/>
          <w:numId w:val="15"/>
        </w:numPr>
        <w:spacing w:after="120" w:line="276" w:lineRule="auto"/>
        <w:ind w:left="425" w:hanging="357"/>
        <w:contextualSpacing w:val="0"/>
        <w:rPr>
          <w:sz w:val="24"/>
          <w:szCs w:val="24"/>
        </w:rPr>
      </w:pPr>
      <w:r w:rsidRPr="00172722">
        <w:rPr>
          <w:sz w:val="24"/>
          <w:szCs w:val="24"/>
        </w:rPr>
        <w:t>Realizowane przedsięwzięcia</w:t>
      </w:r>
      <w:r w:rsidR="00172722" w:rsidRPr="00172722">
        <w:rPr>
          <w:sz w:val="24"/>
          <w:szCs w:val="24"/>
        </w:rPr>
        <w:t xml:space="preserve"> muszą być zgodne z zasadą DNSH.</w:t>
      </w:r>
    </w:p>
    <w:p w14:paraId="46FDFFD6" w14:textId="4DF128A8" w:rsidR="006E1A05" w:rsidRPr="00DD622E" w:rsidRDefault="00410E98">
      <w:pPr>
        <w:pStyle w:val="Akapitzlist"/>
        <w:numPr>
          <w:ilvl w:val="0"/>
          <w:numId w:val="15"/>
        </w:numPr>
        <w:spacing w:after="60" w:line="276" w:lineRule="auto"/>
        <w:ind w:left="425" w:hanging="357"/>
        <w:contextualSpacing w:val="0"/>
        <w:rPr>
          <w:sz w:val="24"/>
          <w:szCs w:val="24"/>
        </w:rPr>
      </w:pPr>
      <w:r>
        <w:rPr>
          <w:sz w:val="24"/>
          <w:szCs w:val="24"/>
        </w:rPr>
        <w:t>W ramach typu 1, w</w:t>
      </w:r>
      <w:r w:rsidR="008F4134" w:rsidRPr="008F4134">
        <w:rPr>
          <w:sz w:val="24"/>
          <w:szCs w:val="24"/>
        </w:rPr>
        <w:t>sparcie wyłącznie dla przedsięwzięć dotyczących obiektów użyteczności publicznej, przy spełnieniu łącznie następujących warunków:</w:t>
      </w:r>
    </w:p>
    <w:p w14:paraId="5D5A417C" w14:textId="069DE6A8" w:rsidR="008F4134" w:rsidRPr="008F4134" w:rsidRDefault="008F4134">
      <w:pPr>
        <w:pStyle w:val="Akapitzlist"/>
        <w:numPr>
          <w:ilvl w:val="0"/>
          <w:numId w:val="22"/>
        </w:numPr>
        <w:spacing w:after="60" w:line="276" w:lineRule="auto"/>
        <w:ind w:left="709" w:hanging="357"/>
        <w:contextualSpacing w:val="0"/>
        <w:rPr>
          <w:sz w:val="24"/>
          <w:szCs w:val="24"/>
        </w:rPr>
      </w:pPr>
      <w:r w:rsidRPr="008F4134">
        <w:rPr>
          <w:sz w:val="24"/>
          <w:szCs w:val="24"/>
        </w:rPr>
        <w:t>przyjęcie przez region POP zgodnego z art. 23 dyrektywy 2008/50/WE oraz egzekwowanie zapisów uchwał antysmogowej i niewprowadzania do tych aktów zmian niekorzystnych z punktu widzenia ochrony powietrza, w szczególności zmian polegających na łagodzeniu ograniczeń i zakazów w zakresie eksploatacji instalacji lub odroczeniu terminu wejścia w życie tych ograniczeń i zakazów,</w:t>
      </w:r>
    </w:p>
    <w:p w14:paraId="53ADDC91" w14:textId="4423594C" w:rsidR="008F4134" w:rsidRDefault="008F4134">
      <w:pPr>
        <w:pStyle w:val="Akapitzlist"/>
        <w:numPr>
          <w:ilvl w:val="0"/>
          <w:numId w:val="22"/>
        </w:numPr>
        <w:spacing w:after="60" w:line="276" w:lineRule="auto"/>
        <w:ind w:left="709" w:hanging="357"/>
        <w:contextualSpacing w:val="0"/>
        <w:rPr>
          <w:sz w:val="24"/>
          <w:szCs w:val="24"/>
        </w:rPr>
      </w:pPr>
      <w:r w:rsidRPr="008F4134">
        <w:rPr>
          <w:sz w:val="24"/>
          <w:szCs w:val="24"/>
        </w:rPr>
        <w:t xml:space="preserve">wskaźnik dochodów podatkowych JST (wskaźnik </w:t>
      </w:r>
      <w:proofErr w:type="spellStart"/>
      <w:r w:rsidRPr="008F4134">
        <w:rPr>
          <w:sz w:val="24"/>
          <w:szCs w:val="24"/>
        </w:rPr>
        <w:t>Gg</w:t>
      </w:r>
      <w:proofErr w:type="spellEnd"/>
      <w:r w:rsidRPr="008F4134">
        <w:rPr>
          <w:sz w:val="24"/>
          <w:szCs w:val="24"/>
        </w:rPr>
        <w:t xml:space="preserve"> dla inwestycji realizowanych przez gminy, </w:t>
      </w:r>
      <w:proofErr w:type="spellStart"/>
      <w:r w:rsidRPr="008F4134">
        <w:rPr>
          <w:sz w:val="24"/>
          <w:szCs w:val="24"/>
        </w:rPr>
        <w:t>Pp</w:t>
      </w:r>
      <w:proofErr w:type="spellEnd"/>
      <w:r w:rsidRPr="008F4134">
        <w:rPr>
          <w:sz w:val="24"/>
          <w:szCs w:val="24"/>
        </w:rPr>
        <w:t xml:space="preserve"> dla inwestycji realizowanych przez powiaty), który powinien być niższy od średnich wartości na poziomie województwa</w:t>
      </w:r>
      <w:r w:rsidR="00C413D5">
        <w:rPr>
          <w:sz w:val="24"/>
          <w:szCs w:val="24"/>
        </w:rPr>
        <w:t xml:space="preserve"> (wskaźnik ten został określony w załączniku nr 10 do niniejszego Regulaminu)</w:t>
      </w:r>
      <w:r w:rsidRPr="008F4134">
        <w:rPr>
          <w:sz w:val="24"/>
          <w:szCs w:val="24"/>
        </w:rPr>
        <w:t>.</w:t>
      </w:r>
    </w:p>
    <w:p w14:paraId="1D1D1B20" w14:textId="66C76F76" w:rsidR="006A748F" w:rsidRDefault="006A748F" w:rsidP="00A3738D">
      <w:pPr>
        <w:autoSpaceDE w:val="0"/>
        <w:autoSpaceDN w:val="0"/>
        <w:adjustRightInd w:val="0"/>
        <w:spacing w:after="120" w:line="240" w:lineRule="auto"/>
        <w:ind w:left="425"/>
        <w:rPr>
          <w:rFonts w:ascii="Calibri" w:hAnsi="Calibri" w:cs="Calibri"/>
          <w:sz w:val="24"/>
          <w:szCs w:val="24"/>
        </w:rPr>
      </w:pPr>
      <w:r w:rsidRPr="006A748F">
        <w:rPr>
          <w:rFonts w:ascii="Calibri" w:hAnsi="Calibri" w:cs="Calibri"/>
          <w:sz w:val="24"/>
          <w:szCs w:val="24"/>
        </w:rPr>
        <w:t>Powyższe nie dotyczy budynków użyteczności publicznej wpisanych do rejestru zabytków lub</w:t>
      </w:r>
      <w:r w:rsidR="00D8634A">
        <w:rPr>
          <w:rFonts w:ascii="Calibri" w:hAnsi="Calibri" w:cs="Calibri"/>
          <w:sz w:val="24"/>
          <w:szCs w:val="24"/>
        </w:rPr>
        <w:t xml:space="preserve"> </w:t>
      </w:r>
      <w:r w:rsidRPr="006A748F">
        <w:rPr>
          <w:rFonts w:ascii="Calibri" w:hAnsi="Calibri" w:cs="Calibri"/>
          <w:sz w:val="24"/>
          <w:szCs w:val="24"/>
        </w:rPr>
        <w:t>podlegających ochronie konserwatorskiej</w:t>
      </w:r>
      <w:r w:rsidR="00A3738D">
        <w:rPr>
          <w:rStyle w:val="Odwoanieprzypisudolnego"/>
          <w:rFonts w:ascii="Calibri" w:hAnsi="Calibri" w:cs="Calibri"/>
          <w:sz w:val="24"/>
          <w:szCs w:val="24"/>
        </w:rPr>
        <w:footnoteReference w:id="1"/>
      </w:r>
      <w:r>
        <w:rPr>
          <w:rFonts w:ascii="Calibri" w:hAnsi="Calibri" w:cs="Calibri"/>
          <w:sz w:val="24"/>
          <w:szCs w:val="24"/>
        </w:rPr>
        <w:t>.</w:t>
      </w:r>
      <w:r w:rsidRPr="006A748F">
        <w:rPr>
          <w:rFonts w:ascii="Calibri" w:hAnsi="Calibri" w:cs="Calibri"/>
          <w:sz w:val="24"/>
          <w:szCs w:val="24"/>
        </w:rPr>
        <w:t xml:space="preserve"> </w:t>
      </w:r>
    </w:p>
    <w:p w14:paraId="7BFF9649" w14:textId="7A307CF8" w:rsidR="005F62B3" w:rsidRDefault="005F62B3">
      <w:pPr>
        <w:pStyle w:val="Akapitzlist"/>
        <w:numPr>
          <w:ilvl w:val="0"/>
          <w:numId w:val="15"/>
        </w:numPr>
        <w:spacing w:after="120" w:line="276" w:lineRule="auto"/>
        <w:ind w:left="425" w:hanging="357"/>
        <w:contextualSpacing w:val="0"/>
        <w:rPr>
          <w:sz w:val="24"/>
          <w:szCs w:val="24"/>
        </w:rPr>
      </w:pPr>
      <w:r w:rsidRPr="005F62B3">
        <w:rPr>
          <w:sz w:val="24"/>
          <w:szCs w:val="24"/>
        </w:rPr>
        <w:t>Warunkiem wstępnym przyznania wsparcia jest przeprowadzenie audytu energetycznego, który stanowi kompleksowy element projektu</w:t>
      </w:r>
      <w:r>
        <w:rPr>
          <w:sz w:val="24"/>
          <w:szCs w:val="24"/>
        </w:rPr>
        <w:t>.</w:t>
      </w:r>
    </w:p>
    <w:p w14:paraId="03DC35A9" w14:textId="0B057369" w:rsidR="005F62B3" w:rsidRPr="005F62B3" w:rsidRDefault="005F62B3">
      <w:pPr>
        <w:pStyle w:val="Akapitzlist"/>
        <w:numPr>
          <w:ilvl w:val="0"/>
          <w:numId w:val="15"/>
        </w:numPr>
        <w:spacing w:line="276" w:lineRule="auto"/>
        <w:ind w:left="426"/>
        <w:rPr>
          <w:sz w:val="24"/>
          <w:szCs w:val="24"/>
        </w:rPr>
      </w:pPr>
      <w:r w:rsidRPr="005F62B3">
        <w:rPr>
          <w:sz w:val="24"/>
          <w:szCs w:val="24"/>
        </w:rPr>
        <w:t>Maksymalna wysokość kosztów niewynikających z audytu energetycznego dla inwestycji z</w:t>
      </w:r>
      <w:r w:rsidR="00DD622E">
        <w:rPr>
          <w:sz w:val="24"/>
          <w:szCs w:val="24"/>
        </w:rPr>
        <w:t> </w:t>
      </w:r>
      <w:r w:rsidRPr="005F62B3">
        <w:rPr>
          <w:sz w:val="24"/>
          <w:szCs w:val="24"/>
        </w:rPr>
        <w:t>zakresu efektywności energetycznej stanowić może 15 % kosztów kwalifikowalnych – zgodnie z warunkami określonymi w Umowie Partnerstwa. Elementy niewynikające z audytów energetycznych mogą być realizowane, jeśli realizują:</w:t>
      </w:r>
    </w:p>
    <w:p w14:paraId="3203567C" w14:textId="11DB3128" w:rsidR="005F62B3" w:rsidRPr="005F62B3" w:rsidRDefault="005F62B3">
      <w:pPr>
        <w:pStyle w:val="Akapitzlist"/>
        <w:numPr>
          <w:ilvl w:val="0"/>
          <w:numId w:val="24"/>
        </w:numPr>
        <w:spacing w:line="276" w:lineRule="auto"/>
        <w:rPr>
          <w:sz w:val="24"/>
          <w:szCs w:val="24"/>
        </w:rPr>
      </w:pPr>
      <w:r w:rsidRPr="005F62B3">
        <w:rPr>
          <w:sz w:val="24"/>
          <w:szCs w:val="24"/>
        </w:rPr>
        <w:t>szersze cele Europejskiego Zielonego Ładu, w tym strategii na rzecz Fali renowacji, lub</w:t>
      </w:r>
    </w:p>
    <w:p w14:paraId="45198E77" w14:textId="6AE080E8" w:rsidR="005F62B3" w:rsidRPr="005F62B3" w:rsidRDefault="005F62B3">
      <w:pPr>
        <w:pStyle w:val="Akapitzlist"/>
        <w:numPr>
          <w:ilvl w:val="0"/>
          <w:numId w:val="24"/>
        </w:numPr>
        <w:spacing w:line="276" w:lineRule="auto"/>
        <w:rPr>
          <w:sz w:val="24"/>
          <w:szCs w:val="24"/>
        </w:rPr>
      </w:pPr>
      <w:r w:rsidRPr="005F62B3">
        <w:rPr>
          <w:sz w:val="24"/>
          <w:szCs w:val="24"/>
        </w:rPr>
        <w:t>rozwiązania przyczyniające się do powierzchni zielonych (zielone dachy, ściany), lub</w:t>
      </w:r>
    </w:p>
    <w:p w14:paraId="007B46A6" w14:textId="7D0480D3" w:rsidR="005F62B3" w:rsidRPr="005F62B3" w:rsidRDefault="005F62B3">
      <w:pPr>
        <w:pStyle w:val="Akapitzlist"/>
        <w:numPr>
          <w:ilvl w:val="0"/>
          <w:numId w:val="24"/>
        </w:numPr>
        <w:spacing w:line="276" w:lineRule="auto"/>
        <w:rPr>
          <w:sz w:val="24"/>
          <w:szCs w:val="24"/>
        </w:rPr>
      </w:pPr>
      <w:r w:rsidRPr="005F62B3">
        <w:rPr>
          <w:sz w:val="24"/>
          <w:szCs w:val="24"/>
        </w:rPr>
        <w:t xml:space="preserve">rozwój </w:t>
      </w:r>
      <w:proofErr w:type="spellStart"/>
      <w:r w:rsidRPr="005F62B3">
        <w:rPr>
          <w:sz w:val="24"/>
          <w:szCs w:val="24"/>
        </w:rPr>
        <w:t>elektromobilności</w:t>
      </w:r>
      <w:proofErr w:type="spellEnd"/>
      <w:r w:rsidRPr="005F62B3">
        <w:rPr>
          <w:sz w:val="24"/>
          <w:szCs w:val="24"/>
        </w:rPr>
        <w:t>, lub</w:t>
      </w:r>
    </w:p>
    <w:p w14:paraId="1451F280" w14:textId="176102A9" w:rsidR="005F62B3" w:rsidRPr="005F62B3" w:rsidRDefault="005F62B3">
      <w:pPr>
        <w:pStyle w:val="Akapitzlist"/>
        <w:numPr>
          <w:ilvl w:val="0"/>
          <w:numId w:val="24"/>
        </w:numPr>
        <w:spacing w:line="276" w:lineRule="auto"/>
        <w:rPr>
          <w:sz w:val="24"/>
          <w:szCs w:val="24"/>
        </w:rPr>
      </w:pPr>
      <w:r w:rsidRPr="005F62B3">
        <w:rPr>
          <w:sz w:val="24"/>
          <w:szCs w:val="24"/>
        </w:rPr>
        <w:t>rozwiązania na rzecz gospodarki o obiegu zamkniętym</w:t>
      </w:r>
      <w:r>
        <w:rPr>
          <w:sz w:val="24"/>
          <w:szCs w:val="24"/>
        </w:rPr>
        <w:t>,</w:t>
      </w:r>
      <w:r w:rsidRPr="005F62B3">
        <w:rPr>
          <w:sz w:val="24"/>
          <w:szCs w:val="24"/>
        </w:rPr>
        <w:t xml:space="preserve"> lub</w:t>
      </w:r>
    </w:p>
    <w:p w14:paraId="69734707" w14:textId="75105064" w:rsidR="005F62B3" w:rsidRDefault="005F62B3">
      <w:pPr>
        <w:pStyle w:val="Akapitzlist"/>
        <w:numPr>
          <w:ilvl w:val="0"/>
          <w:numId w:val="24"/>
        </w:numPr>
        <w:spacing w:after="120" w:line="276" w:lineRule="auto"/>
        <w:ind w:left="1434" w:hanging="357"/>
        <w:contextualSpacing w:val="0"/>
        <w:rPr>
          <w:sz w:val="24"/>
          <w:szCs w:val="24"/>
        </w:rPr>
      </w:pPr>
      <w:r w:rsidRPr="005F62B3">
        <w:rPr>
          <w:sz w:val="24"/>
          <w:szCs w:val="24"/>
        </w:rPr>
        <w:t xml:space="preserve">infrastrukturę związaną z dostępnością.  </w:t>
      </w:r>
    </w:p>
    <w:p w14:paraId="57991ADA" w14:textId="379A85ED" w:rsidR="008F4134" w:rsidRDefault="005F62B3">
      <w:pPr>
        <w:pStyle w:val="Akapitzlist"/>
        <w:numPr>
          <w:ilvl w:val="0"/>
          <w:numId w:val="15"/>
        </w:numPr>
        <w:spacing w:after="120" w:line="276" w:lineRule="auto"/>
        <w:ind w:left="425" w:hanging="357"/>
        <w:contextualSpacing w:val="0"/>
        <w:rPr>
          <w:sz w:val="24"/>
          <w:szCs w:val="24"/>
        </w:rPr>
      </w:pPr>
      <w:r w:rsidRPr="005F62B3">
        <w:rPr>
          <w:sz w:val="24"/>
          <w:szCs w:val="24"/>
        </w:rPr>
        <w:t>Dofinansowanie uzyskają projekty spełniające kryterium efektywności kosztowej w</w:t>
      </w:r>
      <w:r w:rsidR="0098073C">
        <w:rPr>
          <w:sz w:val="24"/>
          <w:szCs w:val="24"/>
        </w:rPr>
        <w:t> </w:t>
      </w:r>
      <w:r w:rsidRPr="005F62B3">
        <w:rPr>
          <w:sz w:val="24"/>
          <w:szCs w:val="24"/>
        </w:rPr>
        <w:t xml:space="preserve">powiązaniu z osiąganymi efektami w stosunku do planowanych nakładów finansowych, </w:t>
      </w:r>
      <w:r w:rsidRPr="005F62B3">
        <w:rPr>
          <w:sz w:val="24"/>
          <w:szCs w:val="24"/>
        </w:rPr>
        <w:lastRenderedPageBreak/>
        <w:t>przy czym priorytetowo traktowane będą inwestycje dotyczące budynków o znaczącej funkcji społecznej.</w:t>
      </w:r>
    </w:p>
    <w:p w14:paraId="23FE5183" w14:textId="2F3F72DF" w:rsidR="005F62B3" w:rsidRDefault="005F62B3">
      <w:pPr>
        <w:pStyle w:val="Akapitzlist"/>
        <w:numPr>
          <w:ilvl w:val="0"/>
          <w:numId w:val="15"/>
        </w:numPr>
        <w:spacing w:after="120" w:line="276" w:lineRule="auto"/>
        <w:ind w:left="425" w:hanging="357"/>
        <w:contextualSpacing w:val="0"/>
        <w:rPr>
          <w:sz w:val="24"/>
          <w:szCs w:val="24"/>
        </w:rPr>
      </w:pPr>
      <w:r w:rsidRPr="005F62B3">
        <w:rPr>
          <w:sz w:val="24"/>
          <w:szCs w:val="24"/>
        </w:rPr>
        <w:t>Preferencje uzyskają projekty, w efekcie których osiągnięta zostanie jak najwyższa oszczędność energii.</w:t>
      </w:r>
    </w:p>
    <w:p w14:paraId="54802F49" w14:textId="6A5F6E79" w:rsidR="00D8634A" w:rsidRDefault="005F62B3">
      <w:pPr>
        <w:pStyle w:val="Akapitzlist"/>
        <w:numPr>
          <w:ilvl w:val="0"/>
          <w:numId w:val="15"/>
        </w:numPr>
        <w:spacing w:after="60" w:line="276" w:lineRule="auto"/>
        <w:ind w:left="425" w:hanging="357"/>
        <w:contextualSpacing w:val="0"/>
        <w:rPr>
          <w:sz w:val="24"/>
          <w:szCs w:val="24"/>
        </w:rPr>
      </w:pPr>
      <w:r w:rsidRPr="005F62B3">
        <w:rPr>
          <w:sz w:val="24"/>
          <w:szCs w:val="24"/>
        </w:rPr>
        <w:t>Do dofinansowania kwalifikują się wyłącznie przedsięwzięcia zakładające oszczędność na</w:t>
      </w:r>
      <w:r w:rsidR="00162163">
        <w:rPr>
          <w:sz w:val="24"/>
          <w:szCs w:val="24"/>
        </w:rPr>
        <w:t> </w:t>
      </w:r>
      <w:r w:rsidRPr="005F62B3">
        <w:rPr>
          <w:sz w:val="24"/>
          <w:szCs w:val="24"/>
        </w:rPr>
        <w:t>poziomie minimum 30%.</w:t>
      </w:r>
      <w:r w:rsidR="00D8634A">
        <w:rPr>
          <w:sz w:val="24"/>
          <w:szCs w:val="24"/>
        </w:rPr>
        <w:t xml:space="preserve"> </w:t>
      </w:r>
    </w:p>
    <w:p w14:paraId="54DE2C16" w14:textId="304EA798" w:rsidR="005F62B3" w:rsidRPr="00D8634A" w:rsidRDefault="005F62B3" w:rsidP="00DD622E">
      <w:pPr>
        <w:pStyle w:val="Akapitzlist"/>
        <w:spacing w:after="120" w:line="276" w:lineRule="auto"/>
        <w:ind w:left="425"/>
        <w:contextualSpacing w:val="0"/>
        <w:rPr>
          <w:sz w:val="24"/>
          <w:szCs w:val="24"/>
        </w:rPr>
      </w:pPr>
      <w:r w:rsidRPr="00D8634A">
        <w:rPr>
          <w:sz w:val="24"/>
          <w:szCs w:val="24"/>
        </w:rPr>
        <w:t>Powyższe nie dotyczy budynków wpisanych do rejestru zabytków lub podlegających ochronie konserwatorskiej.</w:t>
      </w:r>
    </w:p>
    <w:p w14:paraId="42CC10BF" w14:textId="7091416B" w:rsidR="005F62B3" w:rsidRDefault="00410E98">
      <w:pPr>
        <w:pStyle w:val="Akapitzlist"/>
        <w:numPr>
          <w:ilvl w:val="0"/>
          <w:numId w:val="15"/>
        </w:numPr>
        <w:spacing w:after="120" w:line="276" w:lineRule="auto"/>
        <w:ind w:left="425"/>
        <w:contextualSpacing w:val="0"/>
        <w:rPr>
          <w:sz w:val="24"/>
          <w:szCs w:val="24"/>
        </w:rPr>
      </w:pPr>
      <w:r>
        <w:rPr>
          <w:sz w:val="24"/>
          <w:szCs w:val="24"/>
        </w:rPr>
        <w:t>Wspierane u</w:t>
      </w:r>
      <w:r w:rsidR="005F62B3" w:rsidRPr="005F62B3">
        <w:rPr>
          <w:sz w:val="24"/>
          <w:szCs w:val="24"/>
        </w:rPr>
        <w:t xml:space="preserve">rządzenia do ogrzewania muszą charakteryzować się obowiązującym od </w:t>
      </w:r>
      <w:r w:rsidR="005F62B3" w:rsidRPr="00D8634A">
        <w:rPr>
          <w:sz w:val="24"/>
          <w:szCs w:val="24"/>
        </w:rPr>
        <w:t xml:space="preserve">końca 2020 r. minimalnym poziomem efektywności energetycznej i normami emisji zanieczyszczeń, które </w:t>
      </w:r>
      <w:bookmarkStart w:id="47" w:name="_Hlk156295016"/>
      <w:r w:rsidRPr="00D8634A">
        <w:rPr>
          <w:sz w:val="24"/>
          <w:szCs w:val="24"/>
        </w:rPr>
        <w:t xml:space="preserve">zostały określone w środkach wykonawczych do dyrektywy 2009/125/WE z dnia 21 października 2009 r. ustanawiającej ogólne zasady ustalania wymogów dotyczących </w:t>
      </w:r>
      <w:proofErr w:type="spellStart"/>
      <w:r w:rsidRPr="00D8634A">
        <w:rPr>
          <w:sz w:val="24"/>
          <w:szCs w:val="24"/>
        </w:rPr>
        <w:t>ekoprojektu</w:t>
      </w:r>
      <w:proofErr w:type="spellEnd"/>
      <w:r w:rsidRPr="00D8634A">
        <w:rPr>
          <w:sz w:val="24"/>
          <w:szCs w:val="24"/>
        </w:rPr>
        <w:t xml:space="preserve"> dla produktów związanych z energią</w:t>
      </w:r>
      <w:bookmarkEnd w:id="47"/>
      <w:r w:rsidR="005F62B3" w:rsidRPr="00D8634A">
        <w:rPr>
          <w:sz w:val="24"/>
          <w:szCs w:val="24"/>
        </w:rPr>
        <w:t>.</w:t>
      </w:r>
    </w:p>
    <w:p w14:paraId="6EDF5FCF" w14:textId="6DEA3517" w:rsidR="005F62B3" w:rsidRDefault="005F62B3">
      <w:pPr>
        <w:pStyle w:val="Akapitzlist"/>
        <w:numPr>
          <w:ilvl w:val="0"/>
          <w:numId w:val="15"/>
        </w:numPr>
        <w:spacing w:after="120" w:line="276" w:lineRule="auto"/>
        <w:ind w:left="425"/>
        <w:contextualSpacing w:val="0"/>
        <w:rPr>
          <w:sz w:val="24"/>
          <w:szCs w:val="24"/>
        </w:rPr>
      </w:pPr>
      <w:r w:rsidRPr="005F62B3">
        <w:rPr>
          <w:sz w:val="24"/>
          <w:szCs w:val="24"/>
        </w:rPr>
        <w:t>Projekty powinny być uzasadnione ekonomicznie i społecznie oraz przeciwdziałać ubóstwu energetycznemu.</w:t>
      </w:r>
    </w:p>
    <w:p w14:paraId="5218B61B" w14:textId="77777777" w:rsidR="009E2338" w:rsidRDefault="005F62B3">
      <w:pPr>
        <w:pStyle w:val="Akapitzlist"/>
        <w:numPr>
          <w:ilvl w:val="0"/>
          <w:numId w:val="15"/>
        </w:numPr>
        <w:spacing w:after="120" w:line="276" w:lineRule="auto"/>
        <w:ind w:left="425"/>
        <w:contextualSpacing w:val="0"/>
        <w:rPr>
          <w:sz w:val="24"/>
          <w:szCs w:val="24"/>
        </w:rPr>
      </w:pPr>
      <w:r w:rsidRPr="00D8634A">
        <w:rPr>
          <w:sz w:val="24"/>
          <w:szCs w:val="24"/>
        </w:rPr>
        <w:t xml:space="preserve">Priorytetowo powinny być wspierane projekty wykorzystujące odnawialne źródła energii. </w:t>
      </w:r>
    </w:p>
    <w:p w14:paraId="67F8C442" w14:textId="3CA3D8B0" w:rsidR="009E2338" w:rsidRPr="00927D50" w:rsidRDefault="009E2338">
      <w:pPr>
        <w:pStyle w:val="Akapitzlist"/>
        <w:numPr>
          <w:ilvl w:val="0"/>
          <w:numId w:val="15"/>
        </w:numPr>
        <w:spacing w:after="120" w:line="276" w:lineRule="auto"/>
        <w:ind w:left="425"/>
        <w:contextualSpacing w:val="0"/>
        <w:rPr>
          <w:sz w:val="24"/>
          <w:szCs w:val="24"/>
        </w:rPr>
      </w:pPr>
      <w:r w:rsidRPr="00927D50">
        <w:rPr>
          <w:rFonts w:ascii="Calibri" w:hAnsi="Calibri" w:cs="Calibri"/>
          <w:iCs/>
          <w:sz w:val="24"/>
          <w:szCs w:val="24"/>
        </w:rPr>
        <w:t>W przypadku</w:t>
      </w:r>
      <w:r w:rsidR="007E0722">
        <w:rPr>
          <w:rFonts w:ascii="Calibri" w:hAnsi="Calibri" w:cs="Calibri"/>
          <w:iCs/>
          <w:sz w:val="24"/>
          <w:szCs w:val="24"/>
        </w:rPr>
        <w:t>,</w:t>
      </w:r>
      <w:r w:rsidRPr="00927D50">
        <w:rPr>
          <w:rFonts w:ascii="Calibri" w:hAnsi="Calibri" w:cs="Calibri"/>
          <w:iCs/>
          <w:sz w:val="24"/>
          <w:szCs w:val="24"/>
        </w:rPr>
        <w:t xml:space="preserve"> gdy w projekcie (nieobjętym pomocą publiczną) występują działania związane z instalacją OZE</w:t>
      </w:r>
      <w:r w:rsidR="007E0722">
        <w:rPr>
          <w:rFonts w:ascii="Calibri" w:hAnsi="Calibri" w:cs="Calibri"/>
          <w:iCs/>
          <w:sz w:val="24"/>
          <w:szCs w:val="24"/>
        </w:rPr>
        <w:t>,</w:t>
      </w:r>
      <w:r w:rsidRPr="00927D50">
        <w:rPr>
          <w:rFonts w:ascii="Calibri" w:hAnsi="Calibri" w:cs="Calibri"/>
          <w:iCs/>
          <w:sz w:val="24"/>
          <w:szCs w:val="24"/>
        </w:rPr>
        <w:t xml:space="preserve"> </w:t>
      </w:r>
      <w:r w:rsidR="008B2CAD">
        <w:rPr>
          <w:rFonts w:ascii="Calibri" w:hAnsi="Calibri" w:cs="Calibri"/>
          <w:iCs/>
          <w:sz w:val="24"/>
          <w:szCs w:val="24"/>
        </w:rPr>
        <w:t xml:space="preserve">jej rozmiar (zdolność wytwórcza) </w:t>
      </w:r>
      <w:r w:rsidR="00884D8B">
        <w:rPr>
          <w:rFonts w:ascii="Calibri" w:hAnsi="Calibri" w:cs="Calibri"/>
          <w:iCs/>
          <w:sz w:val="24"/>
          <w:szCs w:val="24"/>
        </w:rPr>
        <w:t xml:space="preserve">co do zasady </w:t>
      </w:r>
      <w:r w:rsidRPr="00927D50">
        <w:rPr>
          <w:rFonts w:ascii="Calibri" w:hAnsi="Calibri" w:cs="Calibri"/>
          <w:iCs/>
          <w:sz w:val="24"/>
          <w:szCs w:val="24"/>
        </w:rPr>
        <w:t>powin</w:t>
      </w:r>
      <w:r w:rsidR="008B2CAD">
        <w:rPr>
          <w:rFonts w:ascii="Calibri" w:hAnsi="Calibri" w:cs="Calibri"/>
          <w:iCs/>
          <w:sz w:val="24"/>
          <w:szCs w:val="24"/>
        </w:rPr>
        <w:t>ien</w:t>
      </w:r>
      <w:r w:rsidRPr="00927D50">
        <w:rPr>
          <w:rFonts w:ascii="Calibri" w:hAnsi="Calibri" w:cs="Calibri"/>
          <w:iCs/>
          <w:sz w:val="24"/>
          <w:szCs w:val="24"/>
        </w:rPr>
        <w:t xml:space="preserve"> </w:t>
      </w:r>
      <w:r w:rsidR="007E0722">
        <w:rPr>
          <w:rFonts w:ascii="Calibri" w:hAnsi="Calibri" w:cs="Calibri"/>
          <w:iCs/>
          <w:sz w:val="24"/>
          <w:szCs w:val="24"/>
        </w:rPr>
        <w:t xml:space="preserve">odpowiadać </w:t>
      </w:r>
      <w:r w:rsidR="008B2CAD">
        <w:rPr>
          <w:rFonts w:ascii="Calibri" w:hAnsi="Calibri" w:cs="Calibri"/>
          <w:iCs/>
          <w:sz w:val="24"/>
          <w:szCs w:val="24"/>
        </w:rPr>
        <w:t xml:space="preserve">realnemu </w:t>
      </w:r>
      <w:r w:rsidR="007E0722">
        <w:rPr>
          <w:rFonts w:ascii="Calibri" w:hAnsi="Calibri" w:cs="Calibri"/>
          <w:iCs/>
          <w:sz w:val="24"/>
          <w:szCs w:val="24"/>
        </w:rPr>
        <w:t>zapotrzebowaniu budynku</w:t>
      </w:r>
      <w:r w:rsidR="00884D8B">
        <w:rPr>
          <w:rFonts w:ascii="Calibri" w:hAnsi="Calibri" w:cs="Calibri"/>
          <w:iCs/>
          <w:sz w:val="24"/>
          <w:szCs w:val="24"/>
        </w:rPr>
        <w:t xml:space="preserve"> w celu </w:t>
      </w:r>
      <w:proofErr w:type="spellStart"/>
      <w:r w:rsidR="00884D8B">
        <w:rPr>
          <w:rFonts w:ascii="Calibri" w:hAnsi="Calibri" w:cs="Calibri"/>
          <w:iCs/>
          <w:sz w:val="24"/>
          <w:szCs w:val="24"/>
        </w:rPr>
        <w:t>autokonsumpcji</w:t>
      </w:r>
      <w:proofErr w:type="spellEnd"/>
      <w:r w:rsidR="007E0722">
        <w:rPr>
          <w:rFonts w:ascii="Calibri" w:hAnsi="Calibri" w:cs="Calibri"/>
          <w:iCs/>
          <w:sz w:val="24"/>
          <w:szCs w:val="24"/>
        </w:rPr>
        <w:t xml:space="preserve">. Natomiast ewentualna nadwyżka może </w:t>
      </w:r>
      <w:r w:rsidRPr="00927D50">
        <w:rPr>
          <w:rFonts w:ascii="Calibri" w:hAnsi="Calibri" w:cs="Calibri"/>
          <w:iCs/>
          <w:sz w:val="24"/>
          <w:szCs w:val="24"/>
        </w:rPr>
        <w:t>stanowić jedynie energię pomocniczą (która może wynosić maksymalnie 20% całkowitej produkcji) w</w:t>
      </w:r>
      <w:r w:rsidR="008B2CAD">
        <w:rPr>
          <w:rFonts w:ascii="Calibri" w:hAnsi="Calibri" w:cs="Calibri"/>
          <w:iCs/>
          <w:sz w:val="24"/>
          <w:szCs w:val="24"/>
        </w:rPr>
        <w:t> </w:t>
      </w:r>
      <w:r w:rsidRPr="00927D50">
        <w:rPr>
          <w:rFonts w:ascii="Calibri" w:hAnsi="Calibri" w:cs="Calibri"/>
          <w:iCs/>
          <w:sz w:val="24"/>
          <w:szCs w:val="24"/>
        </w:rPr>
        <w:t>stosunku do</w:t>
      </w:r>
      <w:r w:rsidR="00162163" w:rsidRPr="00927D50">
        <w:rPr>
          <w:rFonts w:ascii="Calibri" w:hAnsi="Calibri" w:cs="Calibri"/>
          <w:iCs/>
          <w:sz w:val="24"/>
          <w:szCs w:val="24"/>
        </w:rPr>
        <w:t> </w:t>
      </w:r>
      <w:r w:rsidRPr="00927D50">
        <w:rPr>
          <w:rFonts w:ascii="Calibri" w:hAnsi="Calibri" w:cs="Calibri"/>
          <w:iCs/>
          <w:sz w:val="24"/>
          <w:szCs w:val="24"/>
        </w:rPr>
        <w:t>podstawowego wykorzystania instalacji</w:t>
      </w:r>
      <w:r w:rsidR="004A45BB">
        <w:rPr>
          <w:rFonts w:ascii="Calibri" w:hAnsi="Calibri" w:cs="Calibri"/>
          <w:iCs/>
          <w:sz w:val="24"/>
          <w:szCs w:val="24"/>
        </w:rPr>
        <w:t>.</w:t>
      </w:r>
      <w:r w:rsidRPr="00927D50">
        <w:rPr>
          <w:rFonts w:ascii="Calibri" w:hAnsi="Calibri" w:cs="Calibri"/>
          <w:iCs/>
          <w:sz w:val="24"/>
          <w:szCs w:val="24"/>
        </w:rPr>
        <w:t xml:space="preserve"> Oddawanie energii elektrycznej do sieci w ilości przekraczającej limit 20%, traktowane jest jako działalność gospodarcza (w rozumieniu przepisów dot. pomocy publicznej zgodnie z art. 107 TFUE)</w:t>
      </w:r>
      <w:r w:rsidRPr="00927D50">
        <w:rPr>
          <w:rStyle w:val="Odwoanieprzypisudolnego"/>
          <w:rFonts w:ascii="Calibri" w:hAnsi="Calibri" w:cs="Calibri"/>
          <w:iCs/>
          <w:sz w:val="24"/>
          <w:szCs w:val="24"/>
        </w:rPr>
        <w:footnoteReference w:id="2"/>
      </w:r>
      <w:r w:rsidRPr="00927D50">
        <w:rPr>
          <w:rFonts w:ascii="Calibri" w:hAnsi="Calibri" w:cs="Calibri"/>
          <w:iCs/>
          <w:sz w:val="24"/>
          <w:szCs w:val="24"/>
        </w:rPr>
        <w:t>.</w:t>
      </w:r>
    </w:p>
    <w:p w14:paraId="6D7A952C" w14:textId="58869F4E" w:rsidR="00656724" w:rsidRPr="002D00E5" w:rsidRDefault="009E2338" w:rsidP="00A3738D">
      <w:pPr>
        <w:pStyle w:val="Akapitzlist"/>
        <w:spacing w:after="120" w:line="276" w:lineRule="auto"/>
        <w:ind w:left="425"/>
        <w:contextualSpacing w:val="0"/>
      </w:pPr>
      <w:r w:rsidRPr="00927D50">
        <w:rPr>
          <w:rFonts w:ascii="Calibri" w:hAnsi="Calibri" w:cs="Calibri"/>
          <w:iCs/>
          <w:sz w:val="24"/>
          <w:szCs w:val="24"/>
        </w:rPr>
        <w:t>W związku z powyższym w przypadku wykorzystania instalacji OZE na cele prowadzenia działalności gospodarczej o charakterze pomocniczym Beneficjent będzie zobowiązany do monitorowania wykorzystania instalacji OZE przez cały okres jej amortyzacji. Beneficjent, decydując się na finansowanie bez pomocy publicznej instalacji OZE do</w:t>
      </w:r>
      <w:r w:rsidR="00162163" w:rsidRPr="00927D50">
        <w:rPr>
          <w:rFonts w:ascii="Calibri" w:hAnsi="Calibri" w:cs="Calibri"/>
          <w:iCs/>
          <w:sz w:val="24"/>
          <w:szCs w:val="24"/>
        </w:rPr>
        <w:t> </w:t>
      </w:r>
      <w:r w:rsidRPr="00927D50">
        <w:rPr>
          <w:rFonts w:ascii="Calibri" w:hAnsi="Calibri" w:cs="Calibri"/>
          <w:iCs/>
          <w:sz w:val="24"/>
          <w:szCs w:val="24"/>
        </w:rPr>
        <w:t>produkcji energii elektrycznej, przyłączonej do sieci energetycznej, musi mieć świadomość obowiązku monitorowania produkcji i rozliczania energii w okresie amortyzacji instalacji (także poza okresem trwałości projektu), jak również konsekwencji wynikających z przekroczenia dopuszczalnego poziomu działalności pomocniczej w</w:t>
      </w:r>
      <w:r w:rsidR="00162163" w:rsidRPr="00927D50">
        <w:rPr>
          <w:rFonts w:ascii="Calibri" w:hAnsi="Calibri" w:cs="Calibri"/>
          <w:iCs/>
          <w:sz w:val="24"/>
          <w:szCs w:val="24"/>
        </w:rPr>
        <w:t> </w:t>
      </w:r>
      <w:r w:rsidRPr="00927D50">
        <w:rPr>
          <w:rFonts w:ascii="Calibri" w:hAnsi="Calibri" w:cs="Calibri"/>
          <w:iCs/>
          <w:sz w:val="24"/>
          <w:szCs w:val="24"/>
        </w:rPr>
        <w:t>postaci zwrotu odpowiedniej części dofinansowania (w tym – jeżeli będzie dotyczyć – z</w:t>
      </w:r>
      <w:r w:rsidR="00162163" w:rsidRPr="00927D50">
        <w:rPr>
          <w:rFonts w:ascii="Calibri" w:hAnsi="Calibri" w:cs="Calibri"/>
          <w:iCs/>
          <w:sz w:val="24"/>
          <w:szCs w:val="24"/>
        </w:rPr>
        <w:t> </w:t>
      </w:r>
      <w:r w:rsidRPr="00927D50">
        <w:rPr>
          <w:rFonts w:ascii="Calibri" w:hAnsi="Calibri" w:cs="Calibri"/>
          <w:iCs/>
          <w:sz w:val="24"/>
          <w:szCs w:val="24"/>
        </w:rPr>
        <w:t xml:space="preserve">tytułu przekroczenia % limitów innych wydatków, w związku z dostosowaniem budżetu projektu czy też zmianą kwalifikowalności podatku VAT), jeżeli nie będzie możliwa legalizacja pomocy publicznej </w:t>
      </w:r>
      <w:r w:rsidRPr="00927D50">
        <w:rPr>
          <w:rFonts w:ascii="Calibri" w:hAnsi="Calibri" w:cs="Calibri"/>
          <w:iCs/>
          <w:sz w:val="24"/>
          <w:szCs w:val="24"/>
        </w:rPr>
        <w:lastRenderedPageBreak/>
        <w:t xml:space="preserve">i/lub legalizacja pomocy de </w:t>
      </w:r>
      <w:proofErr w:type="spellStart"/>
      <w:r w:rsidRPr="00927D50">
        <w:rPr>
          <w:rFonts w:ascii="Calibri" w:hAnsi="Calibri" w:cs="Calibri"/>
          <w:iCs/>
          <w:sz w:val="24"/>
          <w:szCs w:val="24"/>
        </w:rPr>
        <w:t>minimis</w:t>
      </w:r>
      <w:proofErr w:type="spellEnd"/>
      <w:r w:rsidRPr="00927D50">
        <w:rPr>
          <w:rFonts w:ascii="Calibri" w:hAnsi="Calibri" w:cs="Calibri"/>
          <w:iCs/>
          <w:sz w:val="24"/>
          <w:szCs w:val="24"/>
        </w:rPr>
        <w:t>. Wprowadzenie do sieci energii powyżej poziomu 20% rocznej produkcji energii będzie wiązało się z proporcjonalnym zwrotem otrzymanego dofinansowania.</w:t>
      </w:r>
    </w:p>
    <w:p w14:paraId="1BBF15DA" w14:textId="14572030"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Wsparcie powinno być uwarunkowane wykonaniem inwestycji zwiększających efektywność energetyczną i ograniczających zapotrzebowanie na energię w budynkach, w</w:t>
      </w:r>
      <w:r w:rsidR="00DD622E">
        <w:rPr>
          <w:sz w:val="24"/>
          <w:szCs w:val="24"/>
        </w:rPr>
        <w:t> </w:t>
      </w:r>
      <w:r w:rsidRPr="00D8634A">
        <w:rPr>
          <w:sz w:val="24"/>
          <w:szCs w:val="24"/>
        </w:rPr>
        <w:t xml:space="preserve">których wykorzystywana jest energia ze wspieranych urządzeń. </w:t>
      </w:r>
    </w:p>
    <w:p w14:paraId="0CB610C2" w14:textId="702A719D"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Inwestycje w wymianę źródeł ciepła na źródła niskoemisyjne będą możliwe jedynie w</w:t>
      </w:r>
      <w:r w:rsidR="00DD622E">
        <w:rPr>
          <w:sz w:val="24"/>
          <w:szCs w:val="24"/>
        </w:rPr>
        <w:t> </w:t>
      </w:r>
      <w:r w:rsidRPr="00D8634A">
        <w:rPr>
          <w:sz w:val="24"/>
          <w:szCs w:val="24"/>
        </w:rPr>
        <w:t xml:space="preserve">przypadku, gdy podłączenie do sieci ciepłowniczej na danym obszarze nie będzie możliwe lub uzasadnione ekonomicznie. </w:t>
      </w:r>
      <w:r w:rsidR="00C0681B" w:rsidRPr="009B47EB">
        <w:rPr>
          <w:rFonts w:cs="Calibri"/>
          <w:sz w:val="24"/>
          <w:szCs w:val="24"/>
        </w:rPr>
        <w:t xml:space="preserve">Niedopuszczalna jest </w:t>
      </w:r>
      <w:r w:rsidR="00C0681B" w:rsidRPr="0086616A">
        <w:rPr>
          <w:rFonts w:cs="Calibri"/>
          <w:sz w:val="24"/>
          <w:szCs w:val="24"/>
        </w:rPr>
        <w:t>wymiana systemów ciepłowniczych zasilanych stałymi paliwami kopalnymi na systemy grzewcze zasilane gazem ziemnym ani wymiana pieców gazowych na nowsze.</w:t>
      </w:r>
    </w:p>
    <w:p w14:paraId="3A9A21F3" w14:textId="0D27C949" w:rsidR="0061489B" w:rsidRPr="00927D50" w:rsidRDefault="0061489B">
      <w:pPr>
        <w:pStyle w:val="Akapitzlist"/>
        <w:numPr>
          <w:ilvl w:val="0"/>
          <w:numId w:val="15"/>
        </w:numPr>
        <w:spacing w:after="120" w:line="276" w:lineRule="auto"/>
        <w:ind w:left="425"/>
        <w:contextualSpacing w:val="0"/>
        <w:rPr>
          <w:sz w:val="24"/>
          <w:szCs w:val="24"/>
        </w:rPr>
      </w:pPr>
      <w:r w:rsidRPr="00927D50">
        <w:rPr>
          <w:sz w:val="24"/>
          <w:szCs w:val="24"/>
        </w:rPr>
        <w:t>Z</w:t>
      </w:r>
      <w:r w:rsidR="00DC4DFA" w:rsidRPr="00927D50">
        <w:rPr>
          <w:sz w:val="24"/>
          <w:szCs w:val="24"/>
        </w:rPr>
        <w:t xml:space="preserve">godnie z definicją kryterium merytorycznego szczegółowego nr 4 pn. </w:t>
      </w:r>
      <w:r w:rsidR="00DC4DFA" w:rsidRPr="00927D50">
        <w:rPr>
          <w:i/>
          <w:iCs/>
          <w:sz w:val="24"/>
          <w:szCs w:val="24"/>
        </w:rPr>
        <w:t xml:space="preserve">Realizacja projektu w oparciu o audyt energetyczny, </w:t>
      </w:r>
      <w:r w:rsidRPr="00927D50">
        <w:rPr>
          <w:sz w:val="24"/>
          <w:szCs w:val="24"/>
        </w:rPr>
        <w:t>nie będzie możliwa realizacja projektów w trybie zaprojektuj i wybuduj na podstawie programu funkcjonalno-użytkowego.</w:t>
      </w:r>
    </w:p>
    <w:p w14:paraId="3FAD9DAC" w14:textId="18A6305D"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We wszystkich projektach, w których jest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w:t>
      </w:r>
      <w:r w:rsidR="00DD622E">
        <w:rPr>
          <w:sz w:val="24"/>
          <w:szCs w:val="24"/>
        </w:rPr>
        <w:t> </w:t>
      </w:r>
      <w:r w:rsidRPr="00D8634A">
        <w:rPr>
          <w:sz w:val="24"/>
          <w:szCs w:val="24"/>
        </w:rPr>
        <w:t>łagodzeniu jej skutków (w szczególności zielona i niebieska infrastruktura, efektywne wykorzystanie zasobów wodnych).</w:t>
      </w:r>
    </w:p>
    <w:p w14:paraId="028695FF" w14:textId="286CC31E"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 xml:space="preserve">Wykluczeniu ze wsparcia podlegają inwestycje infrastrukturalne w placówki świadczące całodobową opiekę długoterminową w instytucjonalnych formach </w:t>
      </w:r>
      <w:bookmarkStart w:id="48" w:name="_Hlk156295054"/>
      <w:r w:rsidR="00C64B98" w:rsidRPr="00D8634A">
        <w:rPr>
          <w:sz w:val="24"/>
          <w:szCs w:val="24"/>
        </w:rPr>
        <w:t>(w tym zakłady opiekuńczo-lecznicze oraz zakłady pielęgnacyjno-opiekuńcze, domy pomocy społecznej)</w:t>
      </w:r>
      <w:bookmarkEnd w:id="48"/>
      <w:r w:rsidRPr="00D8634A">
        <w:rPr>
          <w:sz w:val="24"/>
          <w:szCs w:val="24"/>
        </w:rPr>
        <w:t>.</w:t>
      </w:r>
    </w:p>
    <w:p w14:paraId="00350832" w14:textId="6BFE0E9E"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Preferencje uzyskają projekty, które będą funkcjonowały w formule ESCO oraz Partnerstwa Publiczno-Prywatnego</w:t>
      </w:r>
      <w:r w:rsidR="0098073C">
        <w:rPr>
          <w:rStyle w:val="Odwoanieprzypisudolnego"/>
          <w:sz w:val="24"/>
          <w:szCs w:val="24"/>
        </w:rPr>
        <w:footnoteReference w:id="3"/>
      </w:r>
      <w:r w:rsidRPr="00D8634A">
        <w:rPr>
          <w:sz w:val="24"/>
          <w:szCs w:val="24"/>
        </w:rPr>
        <w:t>.</w:t>
      </w:r>
    </w:p>
    <w:p w14:paraId="20855849" w14:textId="30A95988" w:rsidR="005F62B3" w:rsidRPr="00D8634A" w:rsidRDefault="009328E5">
      <w:pPr>
        <w:pStyle w:val="Akapitzlist"/>
        <w:numPr>
          <w:ilvl w:val="0"/>
          <w:numId w:val="15"/>
        </w:numPr>
        <w:spacing w:line="276" w:lineRule="auto"/>
        <w:ind w:left="426"/>
        <w:rPr>
          <w:sz w:val="24"/>
          <w:szCs w:val="24"/>
        </w:rPr>
      </w:pPr>
      <w:r w:rsidRPr="00D8634A">
        <w:rPr>
          <w:sz w:val="24"/>
          <w:szCs w:val="24"/>
        </w:rPr>
        <w:t xml:space="preserve">W przypadku zastosowania formuły Partnerstwa Publiczno-Prywatnego </w:t>
      </w:r>
      <w:bookmarkStart w:id="49" w:name="_Hlk158360339"/>
      <w:r w:rsidRPr="00D8634A">
        <w:rPr>
          <w:sz w:val="24"/>
          <w:szCs w:val="24"/>
        </w:rPr>
        <w:t>d</w:t>
      </w:r>
      <w:r w:rsidR="005F62B3" w:rsidRPr="00D8634A">
        <w:rPr>
          <w:sz w:val="24"/>
          <w:szCs w:val="24"/>
        </w:rPr>
        <w:t>opuszcza się</w:t>
      </w:r>
      <w:r w:rsidRPr="00D8634A">
        <w:rPr>
          <w:sz w:val="24"/>
          <w:szCs w:val="24"/>
        </w:rPr>
        <w:t xml:space="preserve">, aby koszt przygotowania analizy stanowił </w:t>
      </w:r>
      <w:r w:rsidR="005F62B3" w:rsidRPr="00D8634A">
        <w:rPr>
          <w:sz w:val="24"/>
          <w:szCs w:val="24"/>
        </w:rPr>
        <w:t>wydatek kwalifikowaln</w:t>
      </w:r>
      <w:r w:rsidRPr="00D8634A">
        <w:rPr>
          <w:sz w:val="24"/>
          <w:szCs w:val="24"/>
        </w:rPr>
        <w:t>y</w:t>
      </w:r>
      <w:r w:rsidR="005F62B3" w:rsidRPr="00D8634A">
        <w:rPr>
          <w:sz w:val="24"/>
          <w:szCs w:val="24"/>
        </w:rPr>
        <w:t>.</w:t>
      </w:r>
    </w:p>
    <w:p w14:paraId="3F6DFFED" w14:textId="40B05462" w:rsidR="00773A53" w:rsidRDefault="001574CC">
      <w:pPr>
        <w:pStyle w:val="Nagwek1"/>
        <w:numPr>
          <w:ilvl w:val="0"/>
          <w:numId w:val="1"/>
        </w:numPr>
        <w:spacing w:after="240"/>
        <w:ind w:left="425" w:hanging="425"/>
        <w:rPr>
          <w:rFonts w:asciiTheme="minorHAnsi" w:eastAsiaTheme="minorHAnsi" w:hAnsiTheme="minorHAnsi" w:cstheme="minorHAnsi"/>
          <w:b/>
          <w:bCs/>
          <w:color w:val="auto"/>
        </w:rPr>
      </w:pPr>
      <w:bookmarkStart w:id="50" w:name="_Toc224647142"/>
      <w:bookmarkEnd w:id="49"/>
      <w:r w:rsidRPr="00AB79A0">
        <w:rPr>
          <w:rFonts w:asciiTheme="minorHAnsi" w:eastAsiaTheme="minorHAnsi" w:hAnsiTheme="minorHAnsi" w:cstheme="minorHAnsi"/>
          <w:b/>
          <w:bCs/>
          <w:color w:val="auto"/>
        </w:rPr>
        <w:t>Kwota przeznaczona na dofinansowanie projektów</w:t>
      </w:r>
      <w:bookmarkEnd w:id="50"/>
    </w:p>
    <w:p w14:paraId="7B757303" w14:textId="32277446" w:rsidR="006B6952" w:rsidRDefault="001574CC" w:rsidP="00A3738D">
      <w:pPr>
        <w:spacing w:line="276" w:lineRule="auto"/>
        <w:rPr>
          <w:rFonts w:cstheme="minorHAnsi"/>
          <w:b/>
          <w:sz w:val="24"/>
          <w:szCs w:val="24"/>
        </w:rPr>
      </w:pPr>
      <w:r w:rsidRPr="00676940">
        <w:rPr>
          <w:rFonts w:cstheme="minorHAnsi"/>
          <w:sz w:val="24"/>
          <w:szCs w:val="24"/>
        </w:rPr>
        <w:t xml:space="preserve">Kwota </w:t>
      </w:r>
      <w:r w:rsidR="00F4654C">
        <w:rPr>
          <w:rFonts w:cstheme="minorHAnsi"/>
          <w:sz w:val="24"/>
          <w:szCs w:val="24"/>
        </w:rPr>
        <w:t>przeznaczona na dofinansowanie projektów</w:t>
      </w:r>
      <w:r w:rsidRPr="00676940">
        <w:rPr>
          <w:rFonts w:cstheme="minorHAnsi"/>
          <w:sz w:val="24"/>
          <w:szCs w:val="24"/>
        </w:rPr>
        <w:t xml:space="preserve"> w ramach działania </w:t>
      </w:r>
      <w:r w:rsidR="005B2EBF">
        <w:rPr>
          <w:rFonts w:cstheme="minorHAnsi"/>
          <w:sz w:val="24"/>
          <w:szCs w:val="24"/>
        </w:rPr>
        <w:t>2</w:t>
      </w:r>
      <w:r w:rsidRPr="00676940">
        <w:rPr>
          <w:rFonts w:cstheme="minorHAnsi"/>
          <w:sz w:val="24"/>
          <w:szCs w:val="24"/>
        </w:rPr>
        <w:t xml:space="preserve">.1 </w:t>
      </w:r>
      <w:r w:rsidR="005B2EBF" w:rsidRPr="00984211">
        <w:rPr>
          <w:rFonts w:cstheme="minorHAnsi"/>
          <w:i/>
          <w:iCs/>
          <w:sz w:val="24"/>
          <w:szCs w:val="24"/>
        </w:rPr>
        <w:t xml:space="preserve">Poprawa efektywności energetycznej w województwie opolskim </w:t>
      </w:r>
      <w:r w:rsidR="00984211">
        <w:rPr>
          <w:rFonts w:cstheme="minorHAnsi"/>
          <w:sz w:val="24"/>
          <w:szCs w:val="24"/>
        </w:rPr>
        <w:t>(</w:t>
      </w:r>
      <w:r w:rsidR="008105BA">
        <w:rPr>
          <w:rFonts w:cstheme="minorHAnsi"/>
          <w:sz w:val="24"/>
          <w:szCs w:val="24"/>
        </w:rPr>
        <w:t>k</w:t>
      </w:r>
      <w:r w:rsidR="008105BA" w:rsidRPr="008105BA">
        <w:rPr>
          <w:rFonts w:cstheme="minorHAnsi"/>
          <w:sz w:val="24"/>
          <w:szCs w:val="24"/>
        </w:rPr>
        <w:t xml:space="preserve">ompleksowa modernizacja energetyczna </w:t>
      </w:r>
      <w:r w:rsidR="00F5331F">
        <w:rPr>
          <w:rFonts w:cstheme="minorHAnsi"/>
          <w:sz w:val="24"/>
          <w:szCs w:val="24"/>
        </w:rPr>
        <w:t>budynków</w:t>
      </w:r>
      <w:r w:rsidR="008105BA" w:rsidRPr="008105BA">
        <w:rPr>
          <w:rFonts w:cstheme="minorHAnsi"/>
          <w:sz w:val="24"/>
          <w:szCs w:val="24"/>
        </w:rPr>
        <w:t xml:space="preserve"> użyteczności publicznej (wraz z audytem) wraz z instalacją urządzeń OZE oraz wymianą/modernizacją źródeł ciepła albo podłączeniem do sieci ciepłowniczej</w:t>
      </w:r>
      <w:r w:rsidR="001472BF">
        <w:rPr>
          <w:rFonts w:cstheme="minorHAnsi"/>
          <w:sz w:val="24"/>
          <w:szCs w:val="24"/>
        </w:rPr>
        <w:t xml:space="preserve"> oraz k</w:t>
      </w:r>
      <w:r w:rsidR="001472BF" w:rsidRPr="001472BF">
        <w:rPr>
          <w:rFonts w:cstheme="minorHAnsi"/>
          <w:sz w:val="24"/>
          <w:szCs w:val="24"/>
        </w:rPr>
        <w:t>ompleksowa modernizacja energetyczna wielorodzinnych budynków mieszkalnych, będąc</w:t>
      </w:r>
      <w:r w:rsidR="00C0681B">
        <w:rPr>
          <w:rFonts w:cstheme="minorHAnsi"/>
          <w:sz w:val="24"/>
          <w:szCs w:val="24"/>
        </w:rPr>
        <w:t>ych</w:t>
      </w:r>
      <w:r w:rsidR="001472BF" w:rsidRPr="001472BF">
        <w:rPr>
          <w:rFonts w:cstheme="minorHAnsi"/>
          <w:sz w:val="24"/>
          <w:szCs w:val="24"/>
        </w:rPr>
        <w:t xml:space="preserve"> w zasobach gminnych (wraz z</w:t>
      </w:r>
      <w:r w:rsidR="00DD622E">
        <w:rPr>
          <w:rFonts w:cstheme="minorHAnsi"/>
          <w:sz w:val="24"/>
          <w:szCs w:val="24"/>
        </w:rPr>
        <w:t> </w:t>
      </w:r>
      <w:r w:rsidR="001472BF" w:rsidRPr="001472BF">
        <w:rPr>
          <w:rFonts w:cstheme="minorHAnsi"/>
          <w:sz w:val="24"/>
          <w:szCs w:val="24"/>
        </w:rPr>
        <w:t>audytem) wraz z instalacją urządzeń OZE oraz wymianą/modernizacją źródeł ciepła albo podłączeniem do sieci ciepłowniczej</w:t>
      </w:r>
      <w:r w:rsidR="001472BF">
        <w:rPr>
          <w:rFonts w:cstheme="minorHAnsi"/>
          <w:sz w:val="24"/>
          <w:szCs w:val="24"/>
        </w:rPr>
        <w:t xml:space="preserve">) </w:t>
      </w:r>
      <w:r w:rsidRPr="00676940">
        <w:rPr>
          <w:rFonts w:cstheme="minorHAnsi"/>
          <w:sz w:val="24"/>
          <w:szCs w:val="24"/>
        </w:rPr>
        <w:t>FEO 2021-</w:t>
      </w:r>
      <w:r w:rsidRPr="00676940">
        <w:rPr>
          <w:rFonts w:cstheme="minorHAnsi"/>
          <w:sz w:val="24"/>
          <w:szCs w:val="24"/>
        </w:rPr>
        <w:lastRenderedPageBreak/>
        <w:t>2027</w:t>
      </w:r>
      <w:r w:rsidR="006B6952" w:rsidRPr="00676940">
        <w:rPr>
          <w:rFonts w:cstheme="minorHAnsi"/>
          <w:sz w:val="24"/>
          <w:szCs w:val="24"/>
        </w:rPr>
        <w:t>wynosi</w:t>
      </w:r>
      <w:r w:rsidR="006B6952" w:rsidRPr="00CC260F">
        <w:rPr>
          <w:rFonts w:cstheme="minorHAnsi"/>
          <w:sz w:val="24"/>
          <w:szCs w:val="24"/>
        </w:rPr>
        <w:t xml:space="preserve">: </w:t>
      </w:r>
      <w:r w:rsidR="006124F3">
        <w:rPr>
          <w:rFonts w:cstheme="minorHAnsi"/>
          <w:b/>
          <w:sz w:val="24"/>
          <w:szCs w:val="24"/>
        </w:rPr>
        <w:t>56</w:t>
      </w:r>
      <w:r w:rsidR="00CC260F" w:rsidRPr="00CC260F">
        <w:rPr>
          <w:rFonts w:cstheme="minorHAnsi"/>
          <w:b/>
          <w:sz w:val="24"/>
          <w:szCs w:val="24"/>
        </w:rPr>
        <w:t xml:space="preserve"> </w:t>
      </w:r>
      <w:r w:rsidR="006124F3">
        <w:rPr>
          <w:rFonts w:cstheme="minorHAnsi"/>
          <w:b/>
          <w:sz w:val="24"/>
          <w:szCs w:val="24"/>
        </w:rPr>
        <w:t>8</w:t>
      </w:r>
      <w:r w:rsidR="00CC260F" w:rsidRPr="00CC260F">
        <w:rPr>
          <w:rFonts w:cstheme="minorHAnsi"/>
          <w:b/>
          <w:sz w:val="24"/>
          <w:szCs w:val="24"/>
        </w:rPr>
        <w:t xml:space="preserve">00 000 PLN </w:t>
      </w:r>
      <w:r w:rsidR="006B6952" w:rsidRPr="00676940">
        <w:rPr>
          <w:rFonts w:cstheme="minorHAnsi"/>
          <w:b/>
          <w:sz w:val="24"/>
          <w:szCs w:val="24"/>
        </w:rPr>
        <w:t>pochodzące z Europejskiego Funduszu Rozwoju Regionalnego</w:t>
      </w:r>
      <w:r w:rsidR="008C3AF4">
        <w:rPr>
          <w:rFonts w:cstheme="minorHAnsi"/>
          <w:b/>
          <w:sz w:val="24"/>
          <w:szCs w:val="24"/>
        </w:rPr>
        <w:t>, w tym:</w:t>
      </w:r>
    </w:p>
    <w:p w14:paraId="5BF160F8" w14:textId="4BA4F7E1" w:rsidR="00CC260F" w:rsidRPr="00A3738D" w:rsidRDefault="00CC260F" w:rsidP="00A3738D">
      <w:pPr>
        <w:pStyle w:val="Akapitzlist"/>
        <w:numPr>
          <w:ilvl w:val="0"/>
          <w:numId w:val="32"/>
        </w:numPr>
        <w:spacing w:before="120" w:after="0" w:line="276" w:lineRule="auto"/>
        <w:rPr>
          <w:rFonts w:ascii="Calibri" w:eastAsia="Calibri" w:hAnsi="Calibri" w:cs="Calibri"/>
          <w:b/>
          <w:bCs/>
          <w:sz w:val="24"/>
          <w:szCs w:val="24"/>
          <w14:ligatures w14:val="standardContextual"/>
        </w:rPr>
      </w:pPr>
      <w:r w:rsidRPr="00A3738D">
        <w:rPr>
          <w:rFonts w:ascii="Calibri" w:eastAsia="Calibri" w:hAnsi="Calibri" w:cs="Calibri"/>
          <w:sz w:val="24"/>
          <w:szCs w:val="24"/>
          <w14:ligatures w14:val="standardContextual"/>
        </w:rPr>
        <w:t xml:space="preserve">Subregion Brzeski: </w:t>
      </w:r>
      <w:r w:rsidR="006124F3" w:rsidRPr="00A3738D">
        <w:rPr>
          <w:rFonts w:ascii="Calibri" w:eastAsia="Calibri" w:hAnsi="Calibri" w:cs="Calibri"/>
          <w:b/>
          <w:bCs/>
          <w:sz w:val="24"/>
          <w:szCs w:val="24"/>
          <w14:ligatures w14:val="standardContextual"/>
        </w:rPr>
        <w:t>7</w:t>
      </w:r>
      <w:r w:rsidRPr="00A3738D">
        <w:rPr>
          <w:rFonts w:ascii="Calibri" w:eastAsia="Calibri" w:hAnsi="Calibri" w:cs="Calibri"/>
          <w:b/>
          <w:bCs/>
          <w:sz w:val="24"/>
          <w:szCs w:val="24"/>
          <w14:ligatures w14:val="standardContextual"/>
        </w:rPr>
        <w:t xml:space="preserve"> </w:t>
      </w:r>
      <w:r w:rsidR="006124F3" w:rsidRPr="00A3738D">
        <w:rPr>
          <w:rFonts w:ascii="Calibri" w:eastAsia="Calibri" w:hAnsi="Calibri" w:cs="Calibri"/>
          <w:b/>
          <w:bCs/>
          <w:sz w:val="24"/>
          <w:szCs w:val="24"/>
          <w14:ligatures w14:val="standardContextual"/>
        </w:rPr>
        <w:t>3</w:t>
      </w:r>
      <w:r w:rsidRPr="00A3738D">
        <w:rPr>
          <w:rFonts w:ascii="Calibri" w:eastAsia="Calibri" w:hAnsi="Calibri" w:cs="Calibri"/>
          <w:b/>
          <w:bCs/>
          <w:sz w:val="24"/>
          <w:szCs w:val="24"/>
          <w14:ligatures w14:val="standardContextual"/>
        </w:rPr>
        <w:t xml:space="preserve">00 000 PLN </w:t>
      </w:r>
    </w:p>
    <w:p w14:paraId="5621DF70" w14:textId="1FFDC8FC" w:rsidR="00CC260F" w:rsidRPr="00A3738D" w:rsidRDefault="00CC260F" w:rsidP="00A3738D">
      <w:pPr>
        <w:pStyle w:val="Akapitzlist"/>
        <w:numPr>
          <w:ilvl w:val="0"/>
          <w:numId w:val="32"/>
        </w:numPr>
        <w:spacing w:before="120" w:after="0" w:line="276" w:lineRule="auto"/>
        <w:rPr>
          <w:rFonts w:ascii="Calibri" w:eastAsia="Calibri" w:hAnsi="Calibri" w:cs="Calibri"/>
          <w:sz w:val="24"/>
          <w:szCs w:val="24"/>
          <w14:ligatures w14:val="standardContextual"/>
        </w:rPr>
      </w:pPr>
      <w:r w:rsidRPr="00A3738D">
        <w:rPr>
          <w:rFonts w:ascii="Calibri" w:eastAsia="Calibri" w:hAnsi="Calibri" w:cs="Calibri"/>
          <w:sz w:val="24"/>
          <w:szCs w:val="24"/>
          <w14:ligatures w14:val="standardContextual"/>
        </w:rPr>
        <w:t xml:space="preserve">Subregion Kędzierzyńsko-Strzelecki: </w:t>
      </w:r>
      <w:r w:rsidR="006124F3" w:rsidRPr="00A3738D">
        <w:rPr>
          <w:rFonts w:ascii="Calibri" w:eastAsia="Calibri" w:hAnsi="Calibri" w:cs="Calibri"/>
          <w:b/>
          <w:bCs/>
          <w:sz w:val="24"/>
          <w:szCs w:val="24"/>
          <w14:ligatures w14:val="standardContextual"/>
        </w:rPr>
        <w:t>13</w:t>
      </w:r>
      <w:r w:rsidRPr="00A3738D">
        <w:rPr>
          <w:rFonts w:ascii="Calibri" w:eastAsia="Calibri" w:hAnsi="Calibri" w:cs="Calibri"/>
          <w:b/>
          <w:bCs/>
          <w:sz w:val="24"/>
          <w:szCs w:val="24"/>
          <w14:ligatures w14:val="standardContextual"/>
        </w:rPr>
        <w:t xml:space="preserve"> 500 000 PLN</w:t>
      </w:r>
      <w:r w:rsidRPr="00A3738D">
        <w:rPr>
          <w:rFonts w:ascii="Calibri" w:eastAsia="Calibri" w:hAnsi="Calibri" w:cs="Calibri"/>
          <w:sz w:val="24"/>
          <w:szCs w:val="24"/>
          <w14:ligatures w14:val="standardContextual"/>
        </w:rPr>
        <w:t xml:space="preserve"> </w:t>
      </w:r>
    </w:p>
    <w:p w14:paraId="6C85A141" w14:textId="0D80F83E" w:rsidR="00CC260F" w:rsidRPr="00A3738D" w:rsidRDefault="00CC260F" w:rsidP="00A3738D">
      <w:pPr>
        <w:pStyle w:val="Akapitzlist"/>
        <w:numPr>
          <w:ilvl w:val="0"/>
          <w:numId w:val="32"/>
        </w:numPr>
        <w:spacing w:before="120" w:after="0" w:line="276" w:lineRule="auto"/>
        <w:rPr>
          <w:rFonts w:ascii="Calibri" w:eastAsia="Calibri" w:hAnsi="Calibri" w:cs="Calibri"/>
          <w:sz w:val="24"/>
          <w:szCs w:val="24"/>
          <w14:ligatures w14:val="standardContextual"/>
        </w:rPr>
      </w:pPr>
      <w:r w:rsidRPr="00A3738D">
        <w:rPr>
          <w:rFonts w:ascii="Calibri" w:eastAsia="Calibri" w:hAnsi="Calibri" w:cs="Calibri"/>
          <w:sz w:val="24"/>
          <w:szCs w:val="24"/>
          <w14:ligatures w14:val="standardContextual"/>
        </w:rPr>
        <w:t xml:space="preserve">Subregion Południowy: </w:t>
      </w:r>
      <w:r w:rsidR="006124F3" w:rsidRPr="00A3738D">
        <w:rPr>
          <w:rFonts w:ascii="Calibri" w:eastAsia="Calibri" w:hAnsi="Calibri" w:cs="Calibri"/>
          <w:b/>
          <w:bCs/>
          <w:sz w:val="24"/>
          <w:szCs w:val="24"/>
          <w14:ligatures w14:val="standardContextual"/>
        </w:rPr>
        <w:t>16</w:t>
      </w:r>
      <w:r w:rsidRPr="00A3738D">
        <w:rPr>
          <w:rFonts w:ascii="Calibri" w:eastAsia="Calibri" w:hAnsi="Calibri" w:cs="Calibri"/>
          <w:b/>
          <w:bCs/>
          <w:sz w:val="24"/>
          <w:szCs w:val="24"/>
          <w14:ligatures w14:val="standardContextual"/>
        </w:rPr>
        <w:t xml:space="preserve"> 000 000 PLN</w:t>
      </w:r>
      <w:r w:rsidRPr="00A3738D">
        <w:rPr>
          <w:rFonts w:ascii="Calibri" w:eastAsia="Calibri" w:hAnsi="Calibri" w:cs="Calibri"/>
          <w:sz w:val="24"/>
          <w:szCs w:val="24"/>
          <w14:ligatures w14:val="standardContextual"/>
        </w:rPr>
        <w:t xml:space="preserve"> </w:t>
      </w:r>
    </w:p>
    <w:p w14:paraId="5E2D34B0" w14:textId="3BDC9299" w:rsidR="006B6952" w:rsidRPr="00A3738D" w:rsidRDefault="00CC260F" w:rsidP="00A3738D">
      <w:pPr>
        <w:pStyle w:val="Akapitzlist"/>
        <w:numPr>
          <w:ilvl w:val="0"/>
          <w:numId w:val="32"/>
        </w:numPr>
        <w:spacing w:before="120" w:after="0" w:line="276" w:lineRule="auto"/>
        <w:rPr>
          <w:rFonts w:ascii="Calibri" w:eastAsia="Calibri" w:hAnsi="Calibri" w:cs="Calibri"/>
          <w14:ligatures w14:val="standardContextual"/>
        </w:rPr>
      </w:pPr>
      <w:r w:rsidRPr="00A3738D">
        <w:rPr>
          <w:rFonts w:ascii="Calibri" w:eastAsia="Calibri" w:hAnsi="Calibri" w:cs="Calibri"/>
          <w:sz w:val="24"/>
          <w:szCs w:val="24"/>
          <w14:ligatures w14:val="standardContextual"/>
        </w:rPr>
        <w:t xml:space="preserve">Subregion Północny: </w:t>
      </w:r>
      <w:r w:rsidR="006124F3" w:rsidRPr="00A3738D">
        <w:rPr>
          <w:rFonts w:ascii="Calibri" w:eastAsia="Calibri" w:hAnsi="Calibri" w:cs="Calibri"/>
          <w:b/>
          <w:bCs/>
          <w:sz w:val="24"/>
          <w:szCs w:val="24"/>
          <w14:ligatures w14:val="standardContextual"/>
        </w:rPr>
        <w:t>20</w:t>
      </w:r>
      <w:r w:rsidRPr="00A3738D">
        <w:rPr>
          <w:rFonts w:ascii="Calibri" w:eastAsia="Calibri" w:hAnsi="Calibri" w:cs="Calibri"/>
          <w:b/>
          <w:bCs/>
          <w:sz w:val="24"/>
          <w:szCs w:val="24"/>
          <w14:ligatures w14:val="standardContextual"/>
        </w:rPr>
        <w:t xml:space="preserve"> </w:t>
      </w:r>
      <w:r w:rsidR="006124F3" w:rsidRPr="00A3738D">
        <w:rPr>
          <w:rFonts w:ascii="Calibri" w:eastAsia="Calibri" w:hAnsi="Calibri" w:cs="Calibri"/>
          <w:b/>
          <w:bCs/>
          <w:sz w:val="24"/>
          <w:szCs w:val="24"/>
          <w14:ligatures w14:val="standardContextual"/>
        </w:rPr>
        <w:t>0</w:t>
      </w:r>
      <w:r w:rsidRPr="00A3738D">
        <w:rPr>
          <w:rFonts w:ascii="Calibri" w:eastAsia="Calibri" w:hAnsi="Calibri" w:cs="Calibri"/>
          <w:b/>
          <w:bCs/>
          <w:sz w:val="24"/>
          <w:szCs w:val="24"/>
          <w14:ligatures w14:val="standardContextual"/>
        </w:rPr>
        <w:t>00 000 PLN</w:t>
      </w:r>
      <w:r w:rsidRPr="00A3738D">
        <w:rPr>
          <w:rFonts w:ascii="Calibri" w:eastAsia="Calibri" w:hAnsi="Calibri" w:cs="Calibri"/>
          <w:sz w:val="24"/>
          <w:szCs w:val="24"/>
          <w14:ligatures w14:val="standardContextual"/>
        </w:rPr>
        <w:t xml:space="preserve"> </w:t>
      </w:r>
    </w:p>
    <w:p w14:paraId="1FDD9F17" w14:textId="77777777" w:rsidR="005F62B3" w:rsidRDefault="005F62B3" w:rsidP="005F62B3">
      <w:pPr>
        <w:spacing w:after="0" w:line="240" w:lineRule="auto"/>
        <w:rPr>
          <w:rFonts w:ascii="Calibri" w:eastAsia="Calibri" w:hAnsi="Calibri" w:cs="Calibri"/>
          <w14:ligatures w14:val="standardContextual"/>
        </w:rPr>
      </w:pPr>
    </w:p>
    <w:p w14:paraId="1BB801CC" w14:textId="77777777" w:rsidR="001574CC" w:rsidRPr="00676940" w:rsidRDefault="001574CC" w:rsidP="0081259C">
      <w:pPr>
        <w:spacing w:line="276" w:lineRule="auto"/>
        <w:rPr>
          <w:rFonts w:cstheme="minorHAnsi"/>
          <w:sz w:val="24"/>
          <w:szCs w:val="24"/>
        </w:rPr>
      </w:pPr>
      <w:r w:rsidRPr="00676940">
        <w:rPr>
          <w:rFonts w:cstheme="minorHAnsi"/>
          <w:sz w:val="24"/>
          <w:szCs w:val="24"/>
        </w:rPr>
        <w:t>W ramach działania nie przewidziano wsparcia z budżetu państwa.</w:t>
      </w:r>
    </w:p>
    <w:p w14:paraId="12A375F8" w14:textId="43CBCD03" w:rsidR="00024A46" w:rsidRPr="00A3738D" w:rsidRDefault="00024A46" w:rsidP="00A3738D">
      <w:pPr>
        <w:spacing w:line="276" w:lineRule="auto"/>
        <w:rPr>
          <w:rFonts w:cstheme="minorHAnsi"/>
          <w:sz w:val="24"/>
          <w:szCs w:val="24"/>
        </w:rPr>
      </w:pPr>
      <w:bookmarkStart w:id="51" w:name="_Hlk219373526"/>
      <w:r w:rsidRPr="00A3738D">
        <w:rPr>
          <w:rFonts w:cstheme="minorHAnsi"/>
          <w:sz w:val="24"/>
          <w:szCs w:val="24"/>
        </w:rPr>
        <w:t xml:space="preserve">W związku z możliwymi różnicami kursowymi wynikającymi z przeliczania środków UE z EUR na PLN, ostateczna wysokość środków przeznaczonych na dofinansowanie projektów </w:t>
      </w:r>
      <w:r w:rsidR="00C353F0">
        <w:rPr>
          <w:rFonts w:cstheme="minorHAnsi"/>
          <w:sz w:val="24"/>
          <w:szCs w:val="24"/>
        </w:rPr>
        <w:br/>
      </w:r>
      <w:r w:rsidRPr="00A3738D">
        <w:rPr>
          <w:rFonts w:cstheme="minorHAnsi"/>
          <w:sz w:val="24"/>
          <w:szCs w:val="24"/>
        </w:rPr>
        <w:t>w naborze może ulec zmianie przed rozstrzygnięciem postępowania.</w:t>
      </w:r>
      <w:bookmarkEnd w:id="51"/>
    </w:p>
    <w:p w14:paraId="52D9F413" w14:textId="77777777" w:rsidR="00C75B79" w:rsidRPr="00085668" w:rsidRDefault="00C75B79" w:rsidP="00C75B79">
      <w:pPr>
        <w:spacing w:line="276" w:lineRule="auto"/>
        <w:contextualSpacing/>
        <w:jc w:val="both"/>
        <w:rPr>
          <w:b/>
          <w:sz w:val="24"/>
          <w:szCs w:val="24"/>
        </w:rPr>
      </w:pPr>
      <w:r w:rsidRPr="00085668">
        <w:rPr>
          <w:b/>
          <w:sz w:val="24"/>
          <w:szCs w:val="24"/>
        </w:rPr>
        <w:t>Sposób postępowania ze złożonymi wnioskami o dofinansowanie projektu, jeśli wyczerpie się</w:t>
      </w:r>
    </w:p>
    <w:p w14:paraId="0E755CAA" w14:textId="77777777" w:rsidR="00C75B79" w:rsidRPr="00085668" w:rsidRDefault="00C75B79" w:rsidP="00C75B79">
      <w:pPr>
        <w:spacing w:after="120" w:line="276" w:lineRule="auto"/>
        <w:jc w:val="both"/>
        <w:rPr>
          <w:b/>
          <w:sz w:val="24"/>
          <w:szCs w:val="24"/>
        </w:rPr>
      </w:pPr>
      <w:r w:rsidRPr="00085668">
        <w:rPr>
          <w:b/>
          <w:sz w:val="24"/>
          <w:szCs w:val="24"/>
        </w:rPr>
        <w:t>kwota przewidziana na dofinansowanie projektów</w:t>
      </w:r>
      <w:r>
        <w:rPr>
          <w:b/>
          <w:sz w:val="24"/>
          <w:szCs w:val="24"/>
        </w:rPr>
        <w:t xml:space="preserve"> złożonych w naborze</w:t>
      </w:r>
      <w:r w:rsidRPr="00085668">
        <w:rPr>
          <w:b/>
          <w:sz w:val="24"/>
          <w:szCs w:val="24"/>
        </w:rPr>
        <w:t>.</w:t>
      </w:r>
    </w:p>
    <w:p w14:paraId="47709E7A" w14:textId="77777777" w:rsidR="00C75B79" w:rsidRPr="00085668" w:rsidRDefault="00C75B79" w:rsidP="00C75B79">
      <w:pPr>
        <w:spacing w:line="276" w:lineRule="auto"/>
        <w:contextualSpacing/>
        <w:jc w:val="both"/>
        <w:rPr>
          <w:b/>
          <w:sz w:val="24"/>
          <w:szCs w:val="24"/>
        </w:rPr>
      </w:pPr>
      <w:r w:rsidRPr="00C4715F">
        <w:rPr>
          <w:sz w:val="24"/>
          <w:szCs w:val="24"/>
        </w:rPr>
        <w:t xml:space="preserve">Zgodnie z art. 57 ust. 5 ustawy wdrożeniowej </w:t>
      </w:r>
      <w:r w:rsidRPr="00085668">
        <w:rPr>
          <w:b/>
          <w:sz w:val="24"/>
          <w:szCs w:val="24"/>
        </w:rPr>
        <w:t>po zakończeniu postępowania w zakresie wyboru</w:t>
      </w:r>
    </w:p>
    <w:p w14:paraId="467C9B6A" w14:textId="77777777" w:rsidR="00C75B79" w:rsidRPr="00C4715F" w:rsidRDefault="00C75B79" w:rsidP="00C75B79">
      <w:pPr>
        <w:spacing w:line="276" w:lineRule="auto"/>
        <w:contextualSpacing/>
        <w:jc w:val="both"/>
        <w:rPr>
          <w:sz w:val="24"/>
          <w:szCs w:val="24"/>
        </w:rPr>
      </w:pPr>
      <w:r w:rsidRPr="00085668">
        <w:rPr>
          <w:b/>
          <w:sz w:val="24"/>
          <w:szCs w:val="24"/>
        </w:rPr>
        <w:t>projektów do dofinansowania</w:t>
      </w:r>
      <w:r w:rsidRPr="00C4715F">
        <w:rPr>
          <w:sz w:val="24"/>
          <w:szCs w:val="24"/>
        </w:rPr>
        <w:t xml:space="preserve"> IZ może wybrać do dofinansowania projekty, które zostały</w:t>
      </w:r>
    </w:p>
    <w:p w14:paraId="35631D55" w14:textId="77777777" w:rsidR="00C75B79" w:rsidRPr="00C4715F" w:rsidRDefault="00C75B79" w:rsidP="00C75B79">
      <w:pPr>
        <w:spacing w:line="276" w:lineRule="auto"/>
        <w:contextualSpacing/>
        <w:jc w:val="both"/>
        <w:rPr>
          <w:sz w:val="24"/>
          <w:szCs w:val="24"/>
        </w:rPr>
      </w:pPr>
      <w:r w:rsidRPr="00C4715F">
        <w:rPr>
          <w:sz w:val="24"/>
          <w:szCs w:val="24"/>
        </w:rPr>
        <w:t>negatywnie ocenione z uwagi na wyczerpanie kwoty przeznaczonej na dofinansowanie</w:t>
      </w:r>
    </w:p>
    <w:p w14:paraId="76637082" w14:textId="384B4DC6" w:rsidR="00C75B79" w:rsidRPr="00C4715F" w:rsidRDefault="00C75B79" w:rsidP="004958E0">
      <w:pPr>
        <w:spacing w:line="276" w:lineRule="auto"/>
        <w:contextualSpacing/>
        <w:jc w:val="both"/>
        <w:rPr>
          <w:sz w:val="24"/>
          <w:szCs w:val="24"/>
        </w:rPr>
      </w:pPr>
      <w:r w:rsidRPr="00C4715F">
        <w:rPr>
          <w:sz w:val="24"/>
          <w:szCs w:val="24"/>
        </w:rPr>
        <w:t>projektów w tym postępowaniu</w:t>
      </w:r>
      <w:r w:rsidR="00F4654C">
        <w:rPr>
          <w:sz w:val="24"/>
          <w:szCs w:val="24"/>
        </w:rPr>
        <w:t xml:space="preserve"> (</w:t>
      </w:r>
      <w:r w:rsidR="00C353F0">
        <w:rPr>
          <w:sz w:val="24"/>
          <w:szCs w:val="24"/>
        </w:rPr>
        <w:t>dla</w:t>
      </w:r>
      <w:r w:rsidR="00F4654C">
        <w:rPr>
          <w:sz w:val="24"/>
          <w:szCs w:val="24"/>
        </w:rPr>
        <w:t xml:space="preserve"> danego naboru)</w:t>
      </w:r>
      <w:r w:rsidRPr="00C4715F">
        <w:rPr>
          <w:sz w:val="24"/>
          <w:szCs w:val="24"/>
        </w:rPr>
        <w:t>, pod warunkiem dostępności kwoty przeznaczonej na</w:t>
      </w:r>
      <w:r w:rsidR="00162163">
        <w:rPr>
          <w:sz w:val="24"/>
          <w:szCs w:val="24"/>
        </w:rPr>
        <w:t> </w:t>
      </w:r>
      <w:r w:rsidRPr="00C4715F">
        <w:rPr>
          <w:sz w:val="24"/>
          <w:szCs w:val="24"/>
        </w:rPr>
        <w:t>dofinansowanie projektów w ramach działania.</w:t>
      </w:r>
    </w:p>
    <w:p w14:paraId="35BF8BF2" w14:textId="25BA5D99" w:rsidR="00C75B79" w:rsidRDefault="00C75B79" w:rsidP="004958E0">
      <w:pPr>
        <w:spacing w:before="240" w:line="276" w:lineRule="auto"/>
        <w:jc w:val="both"/>
        <w:rPr>
          <w:sz w:val="24"/>
          <w:szCs w:val="24"/>
        </w:rPr>
      </w:pPr>
      <w:r w:rsidRPr="00C4715F">
        <w:rPr>
          <w:sz w:val="24"/>
          <w:szCs w:val="24"/>
        </w:rPr>
        <w:t xml:space="preserve">Z powyższego wynika, </w:t>
      </w:r>
      <w:r w:rsidRPr="00085668">
        <w:rPr>
          <w:b/>
          <w:sz w:val="24"/>
          <w:szCs w:val="24"/>
        </w:rPr>
        <w:t>że po zakończeniu postępowania IZ może wybierać kolejne projekty do</w:t>
      </w:r>
      <w:r>
        <w:rPr>
          <w:b/>
          <w:sz w:val="24"/>
          <w:szCs w:val="24"/>
        </w:rPr>
        <w:t> </w:t>
      </w:r>
      <w:r w:rsidRPr="00085668">
        <w:rPr>
          <w:b/>
          <w:sz w:val="24"/>
          <w:szCs w:val="24"/>
        </w:rPr>
        <w:t>dofinansowania, które spełniły wymagane kryteria, ale nie zostały wcześniej wybrane do</w:t>
      </w:r>
      <w:r>
        <w:rPr>
          <w:b/>
          <w:sz w:val="24"/>
          <w:szCs w:val="24"/>
        </w:rPr>
        <w:t> </w:t>
      </w:r>
      <w:r w:rsidRPr="00085668">
        <w:rPr>
          <w:b/>
          <w:sz w:val="24"/>
          <w:szCs w:val="24"/>
        </w:rPr>
        <w:t>dofinansowania ze względu na wyczerpanie kwoty przeznaczonej na dofinansowanie</w:t>
      </w:r>
      <w:r w:rsidR="00F4654C">
        <w:rPr>
          <w:b/>
          <w:sz w:val="24"/>
          <w:szCs w:val="24"/>
        </w:rPr>
        <w:t xml:space="preserve"> </w:t>
      </w:r>
      <w:r w:rsidR="00F4654C">
        <w:rPr>
          <w:b/>
          <w:sz w:val="24"/>
          <w:szCs w:val="24"/>
        </w:rPr>
        <w:br/>
      </w:r>
      <w:r w:rsidRPr="00085668">
        <w:rPr>
          <w:b/>
          <w:sz w:val="24"/>
          <w:szCs w:val="24"/>
        </w:rPr>
        <w:t>w postępowaniu</w:t>
      </w:r>
      <w:r w:rsidR="00F4654C">
        <w:rPr>
          <w:b/>
          <w:sz w:val="24"/>
          <w:szCs w:val="24"/>
        </w:rPr>
        <w:t xml:space="preserve"> </w:t>
      </w:r>
      <w:r w:rsidR="00F4654C" w:rsidRPr="00A3738D">
        <w:rPr>
          <w:bCs/>
          <w:sz w:val="24"/>
          <w:szCs w:val="24"/>
        </w:rPr>
        <w:t>(</w:t>
      </w:r>
      <w:r w:rsidR="00C353F0">
        <w:rPr>
          <w:bCs/>
          <w:sz w:val="24"/>
          <w:szCs w:val="24"/>
        </w:rPr>
        <w:t>dla</w:t>
      </w:r>
      <w:r w:rsidR="00F4654C" w:rsidRPr="00A3738D">
        <w:rPr>
          <w:bCs/>
          <w:sz w:val="24"/>
          <w:szCs w:val="24"/>
        </w:rPr>
        <w:t xml:space="preserve"> danego naboru)</w:t>
      </w:r>
      <w:r w:rsidRPr="00A3738D">
        <w:rPr>
          <w:bCs/>
          <w:sz w:val="24"/>
          <w:szCs w:val="24"/>
        </w:rPr>
        <w:t>.</w:t>
      </w:r>
      <w:r w:rsidRPr="00C4715F">
        <w:rPr>
          <w:sz w:val="24"/>
          <w:szCs w:val="24"/>
        </w:rPr>
        <w:t xml:space="preserve"> Wybór projektów po zakończeniu postępowania jest uwarunkowany</w:t>
      </w:r>
      <w:r w:rsidR="00C353F0">
        <w:rPr>
          <w:sz w:val="24"/>
          <w:szCs w:val="24"/>
        </w:rPr>
        <w:t xml:space="preserve"> </w:t>
      </w:r>
      <w:r w:rsidRPr="00C4715F">
        <w:rPr>
          <w:sz w:val="24"/>
          <w:szCs w:val="24"/>
        </w:rPr>
        <w:t>dostępnością kwoty przeznaczonej na dofinansowanie projektów w ramach działania</w:t>
      </w:r>
      <w:r w:rsidRPr="00085668">
        <w:rPr>
          <w:b/>
          <w:sz w:val="24"/>
          <w:szCs w:val="24"/>
        </w:rPr>
        <w:t>. Wybór projektów po zakończeniu postępowania</w:t>
      </w:r>
      <w:r>
        <w:rPr>
          <w:b/>
          <w:sz w:val="24"/>
          <w:szCs w:val="24"/>
        </w:rPr>
        <w:t xml:space="preserve"> </w:t>
      </w:r>
      <w:r w:rsidRPr="00085668">
        <w:rPr>
          <w:b/>
          <w:sz w:val="24"/>
          <w:szCs w:val="24"/>
        </w:rPr>
        <w:t>następuje w taki sam sposób jak w jego trakcie.</w:t>
      </w:r>
      <w:r w:rsidRPr="00C4715F">
        <w:rPr>
          <w:sz w:val="24"/>
          <w:szCs w:val="24"/>
        </w:rPr>
        <w:t xml:space="preserve"> </w:t>
      </w:r>
    </w:p>
    <w:p w14:paraId="4C78D6EC" w14:textId="022DDF6B" w:rsidR="00C75B79" w:rsidRPr="00C75B79" w:rsidRDefault="00C75B79" w:rsidP="004958E0">
      <w:pPr>
        <w:spacing w:before="240" w:line="276" w:lineRule="auto"/>
        <w:contextualSpacing/>
        <w:rPr>
          <w:b/>
          <w:sz w:val="24"/>
          <w:szCs w:val="24"/>
        </w:rPr>
      </w:pPr>
      <w:r w:rsidRPr="00C4715F">
        <w:rPr>
          <w:sz w:val="24"/>
          <w:szCs w:val="24"/>
        </w:rPr>
        <w:t>IZ po wybraniu projektu do dofinansowania</w:t>
      </w:r>
      <w:r>
        <w:rPr>
          <w:b/>
          <w:sz w:val="24"/>
          <w:szCs w:val="24"/>
        </w:rPr>
        <w:t xml:space="preserve"> </w:t>
      </w:r>
      <w:r w:rsidRPr="00C4715F">
        <w:rPr>
          <w:sz w:val="24"/>
          <w:szCs w:val="24"/>
        </w:rPr>
        <w:t>może ponownie skierować projekt do oceny. Odbywa się to zgodnie z art. 61 ust. 8 ustawy</w:t>
      </w:r>
      <w:r>
        <w:rPr>
          <w:b/>
          <w:sz w:val="24"/>
          <w:szCs w:val="24"/>
        </w:rPr>
        <w:t xml:space="preserve"> </w:t>
      </w:r>
      <w:r w:rsidRPr="00C4715F">
        <w:rPr>
          <w:sz w:val="24"/>
          <w:szCs w:val="24"/>
        </w:rPr>
        <w:t>wdrożeniowej. Jeżeli IZ po wybraniu projektu do dofinansowania, a przed zawarciem umowy o</w:t>
      </w:r>
      <w:r>
        <w:rPr>
          <w:sz w:val="24"/>
          <w:szCs w:val="24"/>
        </w:rPr>
        <w:t xml:space="preserve"> </w:t>
      </w:r>
      <w:r w:rsidRPr="00C4715F">
        <w:rPr>
          <w:sz w:val="24"/>
          <w:szCs w:val="24"/>
        </w:rPr>
        <w:t>dofinansowanie projektu albo podjęciem decyzji o dofinansowaniu projektu poweźmie wiedzę</w:t>
      </w:r>
      <w:r>
        <w:rPr>
          <w:sz w:val="24"/>
          <w:szCs w:val="24"/>
        </w:rPr>
        <w:t xml:space="preserve"> </w:t>
      </w:r>
      <w:r w:rsidRPr="00C4715F">
        <w:rPr>
          <w:sz w:val="24"/>
          <w:szCs w:val="24"/>
        </w:rPr>
        <w:t>o okolicznościach mogących mieć negatywny wpływ na wynik oceny projektu, ponownie kieruje</w:t>
      </w:r>
      <w:r>
        <w:rPr>
          <w:sz w:val="24"/>
          <w:szCs w:val="24"/>
        </w:rPr>
        <w:t xml:space="preserve"> </w:t>
      </w:r>
      <w:r w:rsidRPr="00C4715F">
        <w:rPr>
          <w:sz w:val="24"/>
          <w:szCs w:val="24"/>
        </w:rPr>
        <w:t xml:space="preserve">projekt do oceny w stosownym zakresie, </w:t>
      </w:r>
      <w:r>
        <w:rPr>
          <w:sz w:val="24"/>
          <w:szCs w:val="24"/>
        </w:rPr>
        <w:br/>
      </w:r>
      <w:r w:rsidRPr="00C4715F">
        <w:rPr>
          <w:sz w:val="24"/>
          <w:szCs w:val="24"/>
        </w:rPr>
        <w:t>o czym informuje wnioskodawcę. Przepisy rozdziału</w:t>
      </w:r>
      <w:r>
        <w:rPr>
          <w:sz w:val="24"/>
          <w:szCs w:val="24"/>
        </w:rPr>
        <w:t xml:space="preserve"> </w:t>
      </w:r>
      <w:r w:rsidRPr="00C4715F">
        <w:rPr>
          <w:sz w:val="24"/>
          <w:szCs w:val="24"/>
        </w:rPr>
        <w:t>14 i rozdziału 16 ustawy wdrożeniowej stosuje się odpowiednio.</w:t>
      </w:r>
    </w:p>
    <w:p w14:paraId="33AD76FC" w14:textId="77777777" w:rsidR="001574CC" w:rsidRPr="001574CC"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2" w:name="_Toc224647143"/>
      <w:r w:rsidRPr="001574CC">
        <w:rPr>
          <w:rFonts w:asciiTheme="minorHAnsi" w:hAnsiTheme="minorHAnsi" w:cstheme="minorHAnsi"/>
          <w:b/>
          <w:bCs/>
          <w:color w:val="auto"/>
        </w:rPr>
        <w:t>Pomoc publiczna - unijna podstawa prawna</w:t>
      </w:r>
      <w:bookmarkEnd w:id="52"/>
    </w:p>
    <w:p w14:paraId="45D47621" w14:textId="77777777" w:rsidR="00F56D76" w:rsidRDefault="006F4890" w:rsidP="0081259C">
      <w:pPr>
        <w:rPr>
          <w:sz w:val="24"/>
          <w:szCs w:val="24"/>
        </w:rPr>
      </w:pPr>
      <w:r>
        <w:rPr>
          <w:sz w:val="24"/>
          <w:szCs w:val="24"/>
        </w:rPr>
        <w:t>W przypadku wystąpienia pomocy</w:t>
      </w:r>
      <w:r w:rsidR="00F56D76">
        <w:rPr>
          <w:sz w:val="24"/>
          <w:szCs w:val="24"/>
        </w:rPr>
        <w:t>:</w:t>
      </w:r>
    </w:p>
    <w:p w14:paraId="35E63513" w14:textId="3CCE4945" w:rsidR="00F56D76" w:rsidRDefault="002C7910">
      <w:pPr>
        <w:pStyle w:val="Akapitzlist"/>
        <w:numPr>
          <w:ilvl w:val="0"/>
          <w:numId w:val="30"/>
        </w:numPr>
        <w:rPr>
          <w:sz w:val="24"/>
          <w:szCs w:val="24"/>
        </w:rPr>
      </w:pPr>
      <w:r w:rsidRPr="00F56D76">
        <w:rPr>
          <w:sz w:val="24"/>
          <w:szCs w:val="24"/>
        </w:rPr>
        <w:t xml:space="preserve">Rozporządzenie </w:t>
      </w:r>
      <w:r w:rsidR="00F5331F">
        <w:rPr>
          <w:sz w:val="24"/>
          <w:szCs w:val="24"/>
        </w:rPr>
        <w:t>K</w:t>
      </w:r>
      <w:r w:rsidRPr="00F56D76">
        <w:rPr>
          <w:sz w:val="24"/>
          <w:szCs w:val="24"/>
        </w:rPr>
        <w:t xml:space="preserve">omisji (UE) 2023/2831 z dnia 13 grudnia 2023 r. w sprawie stosowania art. 107 i 108 Traktatu o funkcjonowaniu Unii Europejskiej do pomocy </w:t>
      </w:r>
      <w:r w:rsidRPr="00F56D76">
        <w:rPr>
          <w:i/>
          <w:iCs/>
          <w:sz w:val="24"/>
          <w:szCs w:val="24"/>
        </w:rPr>
        <w:t>de</w:t>
      </w:r>
      <w:r w:rsidR="00162163">
        <w:rPr>
          <w:i/>
          <w:iCs/>
          <w:sz w:val="24"/>
          <w:szCs w:val="24"/>
        </w:rPr>
        <w:t> </w:t>
      </w:r>
      <w:proofErr w:type="spellStart"/>
      <w:r w:rsidRPr="00F56D76">
        <w:rPr>
          <w:i/>
          <w:iCs/>
          <w:sz w:val="24"/>
          <w:szCs w:val="24"/>
        </w:rPr>
        <w:t>minimis</w:t>
      </w:r>
      <w:proofErr w:type="spellEnd"/>
      <w:r w:rsidRPr="00F56D76">
        <w:rPr>
          <w:sz w:val="24"/>
          <w:szCs w:val="24"/>
        </w:rPr>
        <w:t xml:space="preserve">, </w:t>
      </w:r>
    </w:p>
    <w:p w14:paraId="20BA70C0" w14:textId="411AA2D9" w:rsidR="001574CC" w:rsidRPr="00F56D76" w:rsidRDefault="00B64393">
      <w:pPr>
        <w:pStyle w:val="Akapitzlist"/>
        <w:numPr>
          <w:ilvl w:val="0"/>
          <w:numId w:val="30"/>
        </w:numPr>
        <w:rPr>
          <w:sz w:val="24"/>
          <w:szCs w:val="24"/>
        </w:rPr>
      </w:pPr>
      <w:r w:rsidRPr="00F56D76">
        <w:rPr>
          <w:sz w:val="24"/>
          <w:szCs w:val="24"/>
        </w:rPr>
        <w:lastRenderedPageBreak/>
        <w:t>Rozporządzenie Komisji (UE) nr 651/2014 z dnia 17 czerwca 2014 r. uznające niektóre rodzaje pomocy za zgodne z rynkiem wewnętrznym w zastosowaniu art. 107 i 108 Traktatu</w:t>
      </w:r>
    </w:p>
    <w:p w14:paraId="53C6AE7A" w14:textId="77777777" w:rsidR="001574CC" w:rsidRPr="00676940"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3" w:name="_Toc224647144"/>
      <w:r w:rsidRPr="001574CC">
        <w:rPr>
          <w:rFonts w:asciiTheme="minorHAnsi" w:hAnsiTheme="minorHAnsi" w:cstheme="minorHAnsi"/>
          <w:b/>
          <w:color w:val="auto"/>
        </w:rPr>
        <w:t>Pomoc publiczna - krajowa podstawa prawna</w:t>
      </w:r>
      <w:bookmarkEnd w:id="53"/>
    </w:p>
    <w:p w14:paraId="71FA7F53" w14:textId="77777777" w:rsidR="00F56D76" w:rsidRDefault="006F4890" w:rsidP="0081259C">
      <w:pPr>
        <w:spacing w:after="240"/>
        <w:rPr>
          <w:sz w:val="24"/>
          <w:szCs w:val="24"/>
        </w:rPr>
      </w:pPr>
      <w:r w:rsidRPr="00E4122B">
        <w:rPr>
          <w:sz w:val="24"/>
          <w:szCs w:val="24"/>
        </w:rPr>
        <w:t>W przypadku wystąpienia pomocy</w:t>
      </w:r>
      <w:r w:rsidR="00F56D76">
        <w:rPr>
          <w:sz w:val="24"/>
          <w:szCs w:val="24"/>
        </w:rPr>
        <w:t>:</w:t>
      </w:r>
    </w:p>
    <w:p w14:paraId="241218DD" w14:textId="4858F118" w:rsidR="00F56D76" w:rsidRDefault="00C64B98">
      <w:pPr>
        <w:pStyle w:val="Akapitzlist"/>
        <w:numPr>
          <w:ilvl w:val="0"/>
          <w:numId w:val="29"/>
        </w:numPr>
        <w:spacing w:after="120"/>
        <w:ind w:left="714" w:hanging="357"/>
        <w:contextualSpacing w:val="0"/>
        <w:rPr>
          <w:sz w:val="24"/>
          <w:szCs w:val="24"/>
        </w:rPr>
      </w:pPr>
      <w:bookmarkStart w:id="54" w:name="_Hlk156295084"/>
      <w:r w:rsidRPr="00F56D76">
        <w:rPr>
          <w:sz w:val="24"/>
          <w:szCs w:val="24"/>
        </w:rPr>
        <w:t xml:space="preserve">Rozporządzenie </w:t>
      </w:r>
      <w:proofErr w:type="spellStart"/>
      <w:r w:rsidRPr="00F56D76">
        <w:rPr>
          <w:sz w:val="24"/>
          <w:szCs w:val="24"/>
        </w:rPr>
        <w:t>MFiPR</w:t>
      </w:r>
      <w:proofErr w:type="spellEnd"/>
      <w:r w:rsidRPr="00F56D76">
        <w:rPr>
          <w:sz w:val="24"/>
          <w:szCs w:val="24"/>
        </w:rPr>
        <w:t xml:space="preserve"> z dnia </w:t>
      </w:r>
      <w:r w:rsidRPr="004958E0">
        <w:rPr>
          <w:sz w:val="24"/>
          <w:szCs w:val="24"/>
        </w:rPr>
        <w:t>11 grudnia 2022 r.</w:t>
      </w:r>
      <w:r w:rsidRPr="00F56D76">
        <w:rPr>
          <w:sz w:val="24"/>
          <w:szCs w:val="24"/>
        </w:rPr>
        <w:t xml:space="preserve"> w sprawie udzielania pomocy inwestycyjnej na propagowanie energii ze źródeł odnawialnych, propagowanie wodoru odnawialnego i wysokosprawnej kogeneracji w ramach regionalnych programów na</w:t>
      </w:r>
      <w:r w:rsidR="00162163">
        <w:rPr>
          <w:sz w:val="24"/>
          <w:szCs w:val="24"/>
        </w:rPr>
        <w:t> </w:t>
      </w:r>
      <w:r w:rsidRPr="00F56D76">
        <w:rPr>
          <w:sz w:val="24"/>
          <w:szCs w:val="24"/>
        </w:rPr>
        <w:t xml:space="preserve">lata 2021‒2027 (Dz. U. </w:t>
      </w:r>
      <w:r w:rsidR="005B677C">
        <w:rPr>
          <w:sz w:val="24"/>
          <w:szCs w:val="24"/>
        </w:rPr>
        <w:t xml:space="preserve">2025 </w:t>
      </w:r>
      <w:r w:rsidRPr="00F56D76">
        <w:rPr>
          <w:sz w:val="24"/>
          <w:szCs w:val="24"/>
        </w:rPr>
        <w:t xml:space="preserve">poz. </w:t>
      </w:r>
      <w:r w:rsidR="005B677C">
        <w:rPr>
          <w:sz w:val="24"/>
          <w:szCs w:val="24"/>
        </w:rPr>
        <w:t>150</w:t>
      </w:r>
      <w:r w:rsidRPr="00F56D76">
        <w:rPr>
          <w:sz w:val="24"/>
          <w:szCs w:val="24"/>
        </w:rPr>
        <w:t xml:space="preserve"> z </w:t>
      </w:r>
      <w:proofErr w:type="spellStart"/>
      <w:r w:rsidRPr="00F56D76">
        <w:rPr>
          <w:sz w:val="24"/>
          <w:szCs w:val="24"/>
        </w:rPr>
        <w:t>późn</w:t>
      </w:r>
      <w:proofErr w:type="spellEnd"/>
      <w:r w:rsidRPr="00F56D76">
        <w:rPr>
          <w:sz w:val="24"/>
          <w:szCs w:val="24"/>
        </w:rPr>
        <w:t xml:space="preserve">. zm.), </w:t>
      </w:r>
    </w:p>
    <w:p w14:paraId="5F823B56" w14:textId="6982DDC1" w:rsidR="00F56D76" w:rsidRDefault="00C64B98">
      <w:pPr>
        <w:pStyle w:val="Akapitzlist"/>
        <w:numPr>
          <w:ilvl w:val="0"/>
          <w:numId w:val="29"/>
        </w:numPr>
        <w:spacing w:after="120"/>
        <w:ind w:left="714" w:hanging="357"/>
        <w:contextualSpacing w:val="0"/>
        <w:rPr>
          <w:sz w:val="24"/>
          <w:szCs w:val="24"/>
        </w:rPr>
      </w:pPr>
      <w:r w:rsidRPr="00F56D76">
        <w:rPr>
          <w:sz w:val="24"/>
          <w:szCs w:val="24"/>
        </w:rPr>
        <w:t xml:space="preserve">Rozporządzenie Ministra Funduszy i Polityki Regionalnej z dnia </w:t>
      </w:r>
      <w:r w:rsidR="00D8634A" w:rsidRPr="00F56D76">
        <w:rPr>
          <w:rFonts w:cstheme="minorHAnsi"/>
          <w:sz w:val="24"/>
          <w:szCs w:val="24"/>
        </w:rPr>
        <w:t xml:space="preserve">17 kwietnia 2024 r. </w:t>
      </w:r>
      <w:r w:rsidRPr="00F56D76">
        <w:rPr>
          <w:sz w:val="24"/>
          <w:szCs w:val="24"/>
        </w:rPr>
        <w:t>w</w:t>
      </w:r>
      <w:r w:rsidR="00F56D76">
        <w:rPr>
          <w:sz w:val="24"/>
          <w:szCs w:val="24"/>
        </w:rPr>
        <w:t> </w:t>
      </w:r>
      <w:r w:rsidRPr="00F56D76">
        <w:rPr>
          <w:sz w:val="24"/>
          <w:szCs w:val="24"/>
        </w:rPr>
        <w:t xml:space="preserve">sprawie udzielania pomocy </w:t>
      </w:r>
      <w:r w:rsidRPr="00F56D76">
        <w:rPr>
          <w:i/>
          <w:iCs/>
          <w:sz w:val="24"/>
          <w:szCs w:val="24"/>
        </w:rPr>
        <w:t xml:space="preserve">de </w:t>
      </w:r>
      <w:proofErr w:type="spellStart"/>
      <w:r w:rsidRPr="00F56D76">
        <w:rPr>
          <w:i/>
          <w:iCs/>
          <w:sz w:val="24"/>
          <w:szCs w:val="24"/>
        </w:rPr>
        <w:t>minimis</w:t>
      </w:r>
      <w:proofErr w:type="spellEnd"/>
      <w:r w:rsidRPr="00F56D76">
        <w:rPr>
          <w:sz w:val="24"/>
          <w:szCs w:val="24"/>
        </w:rPr>
        <w:t xml:space="preserve"> w ramach regionalnych programów na lata 2021–2027 (</w:t>
      </w:r>
      <w:r w:rsidR="00D8634A" w:rsidRPr="00F56D76">
        <w:rPr>
          <w:rFonts w:cstheme="minorHAnsi"/>
          <w:sz w:val="24"/>
          <w:szCs w:val="24"/>
        </w:rPr>
        <w:t>Dz.U. 2024 poz. 598</w:t>
      </w:r>
      <w:r w:rsidRPr="00F56D76">
        <w:rPr>
          <w:sz w:val="24"/>
          <w:szCs w:val="24"/>
        </w:rPr>
        <w:t>)</w:t>
      </w:r>
      <w:r w:rsidR="009D42AE">
        <w:rPr>
          <w:sz w:val="24"/>
          <w:szCs w:val="24"/>
        </w:rPr>
        <w:t>.</w:t>
      </w:r>
      <w:r w:rsidRPr="00F56D76">
        <w:rPr>
          <w:sz w:val="24"/>
          <w:szCs w:val="24"/>
        </w:rPr>
        <w:t xml:space="preserve"> </w:t>
      </w:r>
    </w:p>
    <w:p w14:paraId="1DE25D99" w14:textId="77777777" w:rsidR="001574CC" w:rsidRPr="00676940" w:rsidRDefault="001574CC">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bookmarkStart w:id="55" w:name="_Toc224647145"/>
      <w:bookmarkEnd w:id="54"/>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5"/>
    </w:p>
    <w:p w14:paraId="102D8303" w14:textId="709BAF95" w:rsidR="001574CC" w:rsidRDefault="001574CC" w:rsidP="001574CC">
      <w:pPr>
        <w:spacing w:after="0"/>
        <w:jc w:val="both"/>
        <w:rPr>
          <w:sz w:val="24"/>
          <w:szCs w:val="24"/>
        </w:rPr>
      </w:pPr>
      <w:r w:rsidRPr="007E6F7D">
        <w:rPr>
          <w:sz w:val="24"/>
          <w:szCs w:val="24"/>
        </w:rPr>
        <w:t xml:space="preserve">W ramach działania </w:t>
      </w:r>
      <w:r w:rsidR="005B2EBF">
        <w:rPr>
          <w:rFonts w:cstheme="minorHAnsi"/>
          <w:sz w:val="24"/>
          <w:szCs w:val="24"/>
        </w:rPr>
        <w:t>2</w:t>
      </w:r>
      <w:r w:rsidR="005B2EBF" w:rsidRPr="00676940">
        <w:rPr>
          <w:rFonts w:cstheme="minorHAnsi"/>
          <w:sz w:val="24"/>
          <w:szCs w:val="24"/>
        </w:rPr>
        <w:t xml:space="preserve">.1 </w:t>
      </w:r>
      <w:r w:rsidR="005B2EBF" w:rsidRPr="00D8634A">
        <w:rPr>
          <w:rFonts w:cstheme="minorHAnsi"/>
          <w:i/>
          <w:iCs/>
          <w:sz w:val="24"/>
          <w:szCs w:val="24"/>
        </w:rPr>
        <w:t>Poprawa efektywności energetycznej w województwie opolskim</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pPr>
        <w:pStyle w:val="Nagwek1"/>
        <w:numPr>
          <w:ilvl w:val="0"/>
          <w:numId w:val="1"/>
        </w:numPr>
        <w:spacing w:after="240" w:line="276" w:lineRule="auto"/>
        <w:ind w:left="426" w:hanging="426"/>
        <w:rPr>
          <w:rFonts w:cstheme="minorHAnsi"/>
          <w:b/>
        </w:rPr>
      </w:pPr>
      <w:bookmarkStart w:id="56" w:name="_Toc224647146"/>
      <w:r w:rsidRPr="00676940">
        <w:rPr>
          <w:rFonts w:asciiTheme="minorHAnsi" w:hAnsiTheme="minorHAnsi" w:cstheme="minorHAnsi"/>
          <w:b/>
          <w:color w:val="auto"/>
        </w:rPr>
        <w:t>Uproszczone formy rozliczania wydatków</w:t>
      </w:r>
      <w:bookmarkEnd w:id="56"/>
    </w:p>
    <w:p w14:paraId="598921F0" w14:textId="5B8EF65D" w:rsidR="00AA6646" w:rsidRPr="00CD0F93" w:rsidRDefault="00AA6646" w:rsidP="0081259C">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t>
      </w:r>
      <w:r w:rsidRPr="00D94417">
        <w:rPr>
          <w:rFonts w:cstheme="minorHAnsi"/>
          <w:b/>
          <w:bCs/>
          <w:sz w:val="24"/>
          <w:szCs w:val="24"/>
        </w:rPr>
        <w:t>wysokości 7%</w:t>
      </w:r>
      <w:r w:rsidRPr="001E1EE8">
        <w:rPr>
          <w:rFonts w:cstheme="minorHAnsi"/>
          <w:b/>
          <w:bCs/>
          <w:sz w:val="24"/>
          <w:szCs w:val="24"/>
        </w:rPr>
        <w:t xml:space="preserve"> kwalifikowalnych kosztów bezpośrednich.</w:t>
      </w:r>
    </w:p>
    <w:p w14:paraId="7CE7CDCC" w14:textId="075F8365" w:rsidR="00AA6646" w:rsidRPr="00172F3D" w:rsidRDefault="00AA6646" w:rsidP="00493853">
      <w:pPr>
        <w:rPr>
          <w:rFonts w:cstheme="minorHAnsi"/>
          <w:sz w:val="24"/>
          <w:szCs w:val="24"/>
        </w:rPr>
      </w:pPr>
      <w:r w:rsidRPr="00172F3D">
        <w:rPr>
          <w:rFonts w:cstheme="minorHAnsi"/>
          <w:sz w:val="24"/>
          <w:szCs w:val="24"/>
        </w:rPr>
        <w:t>Zgodnie z art. 53 ust. 2 rozporządzenia ogólnego, projekt, którego łączny koszt wyrażony w</w:t>
      </w:r>
      <w:r w:rsidR="00162163">
        <w:rPr>
          <w:rFonts w:cstheme="minorHAnsi"/>
          <w:sz w:val="24"/>
          <w:szCs w:val="24"/>
        </w:rPr>
        <w:t> </w:t>
      </w:r>
      <w:r w:rsidRPr="00172F3D">
        <w:rPr>
          <w:rFonts w:cstheme="minorHAnsi"/>
          <w:sz w:val="24"/>
          <w:szCs w:val="24"/>
        </w:rPr>
        <w:t xml:space="preserve">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dofinansowani</w:t>
      </w:r>
      <w:r w:rsidR="00D8634A">
        <w:rPr>
          <w:rFonts w:cstheme="minorHAnsi"/>
          <w:sz w:val="24"/>
          <w:szCs w:val="24"/>
        </w:rPr>
        <w:t>e</w:t>
      </w:r>
      <w:r w:rsidRPr="00172F3D">
        <w:rPr>
          <w:rFonts w:cstheme="minorHAnsi"/>
          <w:sz w:val="24"/>
          <w:szCs w:val="24"/>
        </w:rPr>
        <w:t xml:space="preserve"> projektu, rozliczany jest obligatoryjnie za pomocą uproszczonych metod rozliczania wydatków. </w:t>
      </w:r>
    </w:p>
    <w:p w14:paraId="63CF149A" w14:textId="36FE76F5" w:rsidR="00AA6646" w:rsidRDefault="00AA6646" w:rsidP="00AA6646">
      <w:pPr>
        <w:jc w:val="both"/>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w:t>
      </w:r>
      <w:r w:rsidR="00162163">
        <w:rPr>
          <w:rFonts w:cstheme="minorHAnsi"/>
          <w:sz w:val="24"/>
          <w:szCs w:val="24"/>
        </w:rPr>
        <w:t> </w:t>
      </w:r>
      <w:r w:rsidRPr="00172F3D">
        <w:rPr>
          <w:rFonts w:cstheme="minorHAnsi"/>
          <w:sz w:val="24"/>
          <w:szCs w:val="24"/>
        </w:rPr>
        <w:t>rozliczenia kosztów pośrednich w projekcie, tak jak wskazano poniżej.</w:t>
      </w:r>
    </w:p>
    <w:p w14:paraId="6625EC9E" w14:textId="77777777" w:rsidR="00EC5D56" w:rsidRDefault="00EC5D56" w:rsidP="00EC5D56">
      <w:pPr>
        <w:jc w:val="both"/>
        <w:rPr>
          <w:rFonts w:cstheme="minorHAnsi"/>
          <w:b/>
          <w:bCs/>
          <w:sz w:val="24"/>
          <w:szCs w:val="24"/>
        </w:rPr>
      </w:pPr>
      <w:r>
        <w:rPr>
          <w:rFonts w:cstheme="minorHAnsi"/>
          <w:b/>
          <w:bCs/>
          <w:sz w:val="24"/>
          <w:szCs w:val="24"/>
        </w:rPr>
        <w:t>UWAGA!!!</w:t>
      </w:r>
    </w:p>
    <w:p w14:paraId="040B072D" w14:textId="7FEAC2CC" w:rsidR="00EC5D56" w:rsidRDefault="00EC5D56" w:rsidP="00AA6646">
      <w:pPr>
        <w:jc w:val="both"/>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81259C">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AA6646">
      <w:pPr>
        <w:spacing w:line="276" w:lineRule="auto"/>
        <w:jc w:val="both"/>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F56D76">
        <w:rPr>
          <w:sz w:val="24"/>
          <w:szCs w:val="24"/>
        </w:rPr>
        <w:lastRenderedPageBreak/>
        <w:t xml:space="preserve">Kwalifikowalność kosztów pośrednich – zgodnie z katalogiem wskazanym w punkcie </w:t>
      </w:r>
      <w:r w:rsidRPr="00F56D76">
        <w:rPr>
          <w:sz w:val="24"/>
          <w:szCs w:val="24"/>
        </w:rPr>
        <w:br/>
        <w:t xml:space="preserve">2 podrozdziału 3.12 </w:t>
      </w:r>
      <w:r w:rsidRPr="00F56D76">
        <w:rPr>
          <w:i/>
          <w:iCs/>
          <w:sz w:val="24"/>
          <w:szCs w:val="24"/>
        </w:rPr>
        <w:t>Wytycznych dotyczących kwalifikowalności wydatków na lata 2021-2027</w:t>
      </w:r>
      <w:r w:rsidRPr="00F56D76">
        <w:rPr>
          <w:sz w:val="24"/>
          <w:szCs w:val="24"/>
        </w:rPr>
        <w:t>.</w:t>
      </w:r>
    </w:p>
    <w:p w14:paraId="69623BA7" w14:textId="61B2DF67" w:rsidR="00E772BB" w:rsidRDefault="00E772BB" w:rsidP="00AA6646">
      <w:pPr>
        <w:rPr>
          <w:rFonts w:cstheme="minorHAnsi"/>
          <w:b/>
          <w:bCs/>
          <w:sz w:val="24"/>
          <w:szCs w:val="24"/>
        </w:rPr>
      </w:pPr>
      <w:r w:rsidRPr="002F7147">
        <w:rPr>
          <w:rFonts w:cstheme="minorHAnsi"/>
          <w:b/>
          <w:bCs/>
          <w:sz w:val="24"/>
          <w:szCs w:val="24"/>
        </w:rPr>
        <w:t xml:space="preserve">Dla projektów </w:t>
      </w:r>
      <w:r>
        <w:rPr>
          <w:rFonts w:cstheme="minorHAnsi"/>
          <w:b/>
          <w:bCs/>
          <w:sz w:val="24"/>
          <w:szCs w:val="24"/>
        </w:rPr>
        <w:t>realizowanych w formule partnerstwa publiczno-prywatnego</w:t>
      </w:r>
      <w:r w:rsidRPr="002F7147">
        <w:rPr>
          <w:rFonts w:cstheme="minorHAnsi"/>
          <w:b/>
          <w:bCs/>
          <w:sz w:val="24"/>
          <w:szCs w:val="24"/>
        </w:rPr>
        <w:t xml:space="preserve"> dopuszcza się stosowanie kosztów pośrednich </w:t>
      </w:r>
      <w:r w:rsidRPr="00E772BB">
        <w:rPr>
          <w:rFonts w:cstheme="minorHAnsi"/>
          <w:b/>
          <w:bCs/>
          <w:sz w:val="24"/>
          <w:szCs w:val="24"/>
          <w:u w:val="single"/>
        </w:rPr>
        <w:t>tylko w przypadku</w:t>
      </w:r>
      <w:r w:rsidRPr="002F7147">
        <w:rPr>
          <w:rFonts w:cstheme="minorHAnsi"/>
          <w:b/>
          <w:bCs/>
          <w:sz w:val="24"/>
          <w:szCs w:val="24"/>
        </w:rPr>
        <w:t xml:space="preserve"> wystąpienia po stronie beneficjenta 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010AF9DB" w14:textId="77777777" w:rsidR="00E8474C" w:rsidRPr="00697845" w:rsidRDefault="00E8474C" w:rsidP="00AA6646">
      <w:pPr>
        <w:rPr>
          <w:b/>
          <w:bCs/>
          <w:sz w:val="24"/>
          <w:szCs w:val="24"/>
        </w:rPr>
      </w:pPr>
    </w:p>
    <w:p w14:paraId="0CF2AB1F" w14:textId="3D86EB6F" w:rsidR="00F8319B" w:rsidRPr="00676940" w:rsidRDefault="00F8319B">
      <w:pPr>
        <w:pStyle w:val="Nagwek1"/>
        <w:numPr>
          <w:ilvl w:val="0"/>
          <w:numId w:val="1"/>
        </w:numPr>
        <w:spacing w:after="240" w:line="276" w:lineRule="auto"/>
        <w:ind w:left="426" w:hanging="426"/>
        <w:rPr>
          <w:rFonts w:cstheme="minorHAnsi"/>
          <w:b/>
          <w:bCs/>
        </w:rPr>
      </w:pPr>
      <w:bookmarkStart w:id="57" w:name="_Toc224647147"/>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7"/>
    </w:p>
    <w:p w14:paraId="549B715E" w14:textId="77777777" w:rsidR="00F8319B" w:rsidRDefault="00F8319B">
      <w:pPr>
        <w:pStyle w:val="Akapitzlist"/>
        <w:numPr>
          <w:ilvl w:val="0"/>
          <w:numId w:val="14"/>
        </w:numPr>
        <w:spacing w:after="120" w:line="276" w:lineRule="auto"/>
        <w:ind w:left="425" w:hanging="425"/>
        <w:contextualSpacing w:val="0"/>
        <w:rPr>
          <w:sz w:val="24"/>
          <w:szCs w:val="24"/>
        </w:rPr>
      </w:pPr>
      <w:r w:rsidRPr="007E6F7D">
        <w:rPr>
          <w:sz w:val="24"/>
          <w:szCs w:val="24"/>
        </w:rPr>
        <w:t>85%</w:t>
      </w:r>
    </w:p>
    <w:p w14:paraId="5ABFDB2E" w14:textId="7BCBE1F6" w:rsidR="00F56D76" w:rsidRPr="00F56D76" w:rsidRDefault="00C353F0">
      <w:pPr>
        <w:pStyle w:val="Akapitzlist"/>
        <w:numPr>
          <w:ilvl w:val="0"/>
          <w:numId w:val="14"/>
        </w:numPr>
        <w:spacing w:after="0" w:line="276" w:lineRule="auto"/>
        <w:ind w:left="426" w:hanging="426"/>
        <w:contextualSpacing w:val="0"/>
        <w:rPr>
          <w:sz w:val="24"/>
          <w:szCs w:val="24"/>
        </w:rPr>
      </w:pPr>
      <w:r>
        <w:rPr>
          <w:sz w:val="24"/>
          <w:szCs w:val="24"/>
        </w:rPr>
        <w:t>w</w:t>
      </w:r>
      <w:r w:rsidRPr="00AC26B4">
        <w:rPr>
          <w:sz w:val="24"/>
          <w:szCs w:val="24"/>
        </w:rPr>
        <w:t xml:space="preserve"> </w:t>
      </w:r>
      <w:r w:rsidR="00F56D76" w:rsidRPr="00AC26B4">
        <w:rPr>
          <w:sz w:val="24"/>
          <w:szCs w:val="24"/>
        </w:rPr>
        <w:t xml:space="preserve">przypadku występowania w projekcie pomocy publicznej/pomocy </w:t>
      </w:r>
      <w:r w:rsidR="00F56D76" w:rsidRPr="00FA7D5C">
        <w:rPr>
          <w:i/>
          <w:iCs/>
          <w:sz w:val="24"/>
          <w:szCs w:val="24"/>
        </w:rPr>
        <w:t xml:space="preserve">de </w:t>
      </w:r>
      <w:proofErr w:type="spellStart"/>
      <w:r w:rsidR="00F56D76" w:rsidRPr="00FA7D5C">
        <w:rPr>
          <w:i/>
          <w:iCs/>
          <w:sz w:val="24"/>
          <w:szCs w:val="24"/>
        </w:rPr>
        <w:t>minimis</w:t>
      </w:r>
      <w:proofErr w:type="spellEnd"/>
      <w:r w:rsidR="00F56D76" w:rsidRPr="00AC26B4">
        <w:rPr>
          <w:sz w:val="24"/>
          <w:szCs w:val="24"/>
        </w:rPr>
        <w:t xml:space="preserve"> maksymalny poziom dofinansowania musi być zgodny z zapisami właściwych rozporządzeń przywołanych w punktach 10 i 11.</w:t>
      </w:r>
    </w:p>
    <w:p w14:paraId="4E8F9513" w14:textId="77777777" w:rsidR="00F8319B" w:rsidRPr="00676940" w:rsidRDefault="00F8319B">
      <w:pPr>
        <w:pStyle w:val="Nagwek1"/>
        <w:numPr>
          <w:ilvl w:val="0"/>
          <w:numId w:val="1"/>
        </w:numPr>
        <w:spacing w:after="240" w:line="276" w:lineRule="auto"/>
        <w:ind w:left="426" w:hanging="426"/>
        <w:rPr>
          <w:rFonts w:cstheme="minorHAnsi"/>
          <w:b/>
          <w:bCs/>
        </w:rPr>
      </w:pPr>
      <w:bookmarkStart w:id="58" w:name="_Toc224647148"/>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58"/>
    </w:p>
    <w:p w14:paraId="7556E75F" w14:textId="77777777" w:rsidR="00F8319B" w:rsidRDefault="00F8319B">
      <w:pPr>
        <w:pStyle w:val="Akapitzlist"/>
        <w:numPr>
          <w:ilvl w:val="0"/>
          <w:numId w:val="14"/>
        </w:numPr>
        <w:spacing w:after="120" w:line="276" w:lineRule="auto"/>
        <w:ind w:left="425" w:hanging="425"/>
        <w:contextualSpacing w:val="0"/>
        <w:rPr>
          <w:sz w:val="24"/>
          <w:szCs w:val="24"/>
        </w:rPr>
      </w:pPr>
      <w:r w:rsidRPr="007E6F7D">
        <w:rPr>
          <w:sz w:val="24"/>
          <w:szCs w:val="24"/>
        </w:rPr>
        <w:t>85%</w:t>
      </w:r>
    </w:p>
    <w:p w14:paraId="7375341B" w14:textId="7DD31ACA" w:rsidR="00F56D76" w:rsidRPr="00F56D76" w:rsidRDefault="00C353F0">
      <w:pPr>
        <w:pStyle w:val="Akapitzlist"/>
        <w:numPr>
          <w:ilvl w:val="0"/>
          <w:numId w:val="14"/>
        </w:numPr>
        <w:spacing w:after="0" w:line="276" w:lineRule="auto"/>
        <w:ind w:left="426" w:hanging="426"/>
        <w:contextualSpacing w:val="0"/>
        <w:rPr>
          <w:sz w:val="24"/>
          <w:szCs w:val="24"/>
        </w:rPr>
      </w:pPr>
      <w:r>
        <w:rPr>
          <w:sz w:val="24"/>
          <w:szCs w:val="24"/>
        </w:rPr>
        <w:t>w</w:t>
      </w:r>
      <w:r w:rsidRPr="00AC26B4">
        <w:rPr>
          <w:sz w:val="24"/>
          <w:szCs w:val="24"/>
        </w:rPr>
        <w:t xml:space="preserve"> </w:t>
      </w:r>
      <w:r w:rsidR="00F56D76" w:rsidRPr="00AC26B4">
        <w:rPr>
          <w:sz w:val="24"/>
          <w:szCs w:val="24"/>
        </w:rPr>
        <w:t xml:space="preserve">przypadku występowania w projekcie pomocy publicznej/pomocy </w:t>
      </w:r>
      <w:r w:rsidR="00F56D76" w:rsidRPr="00FA7D5C">
        <w:rPr>
          <w:i/>
          <w:iCs/>
          <w:sz w:val="24"/>
          <w:szCs w:val="24"/>
        </w:rPr>
        <w:t xml:space="preserve">de </w:t>
      </w:r>
      <w:proofErr w:type="spellStart"/>
      <w:r w:rsidR="00F56D76" w:rsidRPr="00FA7D5C">
        <w:rPr>
          <w:i/>
          <w:iCs/>
          <w:sz w:val="24"/>
          <w:szCs w:val="24"/>
        </w:rPr>
        <w:t>minimis</w:t>
      </w:r>
      <w:proofErr w:type="spellEnd"/>
      <w:r w:rsidR="00F56D76" w:rsidRPr="00AC26B4">
        <w:rPr>
          <w:sz w:val="24"/>
          <w:szCs w:val="24"/>
        </w:rPr>
        <w:t xml:space="preserve"> maksymalny poziom dofinansowania musi być zgodny z zapisami właściwych rozporządzeń przywołanych w punktach 10 i 11.</w:t>
      </w:r>
    </w:p>
    <w:p w14:paraId="3C0AB09F" w14:textId="77777777" w:rsidR="00F8319B" w:rsidRPr="00676940" w:rsidRDefault="00F8319B">
      <w:pPr>
        <w:pStyle w:val="Nagwek1"/>
        <w:numPr>
          <w:ilvl w:val="0"/>
          <w:numId w:val="1"/>
        </w:numPr>
        <w:spacing w:after="240" w:line="276" w:lineRule="auto"/>
        <w:ind w:left="426" w:hanging="426"/>
        <w:rPr>
          <w:rFonts w:cstheme="minorHAnsi"/>
          <w:b/>
          <w:bCs/>
        </w:rPr>
      </w:pPr>
      <w:bookmarkStart w:id="59" w:name="_Toc224647149"/>
      <w:r w:rsidRPr="00676940">
        <w:rPr>
          <w:rFonts w:asciiTheme="minorHAnsi" w:hAnsiTheme="minorHAnsi" w:cstheme="minorHAnsi"/>
          <w:b/>
          <w:bCs/>
          <w:color w:val="auto"/>
        </w:rPr>
        <w:t>Minimalny wkład własny beneficjenta</w:t>
      </w:r>
      <w:bookmarkEnd w:id="59"/>
    </w:p>
    <w:p w14:paraId="01269750" w14:textId="77777777" w:rsidR="00F8319B" w:rsidRDefault="00F8319B">
      <w:pPr>
        <w:pStyle w:val="Akapitzlist"/>
        <w:numPr>
          <w:ilvl w:val="0"/>
          <w:numId w:val="14"/>
        </w:numPr>
        <w:spacing w:after="120" w:line="276" w:lineRule="auto"/>
        <w:ind w:left="425" w:hanging="425"/>
        <w:contextualSpacing w:val="0"/>
        <w:rPr>
          <w:sz w:val="24"/>
          <w:szCs w:val="24"/>
        </w:rPr>
      </w:pPr>
      <w:r w:rsidRPr="007E6F7D">
        <w:rPr>
          <w:sz w:val="24"/>
          <w:szCs w:val="24"/>
        </w:rPr>
        <w:t>15%</w:t>
      </w:r>
    </w:p>
    <w:p w14:paraId="4A633BA1" w14:textId="7EADF79C" w:rsidR="00FA7D5C" w:rsidRPr="00FA7D5C" w:rsidRDefault="00C353F0">
      <w:pPr>
        <w:pStyle w:val="Akapitzlist"/>
        <w:numPr>
          <w:ilvl w:val="0"/>
          <w:numId w:val="14"/>
        </w:numPr>
        <w:spacing w:after="120" w:line="276" w:lineRule="auto"/>
        <w:ind w:left="426" w:hanging="426"/>
        <w:rPr>
          <w:sz w:val="24"/>
          <w:szCs w:val="24"/>
        </w:rPr>
      </w:pPr>
      <w:r>
        <w:rPr>
          <w:sz w:val="24"/>
          <w:szCs w:val="24"/>
        </w:rPr>
        <w:t>w</w:t>
      </w:r>
      <w:r w:rsidRPr="00295E91">
        <w:rPr>
          <w:sz w:val="24"/>
          <w:szCs w:val="24"/>
        </w:rPr>
        <w:t xml:space="preserve"> </w:t>
      </w:r>
      <w:r w:rsidR="00FA7D5C" w:rsidRPr="00295E91">
        <w:rPr>
          <w:sz w:val="24"/>
          <w:szCs w:val="24"/>
        </w:rPr>
        <w:t xml:space="preserve">przypadku występowania w projekcie pomocy publicznej/pomocy </w:t>
      </w:r>
      <w:r w:rsidR="00FA7D5C" w:rsidRPr="00FA7D5C">
        <w:rPr>
          <w:i/>
          <w:iCs/>
          <w:sz w:val="24"/>
          <w:szCs w:val="24"/>
        </w:rPr>
        <w:t xml:space="preserve">de </w:t>
      </w:r>
      <w:proofErr w:type="spellStart"/>
      <w:r w:rsidR="00FA7D5C" w:rsidRPr="00FA7D5C">
        <w:rPr>
          <w:i/>
          <w:iCs/>
          <w:sz w:val="24"/>
          <w:szCs w:val="24"/>
        </w:rPr>
        <w:t>minimis</w:t>
      </w:r>
      <w:proofErr w:type="spellEnd"/>
      <w:r w:rsidR="00FA7D5C" w:rsidRPr="00295E91">
        <w:rPr>
          <w:sz w:val="24"/>
          <w:szCs w:val="24"/>
        </w:rPr>
        <w:t xml:space="preserve"> </w:t>
      </w:r>
      <w:r w:rsidR="00FA7D5C">
        <w:rPr>
          <w:sz w:val="24"/>
          <w:szCs w:val="24"/>
        </w:rPr>
        <w:t>minimalny wkład własny beneficjenta</w:t>
      </w:r>
      <w:r w:rsidR="00FA7D5C" w:rsidRPr="00295E91">
        <w:rPr>
          <w:sz w:val="24"/>
          <w:szCs w:val="24"/>
        </w:rPr>
        <w:t xml:space="preserve"> </w:t>
      </w:r>
      <w:r w:rsidR="00FA7D5C">
        <w:rPr>
          <w:sz w:val="24"/>
          <w:szCs w:val="24"/>
        </w:rPr>
        <w:t>musi być zgodny</w:t>
      </w:r>
      <w:r w:rsidR="00FA7D5C" w:rsidRPr="00295E91">
        <w:rPr>
          <w:sz w:val="24"/>
          <w:szCs w:val="24"/>
        </w:rPr>
        <w:t xml:space="preserve"> z zapisami właściwych rozporządzeń przywołanych w punktach 10 i 11.</w:t>
      </w:r>
    </w:p>
    <w:p w14:paraId="649B3CE5" w14:textId="77777777" w:rsidR="00F8319B" w:rsidRPr="00676940" w:rsidRDefault="00F8319B">
      <w:pPr>
        <w:pStyle w:val="Nagwek1"/>
        <w:numPr>
          <w:ilvl w:val="0"/>
          <w:numId w:val="1"/>
        </w:numPr>
        <w:spacing w:after="240" w:line="276" w:lineRule="auto"/>
        <w:ind w:left="426" w:hanging="426"/>
        <w:rPr>
          <w:rFonts w:cstheme="minorHAnsi"/>
          <w:b/>
          <w:bCs/>
        </w:rPr>
      </w:pPr>
      <w:bookmarkStart w:id="60" w:name="_Toc224647150"/>
      <w:r w:rsidRPr="00676940">
        <w:rPr>
          <w:rFonts w:asciiTheme="minorHAnsi" w:hAnsiTheme="minorHAnsi" w:cstheme="minorHAnsi"/>
          <w:b/>
          <w:color w:val="000000" w:themeColor="text1"/>
        </w:rPr>
        <w:t>Termin składania wniosków o dofinansowanie projektu</w:t>
      </w:r>
      <w:bookmarkEnd w:id="60"/>
    </w:p>
    <w:p w14:paraId="595BF898" w14:textId="7FB3D47E"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 xml:space="preserve">28 </w:t>
      </w:r>
      <w:r w:rsidR="00D8634A">
        <w:rPr>
          <w:b/>
          <w:bCs/>
          <w:sz w:val="24"/>
          <w:szCs w:val="24"/>
        </w:rPr>
        <w:t>kwietnia</w:t>
      </w:r>
      <w:r w:rsidR="00901110" w:rsidRPr="00F20F56">
        <w:rPr>
          <w:b/>
          <w:bCs/>
          <w:sz w:val="24"/>
          <w:szCs w:val="24"/>
        </w:rPr>
        <w:t xml:space="preserve"> do</w:t>
      </w:r>
      <w:r w:rsidR="00BE2992" w:rsidRPr="00F20F56">
        <w:rPr>
          <w:b/>
          <w:bCs/>
          <w:sz w:val="24"/>
          <w:szCs w:val="24"/>
        </w:rPr>
        <w:t xml:space="preserve"> </w:t>
      </w:r>
      <w:r w:rsidR="00D8634A">
        <w:rPr>
          <w:b/>
          <w:bCs/>
          <w:sz w:val="24"/>
          <w:szCs w:val="24"/>
        </w:rPr>
        <w:t>11</w:t>
      </w:r>
      <w:r w:rsidR="00850C7A" w:rsidRPr="00F20F56">
        <w:rPr>
          <w:b/>
          <w:bCs/>
          <w:sz w:val="24"/>
          <w:szCs w:val="24"/>
        </w:rPr>
        <w:t xml:space="preserve"> </w:t>
      </w:r>
      <w:r w:rsidR="00D8634A">
        <w:rPr>
          <w:b/>
          <w:bCs/>
          <w:sz w:val="24"/>
          <w:szCs w:val="24"/>
        </w:rPr>
        <w:t>maja</w:t>
      </w:r>
      <w:r w:rsidRPr="00F20F56">
        <w:rPr>
          <w:b/>
          <w:bCs/>
          <w:sz w:val="24"/>
          <w:szCs w:val="24"/>
        </w:rPr>
        <w:t xml:space="preserve"> </w:t>
      </w:r>
      <w:r w:rsidRPr="00E56AAA">
        <w:rPr>
          <w:b/>
          <w:bCs/>
          <w:sz w:val="24"/>
          <w:szCs w:val="24"/>
        </w:rPr>
        <w:t>202</w:t>
      </w:r>
      <w:r w:rsidR="00D8634A">
        <w:rPr>
          <w:b/>
          <w:bCs/>
          <w:sz w:val="24"/>
          <w:szCs w:val="24"/>
        </w:rPr>
        <w:t>6</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lastRenderedPageBreak/>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002D305F" w14:textId="77777777" w:rsidR="00F8319B" w:rsidRDefault="00F8319B">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pPr>
        <w:pStyle w:val="Nagwek1"/>
        <w:numPr>
          <w:ilvl w:val="0"/>
          <w:numId w:val="1"/>
        </w:numPr>
        <w:spacing w:after="240" w:line="276" w:lineRule="auto"/>
        <w:ind w:left="426" w:hanging="426"/>
        <w:rPr>
          <w:rFonts w:cstheme="minorHAnsi"/>
          <w:b/>
          <w:bCs/>
        </w:rPr>
      </w:pPr>
      <w:bookmarkStart w:id="61" w:name="_Toc224647151"/>
      <w:r w:rsidRPr="00676940">
        <w:rPr>
          <w:rFonts w:asciiTheme="minorHAnsi" w:hAnsiTheme="minorHAnsi" w:cstheme="minorHAnsi"/>
          <w:b/>
          <w:color w:val="000000" w:themeColor="text1"/>
        </w:rPr>
        <w:t>Forma komunikacji</w:t>
      </w:r>
      <w:bookmarkEnd w:id="61"/>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34153EB0" w:rsidR="00FC2770" w:rsidRDefault="00FC2770" w:rsidP="00FC2770">
      <w:pPr>
        <w:spacing w:line="276" w:lineRule="auto"/>
        <w:rPr>
          <w:b/>
          <w:sz w:val="24"/>
          <w:szCs w:val="24"/>
        </w:rPr>
      </w:pPr>
      <w:r w:rsidRPr="001A7264">
        <w:rPr>
          <w:sz w:val="24"/>
          <w:szCs w:val="24"/>
        </w:rPr>
        <w:t xml:space="preserve">Elementem systemu LSI 2021-2027 jest </w:t>
      </w:r>
      <w:r w:rsidR="00FA7D5C">
        <w:rPr>
          <w:sz w:val="24"/>
          <w:szCs w:val="24"/>
        </w:rPr>
        <w:t>Panel Wnioskodawcy</w:t>
      </w:r>
      <w:r w:rsidRPr="001A7264">
        <w:rPr>
          <w:sz w:val="24"/>
          <w:szCs w:val="24"/>
        </w:rPr>
        <w:t>.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FA7D5C">
        <w:rPr>
          <w:b/>
          <w:sz w:val="24"/>
          <w:szCs w:val="24"/>
        </w:rPr>
        <w:t xml:space="preserve">Panel </w:t>
      </w:r>
      <w:r w:rsidR="00D94417">
        <w:rPr>
          <w:b/>
          <w:sz w:val="24"/>
          <w:szCs w:val="24"/>
        </w:rPr>
        <w:t>Wnioskodawcy</w:t>
      </w:r>
      <w:r w:rsidRPr="001A7264">
        <w:rPr>
          <w:b/>
          <w:sz w:val="24"/>
          <w:szCs w:val="24"/>
        </w:rPr>
        <w:t xml:space="preserve"> jest jedynym narzędziem dostępnym dla wnioskodawców, za</w:t>
      </w:r>
      <w:r w:rsidR="00162163">
        <w:rPr>
          <w:b/>
          <w:sz w:val="24"/>
          <w:szCs w:val="24"/>
        </w:rPr>
        <w:t> </w:t>
      </w:r>
      <w:r w:rsidRPr="001A7264">
        <w:rPr>
          <w:b/>
          <w:sz w:val="24"/>
          <w:szCs w:val="24"/>
        </w:rPr>
        <w:t>pomocą którego należy wypełnić i złożyć wniosek o dofinansowanie projektu w ramach programu FEO 2021-2027.</w:t>
      </w:r>
    </w:p>
    <w:p w14:paraId="0DCBC199" w14:textId="6A1627D3"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FA7D5C">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62" w:name="_Hlk156295161"/>
      <w:r w:rsidR="00BB0F51">
        <w:rPr>
          <w:b/>
          <w:sz w:val="24"/>
          <w:szCs w:val="24"/>
        </w:rPr>
        <w:t>Pismo przewodnie nie jest wymagane na etapie składania pierwotnej wersji wniosku.</w:t>
      </w:r>
    </w:p>
    <w:bookmarkEnd w:id="62"/>
    <w:p w14:paraId="5CCEBE35" w14:textId="5F2FFE85" w:rsidR="00FC2770" w:rsidRPr="001A7264" w:rsidRDefault="00FC2770" w:rsidP="00FC2770">
      <w:pPr>
        <w:spacing w:line="276" w:lineRule="auto"/>
        <w:rPr>
          <w:sz w:val="24"/>
          <w:szCs w:val="24"/>
        </w:rPr>
      </w:pPr>
      <w:r w:rsidRPr="001A7264">
        <w:rPr>
          <w:sz w:val="24"/>
          <w:szCs w:val="24"/>
        </w:rPr>
        <w:t xml:space="preserve">Adres strony internetowej </w:t>
      </w:r>
      <w:r w:rsidR="00FF7E63">
        <w:rPr>
          <w:sz w:val="24"/>
          <w:szCs w:val="24"/>
        </w:rPr>
        <w:t>Panelu Wnioskodawcy</w:t>
      </w:r>
      <w:r w:rsidRPr="001A7264">
        <w:rPr>
          <w:sz w:val="24"/>
          <w:szCs w:val="24"/>
        </w:rPr>
        <w:t xml:space="preserve">: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D8C3CAE" w14:textId="77777777" w:rsidR="00163D11" w:rsidRPr="003D2E81" w:rsidRDefault="00163D11" w:rsidP="00163D11">
      <w:pPr>
        <w:spacing w:after="40" w:line="276" w:lineRule="auto"/>
        <w:rPr>
          <w:rFonts w:cstheme="minorHAnsi"/>
          <w:b/>
          <w:sz w:val="24"/>
          <w:szCs w:val="24"/>
        </w:rPr>
      </w:pPr>
      <w:r w:rsidRPr="003D2E81">
        <w:rPr>
          <w:rFonts w:cstheme="minorHAnsi"/>
          <w:b/>
          <w:sz w:val="24"/>
          <w:szCs w:val="24"/>
        </w:rPr>
        <w:t>Panel Wnioskodawcy umożliwia złożenie załączników do wniosku o dofinansowanie projektu w wersji elektronicznej.</w:t>
      </w:r>
    </w:p>
    <w:p w14:paraId="5800A0EC" w14:textId="77777777" w:rsidR="00163D11" w:rsidRPr="003D2E81" w:rsidRDefault="00163D11" w:rsidP="00163D11">
      <w:pPr>
        <w:tabs>
          <w:tab w:val="left" w:pos="9214"/>
        </w:tabs>
        <w:spacing w:before="120" w:line="276" w:lineRule="auto"/>
        <w:rPr>
          <w:rFonts w:cstheme="minorHAnsi"/>
          <w:sz w:val="24"/>
          <w:szCs w:val="24"/>
        </w:rPr>
      </w:pPr>
      <w:r w:rsidRPr="003D2E81">
        <w:rPr>
          <w:rFonts w:cstheme="minorHAnsi"/>
          <w:sz w:val="24"/>
          <w:szCs w:val="24"/>
        </w:rPr>
        <w:t xml:space="preserve">Szczegółowe informacje odnośnie sposobu dostępu do formularza wniosku znajdują się </w:t>
      </w:r>
      <w:r>
        <w:rPr>
          <w:rFonts w:cstheme="minorHAnsi"/>
          <w:sz w:val="24"/>
          <w:szCs w:val="24"/>
        </w:rPr>
        <w:br/>
      </w:r>
      <w:r w:rsidRPr="003D2E81">
        <w:rPr>
          <w:rFonts w:cstheme="minorHAnsi"/>
          <w:sz w:val="24"/>
          <w:szCs w:val="24"/>
        </w:rPr>
        <w:t xml:space="preserve">w Instrukcji obsługi Panelu Wnioskodawcy FEO 2021-2027 stanowiącej załącznik nr </w:t>
      </w:r>
      <w:r>
        <w:rPr>
          <w:rFonts w:cstheme="minorHAnsi"/>
          <w:sz w:val="24"/>
          <w:szCs w:val="24"/>
        </w:rPr>
        <w:t>2 d</w:t>
      </w:r>
      <w:r w:rsidRPr="003D2E81">
        <w:rPr>
          <w:rFonts w:cstheme="minorHAnsi"/>
          <w:sz w:val="24"/>
          <w:szCs w:val="24"/>
        </w:rPr>
        <w:t>o Regulaminu.</w:t>
      </w:r>
    </w:p>
    <w:p w14:paraId="2B2A630A" w14:textId="77777777" w:rsidR="00163D11" w:rsidRPr="003D2E81" w:rsidRDefault="00163D11" w:rsidP="00FA7D5C">
      <w:pPr>
        <w:spacing w:after="120" w:line="276" w:lineRule="auto"/>
        <w:rPr>
          <w:rFonts w:cstheme="minorHAnsi"/>
          <w:b/>
          <w:sz w:val="24"/>
          <w:szCs w:val="24"/>
        </w:rPr>
      </w:pPr>
      <w:r w:rsidRPr="003D2E81">
        <w:rPr>
          <w:rFonts w:cstheme="minorHAnsi"/>
          <w:b/>
          <w:sz w:val="24"/>
          <w:szCs w:val="24"/>
        </w:rPr>
        <w:lastRenderedPageBreak/>
        <w:t>Każdy załącznik do wniosku powinien być złożony jako oddzielny plik. Nie jest dopuszczalne składanie załączników w formacie spakowanej uwzględniającej kilka różnych załączników.</w:t>
      </w:r>
    </w:p>
    <w:p w14:paraId="4B36AD6F" w14:textId="4C5D9ABD" w:rsidR="00FC2770" w:rsidRDefault="00163D11" w:rsidP="00FA7D5C">
      <w:pPr>
        <w:spacing w:before="120" w:after="120" w:line="276" w:lineRule="auto"/>
        <w:rPr>
          <w:sz w:val="24"/>
          <w:szCs w:val="24"/>
        </w:rPr>
      </w:pPr>
      <w:r w:rsidRPr="00E61C21">
        <w:rPr>
          <w:b/>
          <w:sz w:val="24"/>
          <w:szCs w:val="24"/>
        </w:rPr>
        <w:t xml:space="preserve">Jedyną dopuszczalną sytuacją, w której można dołączyć skompresowane pliki jest dokument </w:t>
      </w:r>
      <w:r w:rsidRPr="007618A7">
        <w:rPr>
          <w:b/>
          <w:sz w:val="24"/>
          <w:szCs w:val="24"/>
        </w:rPr>
        <w:t>podpisany podpisem kwalifikowanym znajdującym się w osobnym pliku z rozszerzeniem</w:t>
      </w:r>
      <w:r w:rsidRPr="00E61C21">
        <w:rPr>
          <w:b/>
          <w:sz w:val="24"/>
          <w:szCs w:val="24"/>
        </w:rPr>
        <w:t xml:space="preserve"> </w:t>
      </w:r>
      <w:proofErr w:type="spellStart"/>
      <w:r w:rsidRPr="007618A7">
        <w:rPr>
          <w:b/>
          <w:sz w:val="24"/>
          <w:szCs w:val="24"/>
        </w:rPr>
        <w:t>xades</w:t>
      </w:r>
      <w:proofErr w:type="spellEnd"/>
      <w:r w:rsidRPr="007618A7">
        <w:rPr>
          <w:b/>
          <w:sz w:val="24"/>
          <w:szCs w:val="24"/>
        </w:rPr>
        <w:t xml:space="preserve"> lub </w:t>
      </w:r>
      <w:proofErr w:type="spellStart"/>
      <w:r w:rsidRPr="007618A7">
        <w:rPr>
          <w:b/>
          <w:sz w:val="24"/>
          <w:szCs w:val="24"/>
        </w:rPr>
        <w:t>xml</w:t>
      </w:r>
      <w:proofErr w:type="spellEnd"/>
      <w:r w:rsidRPr="007618A7">
        <w:rPr>
          <w:b/>
          <w:sz w:val="24"/>
          <w:szCs w:val="24"/>
        </w:rPr>
        <w:t>, który zawiera jedynie odwołanie do dokumentu źródłowego, a nie jego treść.</w:t>
      </w:r>
      <w:r w:rsidRPr="00E61C21">
        <w:rPr>
          <w:b/>
          <w:sz w:val="24"/>
          <w:szCs w:val="24"/>
        </w:rPr>
        <w:t xml:space="preserve"> Wówczas można skompresować oryginalny plik z plikiem </w:t>
      </w:r>
      <w:proofErr w:type="spellStart"/>
      <w:r w:rsidRPr="00E61C21">
        <w:rPr>
          <w:b/>
          <w:sz w:val="24"/>
          <w:szCs w:val="24"/>
        </w:rPr>
        <w:t>xades</w:t>
      </w:r>
      <w:proofErr w:type="spellEnd"/>
      <w:r w:rsidR="00FC2770" w:rsidRPr="001A7264">
        <w:rPr>
          <w:sz w:val="24"/>
          <w:szCs w:val="24"/>
        </w:rPr>
        <w:t>.</w:t>
      </w:r>
    </w:p>
    <w:p w14:paraId="6EDA15B4" w14:textId="77777777" w:rsidR="00163D11" w:rsidRPr="00E61C21" w:rsidRDefault="00163D11" w:rsidP="00163D11">
      <w:pPr>
        <w:spacing w:after="40" w:line="276" w:lineRule="auto"/>
        <w:rPr>
          <w:bCs/>
          <w:sz w:val="24"/>
          <w:szCs w:val="24"/>
        </w:rPr>
      </w:pPr>
      <w:r w:rsidRPr="00E61C21">
        <w:rPr>
          <w:bCs/>
          <w:sz w:val="24"/>
          <w:szCs w:val="24"/>
          <w:u w:val="single"/>
        </w:rPr>
        <w:t>Nazwa każdego załącznika musi składać się z</w:t>
      </w:r>
      <w:r w:rsidRPr="00E61C21">
        <w:rPr>
          <w:bCs/>
          <w:sz w:val="24"/>
          <w:szCs w:val="24"/>
        </w:rPr>
        <w:t>:</w:t>
      </w:r>
    </w:p>
    <w:p w14:paraId="3F7F8D2E" w14:textId="77777777" w:rsidR="00163D11" w:rsidRPr="00E61C21" w:rsidRDefault="00163D11">
      <w:pPr>
        <w:pStyle w:val="Akapitzlist"/>
        <w:numPr>
          <w:ilvl w:val="0"/>
          <w:numId w:val="2"/>
        </w:numPr>
        <w:spacing w:after="40" w:line="276" w:lineRule="auto"/>
        <w:rPr>
          <w:bCs/>
          <w:sz w:val="24"/>
          <w:szCs w:val="24"/>
        </w:rPr>
      </w:pPr>
      <w:r w:rsidRPr="00E61C21">
        <w:rPr>
          <w:bCs/>
          <w:sz w:val="24"/>
          <w:szCs w:val="24"/>
        </w:rPr>
        <w:t>numeru załącznika (zgodnie z numeracją wskazaną w sekcji 10 wniosku);</w:t>
      </w:r>
    </w:p>
    <w:p w14:paraId="1B58020B" w14:textId="77777777" w:rsidR="00163D11" w:rsidRPr="00E61C21" w:rsidRDefault="00163D11">
      <w:pPr>
        <w:pStyle w:val="Akapitzlist"/>
        <w:numPr>
          <w:ilvl w:val="0"/>
          <w:numId w:val="2"/>
        </w:numPr>
        <w:spacing w:after="40" w:line="276" w:lineRule="auto"/>
        <w:rPr>
          <w:bCs/>
          <w:sz w:val="24"/>
          <w:szCs w:val="24"/>
        </w:rPr>
      </w:pPr>
      <w:r w:rsidRPr="00E61C21">
        <w:rPr>
          <w:bCs/>
          <w:sz w:val="24"/>
          <w:szCs w:val="24"/>
        </w:rPr>
        <w:t xml:space="preserve"> nazwy dokumentu;</w:t>
      </w:r>
    </w:p>
    <w:p w14:paraId="1A531BCB" w14:textId="77777777" w:rsidR="00163D11" w:rsidRPr="00E61C21" w:rsidRDefault="00163D11">
      <w:pPr>
        <w:pStyle w:val="Akapitzlist"/>
        <w:numPr>
          <w:ilvl w:val="0"/>
          <w:numId w:val="2"/>
        </w:numPr>
        <w:spacing w:after="40" w:line="276" w:lineRule="auto"/>
        <w:rPr>
          <w:bCs/>
          <w:sz w:val="24"/>
          <w:szCs w:val="24"/>
        </w:rPr>
      </w:pPr>
      <w:r w:rsidRPr="00E61C21">
        <w:rPr>
          <w:bCs/>
          <w:sz w:val="24"/>
          <w:szCs w:val="24"/>
        </w:rPr>
        <w:t xml:space="preserve"> nazwy wnioskodawcy, którego dotyczy (w przypadku projektu partnerskiego);</w:t>
      </w:r>
    </w:p>
    <w:p w14:paraId="015DEC47" w14:textId="77777777" w:rsidR="00163D11" w:rsidRPr="00922EB6" w:rsidRDefault="00163D11">
      <w:pPr>
        <w:pStyle w:val="Akapitzlist"/>
        <w:numPr>
          <w:ilvl w:val="0"/>
          <w:numId w:val="2"/>
        </w:numPr>
        <w:spacing w:after="40" w:line="276" w:lineRule="auto"/>
        <w:rPr>
          <w:bCs/>
          <w:sz w:val="24"/>
          <w:szCs w:val="24"/>
        </w:rPr>
      </w:pPr>
      <w:r w:rsidRPr="00E61C21">
        <w:rPr>
          <w:bCs/>
          <w:sz w:val="24"/>
          <w:szCs w:val="24"/>
        </w:rPr>
        <w:t xml:space="preserve"> numeru wersji załącznika</w:t>
      </w:r>
      <w:r>
        <w:rPr>
          <w:bCs/>
          <w:sz w:val="24"/>
          <w:szCs w:val="24"/>
        </w:rPr>
        <w:t xml:space="preserve"> albo słownego dopisku „korekta formalna” lub „korekta merytoryczna”</w:t>
      </w:r>
      <w:r w:rsidRPr="00E61C21">
        <w:rPr>
          <w:bCs/>
          <w:sz w:val="24"/>
          <w:szCs w:val="24"/>
        </w:rPr>
        <w:t>.</w:t>
      </w:r>
    </w:p>
    <w:p w14:paraId="0B3E15BF" w14:textId="77777777" w:rsidR="00163D11" w:rsidRPr="00E61C21" w:rsidRDefault="00163D11" w:rsidP="00163D11">
      <w:pPr>
        <w:spacing w:after="40" w:line="276" w:lineRule="auto"/>
        <w:rPr>
          <w:bCs/>
          <w:sz w:val="24"/>
          <w:szCs w:val="24"/>
        </w:rPr>
      </w:pPr>
      <w:r w:rsidRPr="00E61C21">
        <w:rPr>
          <w:bCs/>
          <w:sz w:val="24"/>
          <w:szCs w:val="24"/>
        </w:rPr>
        <w:t>Przykładowe nazwy załączników:</w:t>
      </w:r>
    </w:p>
    <w:p w14:paraId="67D4EB78" w14:textId="77777777" w:rsidR="00163D11" w:rsidRDefault="00163D11" w:rsidP="00163D11">
      <w:pPr>
        <w:spacing w:after="40" w:line="276" w:lineRule="auto"/>
        <w:rPr>
          <w:bCs/>
          <w:sz w:val="24"/>
          <w:szCs w:val="24"/>
        </w:rPr>
      </w:pPr>
      <w:r w:rsidRPr="00E61C21">
        <w:rPr>
          <w:bCs/>
          <w:sz w:val="24"/>
          <w:szCs w:val="24"/>
        </w:rPr>
        <w:t>Załącznik nr 1 – SWI</w:t>
      </w:r>
    </w:p>
    <w:p w14:paraId="6E5A50F1" w14:textId="77777777" w:rsidR="00163D11" w:rsidRPr="00E61C21" w:rsidRDefault="00163D11" w:rsidP="00163D11">
      <w:pPr>
        <w:spacing w:after="40" w:line="276" w:lineRule="auto"/>
        <w:rPr>
          <w:bCs/>
          <w:sz w:val="24"/>
          <w:szCs w:val="24"/>
        </w:rPr>
      </w:pPr>
      <w:r>
        <w:rPr>
          <w:bCs/>
          <w:sz w:val="24"/>
          <w:szCs w:val="24"/>
        </w:rPr>
        <w:t xml:space="preserve">Załącznik nr 1 – </w:t>
      </w:r>
      <w:proofErr w:type="spellStart"/>
      <w:r>
        <w:rPr>
          <w:bCs/>
          <w:sz w:val="24"/>
          <w:szCs w:val="24"/>
        </w:rPr>
        <w:t>SWI_korekta</w:t>
      </w:r>
      <w:proofErr w:type="spellEnd"/>
      <w:r>
        <w:rPr>
          <w:bCs/>
          <w:sz w:val="24"/>
          <w:szCs w:val="24"/>
        </w:rPr>
        <w:t xml:space="preserve"> formalna</w:t>
      </w:r>
    </w:p>
    <w:p w14:paraId="19E016C1" w14:textId="77777777" w:rsidR="00163D11" w:rsidRDefault="00163D11" w:rsidP="0081259C">
      <w:pPr>
        <w:spacing w:after="120" w:line="276" w:lineRule="auto"/>
        <w:rPr>
          <w:bCs/>
          <w:sz w:val="24"/>
          <w:szCs w:val="24"/>
        </w:rPr>
      </w:pPr>
      <w:r w:rsidRPr="00E61C21">
        <w:rPr>
          <w:bCs/>
          <w:sz w:val="24"/>
          <w:szCs w:val="24"/>
        </w:rPr>
        <w:t>Zał</w:t>
      </w:r>
      <w:r>
        <w:rPr>
          <w:bCs/>
          <w:sz w:val="24"/>
          <w:szCs w:val="24"/>
        </w:rPr>
        <w:t>ą</w:t>
      </w:r>
      <w:r w:rsidRPr="00E61C21">
        <w:rPr>
          <w:bCs/>
          <w:sz w:val="24"/>
          <w:szCs w:val="24"/>
        </w:rPr>
        <w:t xml:space="preserve">cznik nr 2 – formularz </w:t>
      </w:r>
      <w:proofErr w:type="spellStart"/>
      <w:r w:rsidRPr="00E61C21">
        <w:rPr>
          <w:bCs/>
          <w:sz w:val="24"/>
          <w:szCs w:val="24"/>
        </w:rPr>
        <w:t>OOŚ</w:t>
      </w:r>
      <w:r>
        <w:rPr>
          <w:bCs/>
          <w:sz w:val="24"/>
          <w:szCs w:val="24"/>
        </w:rPr>
        <w:t>_partner</w:t>
      </w:r>
      <w:proofErr w:type="spellEnd"/>
      <w:r>
        <w:rPr>
          <w:bCs/>
          <w:sz w:val="24"/>
          <w:szCs w:val="24"/>
        </w:rPr>
        <w:t xml:space="preserve"> 2</w:t>
      </w:r>
    </w:p>
    <w:p w14:paraId="44D59E7D" w14:textId="77777777" w:rsidR="00163D11" w:rsidRPr="00E61C21" w:rsidRDefault="00163D11" w:rsidP="00163D11">
      <w:pPr>
        <w:spacing w:after="40" w:line="276" w:lineRule="auto"/>
        <w:rPr>
          <w:bCs/>
          <w:sz w:val="24"/>
          <w:szCs w:val="24"/>
        </w:rPr>
      </w:pPr>
      <w:r w:rsidRPr="00E61C21">
        <w:rPr>
          <w:bCs/>
          <w:sz w:val="24"/>
          <w:szCs w:val="24"/>
        </w:rPr>
        <w:t>Jeśli w ramach jednego numeru załącznika do wniosku występuje kilka dokumentów należy</w:t>
      </w:r>
    </w:p>
    <w:p w14:paraId="522DF9FA" w14:textId="77777777" w:rsidR="00163D11" w:rsidRPr="00E61C21" w:rsidRDefault="00163D11" w:rsidP="00163D11">
      <w:pPr>
        <w:spacing w:after="40" w:line="276" w:lineRule="auto"/>
        <w:rPr>
          <w:bCs/>
          <w:sz w:val="24"/>
          <w:szCs w:val="24"/>
        </w:rPr>
      </w:pPr>
      <w:r w:rsidRPr="00E61C21">
        <w:rPr>
          <w:bCs/>
          <w:sz w:val="24"/>
          <w:szCs w:val="24"/>
        </w:rPr>
        <w:t>je odpowiednio nazwać i ponumerować, np.</w:t>
      </w:r>
    </w:p>
    <w:p w14:paraId="48DBBA1F" w14:textId="77777777" w:rsidR="00163D11" w:rsidRPr="00E61C21" w:rsidRDefault="00163D11" w:rsidP="00163D11">
      <w:pPr>
        <w:spacing w:after="40" w:line="276" w:lineRule="auto"/>
        <w:rPr>
          <w:bCs/>
          <w:sz w:val="24"/>
          <w:szCs w:val="24"/>
        </w:rPr>
      </w:pPr>
      <w:r>
        <w:rPr>
          <w:bCs/>
          <w:sz w:val="24"/>
          <w:szCs w:val="24"/>
        </w:rPr>
        <w:t xml:space="preserve">- </w:t>
      </w:r>
      <w:r w:rsidRPr="00E61C21">
        <w:rPr>
          <w:bCs/>
          <w:sz w:val="24"/>
          <w:szCs w:val="24"/>
        </w:rPr>
        <w:t xml:space="preserve">Załącznik nr 1 </w:t>
      </w:r>
      <w:r>
        <w:rPr>
          <w:bCs/>
          <w:sz w:val="24"/>
          <w:szCs w:val="24"/>
        </w:rPr>
        <w:t>–</w:t>
      </w:r>
      <w:r w:rsidRPr="00E61C21">
        <w:rPr>
          <w:bCs/>
          <w:sz w:val="24"/>
          <w:szCs w:val="24"/>
        </w:rPr>
        <w:t xml:space="preserve"> SWI</w:t>
      </w:r>
      <w:r>
        <w:rPr>
          <w:bCs/>
          <w:sz w:val="24"/>
          <w:szCs w:val="24"/>
        </w:rPr>
        <w:t>;</w:t>
      </w:r>
    </w:p>
    <w:p w14:paraId="308009FC" w14:textId="77777777" w:rsidR="00163D11" w:rsidRPr="00E61C21" w:rsidRDefault="00163D11" w:rsidP="00163D11">
      <w:pPr>
        <w:spacing w:after="40" w:line="276" w:lineRule="auto"/>
        <w:rPr>
          <w:bCs/>
          <w:sz w:val="24"/>
          <w:szCs w:val="24"/>
        </w:rPr>
      </w:pPr>
      <w:r>
        <w:rPr>
          <w:bCs/>
          <w:sz w:val="24"/>
          <w:szCs w:val="24"/>
        </w:rPr>
        <w:t xml:space="preserve">- </w:t>
      </w:r>
      <w:r w:rsidRPr="00E61C21">
        <w:rPr>
          <w:bCs/>
          <w:sz w:val="24"/>
          <w:szCs w:val="24"/>
        </w:rPr>
        <w:t>Załącznik nr 1.1 – analiza finansowa</w:t>
      </w:r>
      <w:r>
        <w:rPr>
          <w:bCs/>
          <w:sz w:val="24"/>
          <w:szCs w:val="24"/>
        </w:rPr>
        <w:t>;</w:t>
      </w:r>
    </w:p>
    <w:p w14:paraId="3B0BD067" w14:textId="77777777" w:rsidR="00163D11" w:rsidRPr="00E61C21" w:rsidRDefault="00163D11" w:rsidP="00163D11">
      <w:pPr>
        <w:spacing w:after="40" w:line="276" w:lineRule="auto"/>
        <w:rPr>
          <w:bCs/>
          <w:sz w:val="24"/>
          <w:szCs w:val="24"/>
        </w:rPr>
      </w:pPr>
      <w:r>
        <w:rPr>
          <w:bCs/>
          <w:sz w:val="24"/>
          <w:szCs w:val="24"/>
        </w:rPr>
        <w:t>l</w:t>
      </w:r>
      <w:r w:rsidRPr="00E61C21">
        <w:rPr>
          <w:bCs/>
          <w:sz w:val="24"/>
          <w:szCs w:val="24"/>
        </w:rPr>
        <w:t>ub</w:t>
      </w:r>
    </w:p>
    <w:p w14:paraId="4F46E0AD" w14:textId="77777777" w:rsidR="00163D11" w:rsidRDefault="00163D11" w:rsidP="00163D11">
      <w:pPr>
        <w:spacing w:after="40" w:line="276" w:lineRule="auto"/>
        <w:rPr>
          <w:bCs/>
          <w:sz w:val="24"/>
          <w:szCs w:val="24"/>
        </w:rPr>
      </w:pPr>
      <w:r>
        <w:rPr>
          <w:bCs/>
          <w:sz w:val="24"/>
          <w:szCs w:val="24"/>
        </w:rPr>
        <w:t xml:space="preserve">- </w:t>
      </w:r>
      <w:r w:rsidRPr="00E61C21">
        <w:rPr>
          <w:bCs/>
          <w:sz w:val="24"/>
          <w:szCs w:val="24"/>
        </w:rPr>
        <w:t xml:space="preserve">Załącznik nr </w:t>
      </w:r>
      <w:r>
        <w:rPr>
          <w:bCs/>
          <w:sz w:val="24"/>
          <w:szCs w:val="24"/>
        </w:rPr>
        <w:t>8</w:t>
      </w:r>
      <w:r w:rsidRPr="00E61C21">
        <w:rPr>
          <w:bCs/>
          <w:sz w:val="24"/>
          <w:szCs w:val="24"/>
        </w:rPr>
        <w:t>.</w:t>
      </w:r>
      <w:r>
        <w:rPr>
          <w:bCs/>
          <w:sz w:val="24"/>
          <w:szCs w:val="24"/>
        </w:rPr>
        <w:t>1</w:t>
      </w:r>
      <w:r w:rsidRPr="00E61C21">
        <w:rPr>
          <w:bCs/>
          <w:sz w:val="24"/>
          <w:szCs w:val="24"/>
        </w:rPr>
        <w:t xml:space="preserve"> – </w:t>
      </w:r>
      <w:r>
        <w:rPr>
          <w:bCs/>
          <w:sz w:val="24"/>
          <w:szCs w:val="24"/>
        </w:rPr>
        <w:t>Oświadczenie o zgodności tytułów;</w:t>
      </w:r>
    </w:p>
    <w:p w14:paraId="6D261DD8" w14:textId="77777777" w:rsidR="00163D11" w:rsidRPr="005A2961" w:rsidRDefault="00163D11" w:rsidP="00163D11">
      <w:pPr>
        <w:spacing w:after="120" w:line="276" w:lineRule="auto"/>
        <w:rPr>
          <w:bCs/>
          <w:sz w:val="24"/>
          <w:szCs w:val="24"/>
        </w:rPr>
      </w:pPr>
      <w:r>
        <w:rPr>
          <w:bCs/>
          <w:sz w:val="24"/>
          <w:szCs w:val="24"/>
        </w:rPr>
        <w:t>- Załącznik nr 8.2 – Pozwolenie konserwatora zabytków.</w:t>
      </w:r>
    </w:p>
    <w:p w14:paraId="5ABF101D" w14:textId="5DC2F174" w:rsidR="00163D11" w:rsidRPr="00163D11" w:rsidRDefault="00163D11" w:rsidP="00163D11">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Pr>
          <w:sz w:val="24"/>
          <w:szCs w:val="24"/>
        </w:rPr>
        <w:t>Panelu Wnioskodawcy</w:t>
      </w:r>
      <w:r w:rsidRPr="001A7264">
        <w:rPr>
          <w:sz w:val="24"/>
          <w:szCs w:val="24"/>
        </w:rPr>
        <w:t xml:space="preserve"> FEO 2021-2027 stanowiącej załącznik nr 2 do</w:t>
      </w:r>
      <w:r>
        <w:rPr>
          <w:sz w:val="24"/>
          <w:szCs w:val="24"/>
        </w:rPr>
        <w:t> </w:t>
      </w:r>
      <w:r w:rsidRPr="001A7264">
        <w:rPr>
          <w:sz w:val="24"/>
          <w:szCs w:val="24"/>
        </w:rPr>
        <w:t>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5B3FBB2F" w:rsidR="00FC2770" w:rsidRPr="004958E0" w:rsidRDefault="00823E60">
      <w:pPr>
        <w:pStyle w:val="Akapitzlist"/>
        <w:numPr>
          <w:ilvl w:val="0"/>
          <w:numId w:val="31"/>
        </w:numPr>
        <w:spacing w:after="120" w:line="276" w:lineRule="auto"/>
        <w:rPr>
          <w:color w:val="000000" w:themeColor="text1"/>
          <w:sz w:val="24"/>
          <w:szCs w:val="24"/>
        </w:rPr>
      </w:pPr>
      <w:r>
        <w:rPr>
          <w:color w:val="000000" w:themeColor="text1"/>
          <w:sz w:val="24"/>
          <w:szCs w:val="24"/>
        </w:rPr>
        <w:t>zamieszczenie</w:t>
      </w:r>
      <w:r w:rsidRPr="004958E0">
        <w:rPr>
          <w:color w:val="000000" w:themeColor="text1"/>
          <w:sz w:val="24"/>
          <w:szCs w:val="24"/>
        </w:rPr>
        <w:t xml:space="preserve"> </w:t>
      </w:r>
      <w:r w:rsidR="00163D11" w:rsidRPr="004958E0">
        <w:rPr>
          <w:color w:val="000000" w:themeColor="text1"/>
          <w:sz w:val="24"/>
          <w:szCs w:val="24"/>
        </w:rPr>
        <w:t>R</w:t>
      </w:r>
      <w:r w:rsidR="00FC2770" w:rsidRPr="004958E0">
        <w:rPr>
          <w:color w:val="000000" w:themeColor="text1"/>
          <w:sz w:val="24"/>
          <w:szCs w:val="24"/>
        </w:rPr>
        <w:t xml:space="preserve">egulaminu wyboru projektów </w:t>
      </w:r>
      <w:r>
        <w:rPr>
          <w:color w:val="000000" w:themeColor="text1"/>
          <w:sz w:val="24"/>
          <w:szCs w:val="24"/>
        </w:rPr>
        <w:t xml:space="preserve">na stronie </w:t>
      </w:r>
      <w:hyperlink r:id="rId10" w:history="1">
        <w:r w:rsidRPr="00E50212">
          <w:rPr>
            <w:rStyle w:val="Hipercze"/>
            <w:rFonts w:cstheme="minorHAnsi"/>
          </w:rPr>
          <w:t>FEO 2021-2027</w:t>
        </w:r>
      </w:hyperlink>
      <w:r>
        <w:rPr>
          <w:rFonts w:eastAsia="Calibri" w:cstheme="minorHAnsi"/>
          <w:sz w:val="24"/>
          <w:szCs w:val="24"/>
        </w:rPr>
        <w:t xml:space="preserve"> oraz na </w:t>
      </w:r>
      <w:hyperlink r:id="rId11" w:history="1">
        <w:r w:rsidRPr="00823E60">
          <w:rPr>
            <w:rStyle w:val="Hipercze"/>
            <w:rFonts w:eastAsia="Calibri" w:cstheme="minorHAnsi"/>
            <w:sz w:val="24"/>
            <w:szCs w:val="24"/>
          </w:rPr>
          <w:t>portalu FE</w:t>
        </w:r>
      </w:hyperlink>
      <w:r>
        <w:rPr>
          <w:rFonts w:eastAsia="Calibri" w:cstheme="minorHAnsi"/>
          <w:sz w:val="24"/>
          <w:szCs w:val="24"/>
        </w:rPr>
        <w:t>.</w:t>
      </w:r>
      <w:r w:rsidR="00FC2770" w:rsidRPr="004958E0">
        <w:rPr>
          <w:color w:val="000000" w:themeColor="text1"/>
          <w:sz w:val="24"/>
          <w:szCs w:val="24"/>
        </w:rPr>
        <w:t>;</w:t>
      </w:r>
    </w:p>
    <w:p w14:paraId="1CD54475" w14:textId="77777777" w:rsidR="00FC2770" w:rsidRPr="004958E0" w:rsidRDefault="00FC2770">
      <w:pPr>
        <w:pStyle w:val="Akapitzlist"/>
        <w:numPr>
          <w:ilvl w:val="0"/>
          <w:numId w:val="31"/>
        </w:numPr>
        <w:spacing w:after="120" w:line="276" w:lineRule="auto"/>
        <w:rPr>
          <w:color w:val="000000" w:themeColor="text1"/>
          <w:sz w:val="24"/>
          <w:szCs w:val="24"/>
        </w:rPr>
      </w:pPr>
      <w:r w:rsidRPr="004958E0">
        <w:rPr>
          <w:color w:val="000000" w:themeColor="text1"/>
          <w:sz w:val="24"/>
          <w:szCs w:val="24"/>
        </w:rPr>
        <w:t>składanie wniosków o dofinansowanie projektu i załączników wyłącznie za pomocą systemu teleinformatycznego LSI 2021-2027;</w:t>
      </w:r>
    </w:p>
    <w:p w14:paraId="3CAFEDBB" w14:textId="77777777" w:rsidR="00FC2770" w:rsidRPr="004958E0" w:rsidRDefault="00FC2770">
      <w:pPr>
        <w:pStyle w:val="Akapitzlist"/>
        <w:numPr>
          <w:ilvl w:val="0"/>
          <w:numId w:val="31"/>
        </w:numPr>
        <w:spacing w:after="120" w:line="276" w:lineRule="auto"/>
        <w:rPr>
          <w:color w:val="000000" w:themeColor="text1"/>
          <w:sz w:val="24"/>
          <w:szCs w:val="24"/>
        </w:rPr>
      </w:pPr>
      <w:r w:rsidRPr="004958E0">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69EE4A3C" w14:textId="77777777" w:rsidR="00163D11" w:rsidRPr="004958E0" w:rsidRDefault="00163D11">
      <w:pPr>
        <w:pStyle w:val="Akapitzlist"/>
        <w:numPr>
          <w:ilvl w:val="0"/>
          <w:numId w:val="31"/>
        </w:numPr>
        <w:spacing w:after="120" w:line="276" w:lineRule="auto"/>
        <w:rPr>
          <w:rFonts w:cstheme="minorHAnsi"/>
          <w:color w:val="000000" w:themeColor="text1"/>
          <w:sz w:val="24"/>
          <w:szCs w:val="24"/>
        </w:rPr>
      </w:pPr>
      <w:r w:rsidRPr="004958E0">
        <w:rPr>
          <w:rFonts w:cstheme="minorHAnsi"/>
          <w:color w:val="000000" w:themeColor="text1"/>
          <w:sz w:val="24"/>
          <w:szCs w:val="24"/>
        </w:rPr>
        <w:lastRenderedPageBreak/>
        <w:t xml:space="preserve">informację o zatwierdzonym wyniku oceny projektu oznaczającym wybór projektu do dofinansowania albo stanowiącym ocenę negatywną, o której mowa w art. 56 ust. 5 </w:t>
      </w:r>
      <w:r w:rsidRPr="004958E0">
        <w:rPr>
          <w:rFonts w:cstheme="minorHAnsi"/>
          <w:color w:val="000000" w:themeColor="text1"/>
          <w:sz w:val="24"/>
          <w:szCs w:val="24"/>
        </w:rPr>
        <w:br/>
        <w:t xml:space="preserve">i 6 ustawy wdrożeniowej IZ przekazuje niezwłocznie wnioskodawcy w formie pisemnej lub w formie elektronicznej. Do doręczenia informacji stosuje się przepisy działu I rozdziału 8 KPA.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pPr>
        <w:pStyle w:val="Nagwek1"/>
        <w:numPr>
          <w:ilvl w:val="0"/>
          <w:numId w:val="1"/>
        </w:numPr>
        <w:spacing w:before="360" w:after="240" w:line="276" w:lineRule="auto"/>
        <w:ind w:left="425" w:hanging="425"/>
        <w:rPr>
          <w:rFonts w:cstheme="minorHAnsi"/>
          <w:b/>
          <w:bCs/>
        </w:rPr>
      </w:pPr>
      <w:bookmarkStart w:id="63" w:name="_Toc224647152"/>
      <w:r w:rsidRPr="00676940">
        <w:rPr>
          <w:rFonts w:asciiTheme="minorHAnsi" w:hAnsiTheme="minorHAnsi" w:cstheme="minorHAnsi"/>
          <w:b/>
          <w:color w:val="000000" w:themeColor="text1"/>
        </w:rPr>
        <w:t>Ocena projektu i sposób wyboru projektów</w:t>
      </w:r>
      <w:bookmarkEnd w:id="63"/>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pPr>
        <w:pStyle w:val="Akapitzlist"/>
        <w:numPr>
          <w:ilvl w:val="0"/>
          <w:numId w:val="13"/>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pPr>
        <w:pStyle w:val="Akapitzlist"/>
        <w:numPr>
          <w:ilvl w:val="0"/>
          <w:numId w:val="13"/>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pPr>
        <w:pStyle w:val="Akapitzlist"/>
        <w:numPr>
          <w:ilvl w:val="0"/>
          <w:numId w:val="13"/>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58B34F60" w14:textId="77777777" w:rsidR="00697845" w:rsidRDefault="00697845" w:rsidP="00697845">
      <w:pPr>
        <w:spacing w:after="120" w:line="276" w:lineRule="auto"/>
        <w:rPr>
          <w:b/>
          <w:sz w:val="24"/>
          <w:szCs w:val="24"/>
        </w:rPr>
      </w:pPr>
      <w:r w:rsidRPr="00B57D3C">
        <w:rPr>
          <w:b/>
          <w:iCs/>
          <w:sz w:val="24"/>
          <w:szCs w:val="24"/>
        </w:rPr>
        <w:t xml:space="preserve">Etap I </w:t>
      </w:r>
      <w:r w:rsidRPr="00B57D3C">
        <w:rPr>
          <w:b/>
          <w:sz w:val="24"/>
          <w:szCs w:val="24"/>
        </w:rPr>
        <w:t>-</w:t>
      </w:r>
      <w:r w:rsidRPr="00B57D3C">
        <w:rPr>
          <w:b/>
          <w:iCs/>
          <w:sz w:val="24"/>
          <w:szCs w:val="24"/>
        </w:rPr>
        <w:t xml:space="preserve"> ocena formalna dostępowa</w:t>
      </w:r>
      <w:r w:rsidRPr="00001E94">
        <w:rPr>
          <w:bCs/>
          <w:iCs/>
          <w:sz w:val="24"/>
          <w:szCs w:val="24"/>
        </w:rPr>
        <w:t xml:space="preserve"> –</w:t>
      </w:r>
      <w:r w:rsidRPr="00B57D3C">
        <w:rPr>
          <w:b/>
          <w:iCs/>
          <w:sz w:val="24"/>
          <w:szCs w:val="24"/>
        </w:rPr>
        <w:t xml:space="preserve"> </w:t>
      </w:r>
      <w:r w:rsidRPr="00B57D3C">
        <w:rPr>
          <w:bCs/>
          <w:iCs/>
          <w:sz w:val="24"/>
          <w:szCs w:val="24"/>
        </w:rPr>
        <w:t>rozpoczyna się kolejnego dnia po zakończeniu naboru wniosków o dofinansowanie projektu</w:t>
      </w:r>
      <w:r>
        <w:rPr>
          <w:bCs/>
          <w:iCs/>
          <w:sz w:val="24"/>
          <w:szCs w:val="24"/>
        </w:rPr>
        <w:t>.</w:t>
      </w:r>
    </w:p>
    <w:p w14:paraId="71F90BF6" w14:textId="77777777" w:rsidR="00697845" w:rsidRDefault="00697845" w:rsidP="00697845">
      <w:pPr>
        <w:spacing w:after="120" w:line="276" w:lineRule="auto"/>
        <w:rPr>
          <w:rFonts w:ascii="Calibri" w:eastAsia="Times New Roman" w:hAnsi="Calibri" w:cs="Times New Roman"/>
          <w:bCs/>
          <w:iCs/>
          <w:sz w:val="24"/>
          <w:szCs w:val="24"/>
          <w:lang w:eastAsia="pl-PL"/>
        </w:rPr>
      </w:pPr>
      <w:r w:rsidRPr="001A7264">
        <w:rPr>
          <w:b/>
          <w:sz w:val="24"/>
          <w:szCs w:val="24"/>
        </w:rPr>
        <w:t xml:space="preserve">Etap </w:t>
      </w:r>
      <w:r w:rsidRPr="00B57D3C">
        <w:rPr>
          <w:b/>
          <w:sz w:val="24"/>
          <w:szCs w:val="24"/>
        </w:rPr>
        <w:t>II - ocena formalna</w:t>
      </w:r>
      <w:r w:rsidRPr="001A7264">
        <w:rPr>
          <w:sz w:val="24"/>
          <w:szCs w:val="24"/>
        </w:rPr>
        <w:t xml:space="preserve"> </w:t>
      </w:r>
      <w:r>
        <w:rPr>
          <w:sz w:val="24"/>
          <w:szCs w:val="24"/>
        </w:rPr>
        <w:t>–</w:t>
      </w:r>
      <w:r w:rsidRPr="001A7264">
        <w:rPr>
          <w:sz w:val="24"/>
          <w:szCs w:val="24"/>
        </w:rPr>
        <w:t xml:space="preserve"> </w:t>
      </w:r>
      <w:r w:rsidRPr="00001E94">
        <w:rPr>
          <w:rFonts w:ascii="Calibri" w:eastAsia="Times New Roman" w:hAnsi="Calibri" w:cs="Times New Roman"/>
          <w:iCs/>
          <w:sz w:val="24"/>
          <w:szCs w:val="24"/>
          <w:lang w:eastAsia="pl-PL"/>
        </w:rPr>
        <w:t xml:space="preserve">projekty pozytywnie ocenione na etapie oceny formalnej dostępowej poddawane są ocenie formalnej, która </w:t>
      </w:r>
      <w:r w:rsidRPr="00001E94">
        <w:rPr>
          <w:rFonts w:ascii="Calibri" w:eastAsia="Times New Roman" w:hAnsi="Calibri" w:cs="Times New Roman"/>
          <w:bCs/>
          <w:iCs/>
          <w:sz w:val="24"/>
          <w:szCs w:val="24"/>
          <w:lang w:eastAsia="pl-PL"/>
        </w:rPr>
        <w:t>rozpoczyna się od dnia następnego po zakończeniu oceny formalnej dostępowej</w:t>
      </w:r>
      <w:r w:rsidRPr="00031469">
        <w:rPr>
          <w:rFonts w:ascii="Calibri" w:eastAsia="Times New Roman" w:hAnsi="Calibri" w:cs="Times New Roman"/>
          <w:bCs/>
          <w:iCs/>
          <w:sz w:val="24"/>
          <w:szCs w:val="24"/>
          <w:lang w:eastAsia="pl-PL"/>
        </w:rPr>
        <w:t>.</w:t>
      </w:r>
    </w:p>
    <w:p w14:paraId="7A4CC065" w14:textId="77777777" w:rsidR="00697845" w:rsidRPr="00001E94" w:rsidRDefault="00697845" w:rsidP="00697845">
      <w:pPr>
        <w:autoSpaceDE w:val="0"/>
        <w:autoSpaceDN w:val="0"/>
        <w:adjustRightInd w:val="0"/>
        <w:spacing w:after="120" w:line="276" w:lineRule="auto"/>
        <w:rPr>
          <w:rFonts w:ascii="Calibri" w:eastAsia="Times New Roman" w:hAnsi="Calibri" w:cs="Times New Roman"/>
          <w:iCs/>
          <w:sz w:val="24"/>
          <w:szCs w:val="24"/>
          <w:u w:val="single"/>
          <w:lang w:eastAsia="pl-PL"/>
        </w:rPr>
      </w:pPr>
      <w:r w:rsidRPr="00001E94">
        <w:rPr>
          <w:rFonts w:ascii="Calibri" w:eastAsia="Times New Roman" w:hAnsi="Calibri" w:cs="Times New Roman"/>
          <w:iCs/>
          <w:sz w:val="24"/>
          <w:szCs w:val="24"/>
          <w:u w:val="single"/>
          <w:lang w:eastAsia="pl-PL"/>
        </w:rPr>
        <w:t>Etap I oraz etap II łącznie trwają do 100 dni kalendarzowych.</w:t>
      </w:r>
    </w:p>
    <w:p w14:paraId="6D7DCF69" w14:textId="77777777" w:rsidR="00697845" w:rsidRPr="001A7264" w:rsidRDefault="00697845" w:rsidP="00697845">
      <w:pPr>
        <w:spacing w:after="120" w:line="276" w:lineRule="auto"/>
        <w:rPr>
          <w:sz w:val="24"/>
          <w:szCs w:val="24"/>
        </w:rPr>
      </w:pPr>
      <w:r w:rsidRPr="001A7264">
        <w:rPr>
          <w:b/>
          <w:sz w:val="24"/>
          <w:szCs w:val="24"/>
        </w:rPr>
        <w:t>Etap II</w:t>
      </w:r>
      <w:r>
        <w:rPr>
          <w:b/>
          <w:sz w:val="24"/>
          <w:szCs w:val="24"/>
        </w:rPr>
        <w:t>I</w:t>
      </w:r>
      <w:r w:rsidRPr="001A7264">
        <w:rPr>
          <w:sz w:val="24"/>
          <w:szCs w:val="24"/>
        </w:rPr>
        <w:t xml:space="preserve"> </w:t>
      </w:r>
      <w:r w:rsidRPr="00B57D3C">
        <w:rPr>
          <w:b/>
          <w:bCs/>
          <w:sz w:val="24"/>
          <w:szCs w:val="24"/>
        </w:rPr>
        <w:t>- ocena merytoryczna</w:t>
      </w:r>
      <w:r w:rsidRPr="001A7264">
        <w:rPr>
          <w:sz w:val="24"/>
          <w:szCs w:val="24"/>
        </w:rPr>
        <w:t xml:space="preserve"> </w:t>
      </w:r>
      <w:r>
        <w:rPr>
          <w:sz w:val="24"/>
          <w:szCs w:val="24"/>
        </w:rPr>
        <w:t>–</w:t>
      </w:r>
      <w:r w:rsidRPr="001A7264">
        <w:rPr>
          <w:sz w:val="24"/>
          <w:szCs w:val="24"/>
        </w:rPr>
        <w:t xml:space="preserve"> </w:t>
      </w:r>
      <w:r w:rsidRPr="00B57D3C">
        <w:rPr>
          <w:iCs/>
          <w:sz w:val="24"/>
          <w:szCs w:val="24"/>
        </w:rPr>
        <w:t xml:space="preserve">projekty pozytywnie ocenione pod względem formalnym poddawane są ocenie merytorycznej, która </w:t>
      </w:r>
      <w:r w:rsidRPr="008F5E2C">
        <w:rPr>
          <w:iCs/>
          <w:sz w:val="24"/>
          <w:szCs w:val="24"/>
          <w:u w:val="single"/>
        </w:rPr>
        <w:t>trwa do 100 dni kalendarzowych</w:t>
      </w:r>
      <w:r w:rsidRPr="00B57D3C">
        <w:rPr>
          <w:iCs/>
          <w:sz w:val="24"/>
          <w:szCs w:val="24"/>
        </w:rPr>
        <w:t xml:space="preserve"> liczonych od dnia następnego po zakończeniu etapu oceny formalnej.</w:t>
      </w:r>
    </w:p>
    <w:p w14:paraId="3DC4E50A" w14:textId="77777777" w:rsidR="00640113" w:rsidRPr="00697845" w:rsidRDefault="00640113" w:rsidP="00086CE2">
      <w:pPr>
        <w:spacing w:after="120" w:line="276" w:lineRule="auto"/>
        <w:rPr>
          <w:sz w:val="24"/>
          <w:szCs w:val="24"/>
        </w:rPr>
      </w:pPr>
      <w:r w:rsidRPr="00697845">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BA18054" w:rsidR="00086CE2" w:rsidRPr="00697845" w:rsidRDefault="00086CE2" w:rsidP="00697845">
      <w:pPr>
        <w:spacing w:after="120" w:line="276" w:lineRule="auto"/>
        <w:rPr>
          <w:sz w:val="24"/>
          <w:szCs w:val="24"/>
        </w:rPr>
      </w:pPr>
      <w:r w:rsidRPr="00697845">
        <w:rPr>
          <w:sz w:val="24"/>
          <w:szCs w:val="24"/>
        </w:rPr>
        <w:t>Szczegółowy opis procedury oceny projektów w ramach postępowania konkurencyjnego znajduje się w załączniku nr 1 do regulaminu pn. Procedura oceny projektów.</w:t>
      </w:r>
    </w:p>
    <w:p w14:paraId="03D86994" w14:textId="77777777" w:rsidR="00086CE2" w:rsidRDefault="00086CE2" w:rsidP="00086CE2">
      <w:pPr>
        <w:spacing w:after="0" w:line="276" w:lineRule="auto"/>
        <w:rPr>
          <w:sz w:val="24"/>
          <w:szCs w:val="24"/>
        </w:rPr>
      </w:pPr>
      <w:r w:rsidRPr="00697845">
        <w:rPr>
          <w:sz w:val="24"/>
          <w:szCs w:val="24"/>
        </w:rPr>
        <w:lastRenderedPageBreak/>
        <w:t>Komisja Oceny Projektów pracuje zgodnie z zasadami i trybem określonym w „Regulaminie pracy Komisji Oceny Projektów oceniającej projekty w ramach EFRR FEO 2021-2027”.</w:t>
      </w:r>
    </w:p>
    <w:p w14:paraId="0886A20B" w14:textId="77777777" w:rsidR="00086CE2" w:rsidRPr="00676940" w:rsidRDefault="00086CE2">
      <w:pPr>
        <w:pStyle w:val="Nagwek1"/>
        <w:numPr>
          <w:ilvl w:val="0"/>
          <w:numId w:val="1"/>
        </w:numPr>
        <w:spacing w:before="360" w:after="240" w:line="276" w:lineRule="auto"/>
        <w:ind w:left="425" w:hanging="425"/>
        <w:rPr>
          <w:rFonts w:cstheme="minorHAnsi"/>
          <w:b/>
          <w:bCs/>
        </w:rPr>
      </w:pPr>
      <w:bookmarkStart w:id="64" w:name="_Toc224647153"/>
      <w:r w:rsidRPr="00676940">
        <w:rPr>
          <w:rFonts w:asciiTheme="minorHAnsi" w:hAnsiTheme="minorHAnsi" w:cstheme="minorHAnsi"/>
          <w:b/>
          <w:bCs/>
          <w:color w:val="auto"/>
        </w:rPr>
        <w:t>Zakres, w jakim możliwe jest uzupełnianie lub poprawianie wniosków</w:t>
      </w:r>
      <w:bookmarkEnd w:id="64"/>
    </w:p>
    <w:p w14:paraId="54915B3C" w14:textId="6EA917B7" w:rsidR="00697845" w:rsidRPr="00697845" w:rsidRDefault="00697845" w:rsidP="00697845">
      <w:pPr>
        <w:spacing w:after="120" w:line="276" w:lineRule="auto"/>
        <w:rPr>
          <w:sz w:val="24"/>
          <w:szCs w:val="24"/>
        </w:rPr>
      </w:pPr>
      <w:r w:rsidRPr="00697845">
        <w:rPr>
          <w:b/>
          <w:bCs/>
          <w:sz w:val="24"/>
          <w:szCs w:val="24"/>
        </w:rPr>
        <w:t>Etap I – ocena formalna dostępowa</w:t>
      </w:r>
      <w:r w:rsidRPr="00697845">
        <w:rPr>
          <w:sz w:val="24"/>
          <w:szCs w:val="24"/>
        </w:rPr>
        <w:t xml:space="preserve"> obejmuje ocenę spełniania przez projekt kryteriów o</w:t>
      </w:r>
      <w:r>
        <w:rPr>
          <w:sz w:val="24"/>
          <w:szCs w:val="24"/>
        </w:rPr>
        <w:t> </w:t>
      </w:r>
      <w:r w:rsidRPr="00697845">
        <w:rPr>
          <w:sz w:val="24"/>
          <w:szCs w:val="24"/>
        </w:rPr>
        <w:t>charakterze formalnym niepodlegających korekcie. Kryteriami takimi są kryteria, których ocena polega na przypisaniu wartości „TAK” lub „NIE”.  Na tym etapie oceny nie ma możliwości poprawy wniosku o dofinansowanie projektu ani składania wyjaśnień.</w:t>
      </w:r>
    </w:p>
    <w:p w14:paraId="57D0A1FC" w14:textId="77777777" w:rsidR="00697845" w:rsidRDefault="00697845" w:rsidP="00697845">
      <w:pPr>
        <w:spacing w:after="120" w:line="276" w:lineRule="auto"/>
        <w:rPr>
          <w:sz w:val="24"/>
          <w:szCs w:val="24"/>
        </w:rPr>
      </w:pPr>
      <w:r w:rsidRPr="00697845">
        <w:rPr>
          <w:sz w:val="24"/>
          <w:szCs w:val="24"/>
        </w:rPr>
        <w:t xml:space="preserve">IZ umożliwia uzupełnienie lub poprawienie wniosku o dofinansowanie projektu na pozostałych etapach oceny. </w:t>
      </w:r>
    </w:p>
    <w:p w14:paraId="037BF5EC" w14:textId="45965D7B" w:rsidR="00086CE2" w:rsidRPr="00086CE2" w:rsidRDefault="00086CE2" w:rsidP="00697845">
      <w:pPr>
        <w:spacing w:after="120" w:line="276" w:lineRule="auto"/>
        <w:rPr>
          <w:sz w:val="24"/>
          <w:szCs w:val="24"/>
        </w:rPr>
      </w:pPr>
      <w:r w:rsidRPr="00086CE2">
        <w:rPr>
          <w:sz w:val="24"/>
          <w:szCs w:val="24"/>
        </w:rPr>
        <w:t>Wnioskodawca może uzupełnić lub poprawić wniosek tylko na wezwanie IZ. W wezwaniu do</w:t>
      </w:r>
      <w:r w:rsidR="00162163">
        <w:rPr>
          <w:sz w:val="24"/>
          <w:szCs w:val="24"/>
        </w:rPr>
        <w:t> </w:t>
      </w:r>
      <w:r w:rsidRPr="00086CE2">
        <w:rPr>
          <w:sz w:val="24"/>
          <w:szCs w:val="24"/>
        </w:rPr>
        <w:t xml:space="preserve">uzupełnienia lub poprawienia wniosku IZ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2748AA2E" w14:textId="36359724" w:rsidR="00086CE2" w:rsidRPr="00697845" w:rsidRDefault="00086CE2" w:rsidP="00697845">
      <w:pPr>
        <w:spacing w:after="120" w:line="276" w:lineRule="auto"/>
        <w:rPr>
          <w:sz w:val="24"/>
          <w:szCs w:val="24"/>
        </w:rPr>
      </w:pPr>
      <w:r w:rsidRPr="00086CE2">
        <w:rPr>
          <w:sz w:val="24"/>
          <w:szCs w:val="24"/>
        </w:rPr>
        <w:t xml:space="preserve">Wezwanie do uzupełnienia lub poprawienia wniosku przekazane zostanie wnioskodawcy drogą elektroniczną. Wynika to z art. 55 ust. 2 ustawy. Oznacza to, że wezwanie </w:t>
      </w:r>
      <w:r w:rsidR="00373F13">
        <w:rPr>
          <w:sz w:val="24"/>
          <w:szCs w:val="24"/>
        </w:rPr>
        <w:t>przekazane jest</w:t>
      </w:r>
      <w:r w:rsidRPr="00086CE2">
        <w:rPr>
          <w:sz w:val="24"/>
          <w:szCs w:val="24"/>
        </w:rPr>
        <w:t xml:space="preserve"> na adres e-mail wnioskodawcy.</w:t>
      </w: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24469C41"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w:t>
      </w:r>
      <w:r w:rsidR="00162163">
        <w:rPr>
          <w:sz w:val="24"/>
          <w:szCs w:val="24"/>
        </w:rPr>
        <w:t> </w:t>
      </w:r>
      <w:r w:rsidRPr="00676940">
        <w:rPr>
          <w:sz w:val="24"/>
          <w:szCs w:val="24"/>
        </w:rPr>
        <w:t>podstawie złożonej korekty wniosku. Jeżeli wnioskodawca nie złoży w wymaganym terminie korekty wniosku, ocenie podlega projekt na wersji wniosku, który został skierowany do uzupełnienia lub poprawy.</w:t>
      </w:r>
    </w:p>
    <w:p w14:paraId="3BED40B5" w14:textId="0700D540" w:rsidR="00086CE2" w:rsidRPr="00676940" w:rsidRDefault="00086CE2">
      <w:pPr>
        <w:pStyle w:val="Nagwek1"/>
        <w:numPr>
          <w:ilvl w:val="0"/>
          <w:numId w:val="1"/>
        </w:numPr>
        <w:spacing w:before="360" w:after="240" w:line="276" w:lineRule="auto"/>
        <w:ind w:left="425" w:hanging="425"/>
        <w:rPr>
          <w:rFonts w:cstheme="minorHAnsi"/>
          <w:b/>
          <w:bCs/>
        </w:rPr>
      </w:pPr>
      <w:bookmarkStart w:id="65" w:name="_Toc224647154"/>
      <w:r w:rsidRPr="00676940">
        <w:rPr>
          <w:rFonts w:asciiTheme="minorHAnsi" w:hAnsiTheme="minorHAnsi" w:cstheme="minorHAnsi"/>
          <w:b/>
          <w:bCs/>
          <w:color w:val="auto"/>
        </w:rPr>
        <w:t>Rozstrzygnięcie w zakresie wyboru projektu do dofinansowania</w:t>
      </w:r>
      <w:bookmarkEnd w:id="65"/>
    </w:p>
    <w:p w14:paraId="17D845BC" w14:textId="62FCAF17"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t>
      </w:r>
      <w:r w:rsidRPr="00C828FE">
        <w:rPr>
          <w:sz w:val="24"/>
          <w:szCs w:val="24"/>
        </w:rPr>
        <w:t>dostępnej alokacji, podejmuje w formie uchwały decyzję o</w:t>
      </w:r>
      <w:r w:rsidR="00373F13">
        <w:rPr>
          <w:sz w:val="24"/>
          <w:szCs w:val="24"/>
        </w:rPr>
        <w:t> </w:t>
      </w:r>
      <w:r w:rsidRPr="00C828FE">
        <w:rPr>
          <w:sz w:val="24"/>
          <w:szCs w:val="24"/>
        </w:rPr>
        <w:t>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6CF934CE" w:rsidR="00086CE2" w:rsidRDefault="00086CE2">
      <w:pPr>
        <w:pStyle w:val="Akapitzlist"/>
        <w:numPr>
          <w:ilvl w:val="0"/>
          <w:numId w:val="8"/>
        </w:numPr>
        <w:spacing w:after="120" w:line="276" w:lineRule="auto"/>
        <w:ind w:left="425" w:hanging="425"/>
        <w:contextualSpacing w:val="0"/>
        <w:rPr>
          <w:sz w:val="24"/>
          <w:szCs w:val="24"/>
        </w:rPr>
      </w:pPr>
      <w:r w:rsidRPr="00567A85">
        <w:rPr>
          <w:sz w:val="24"/>
          <w:szCs w:val="24"/>
        </w:rPr>
        <w:t>Wnioskodawca, którego projekt został wybrany do dofinansowania jest zobowiązany do</w:t>
      </w:r>
      <w:r w:rsidR="00162163">
        <w:rPr>
          <w:sz w:val="24"/>
          <w:szCs w:val="24"/>
        </w:rPr>
        <w:t> </w:t>
      </w:r>
      <w:r w:rsidRPr="00567A85">
        <w:rPr>
          <w:sz w:val="24"/>
          <w:szCs w:val="24"/>
        </w:rPr>
        <w:t xml:space="preserve">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w:t>
      </w:r>
      <w:r w:rsidRPr="00567A85">
        <w:rPr>
          <w:b/>
          <w:sz w:val="24"/>
          <w:szCs w:val="24"/>
          <w:u w:val="single"/>
        </w:rPr>
        <w:lastRenderedPageBreak/>
        <w:t xml:space="preserve">do </w:t>
      </w:r>
      <w:r w:rsidR="006B66DD">
        <w:rPr>
          <w:b/>
          <w:sz w:val="24"/>
          <w:szCs w:val="24"/>
          <w:u w:val="single"/>
        </w:rPr>
        <w:t>60</w:t>
      </w:r>
      <w:r w:rsidRPr="00567A85">
        <w:rPr>
          <w:b/>
          <w:sz w:val="24"/>
          <w:szCs w:val="24"/>
          <w:u w:val="single"/>
        </w:rPr>
        <w:t xml:space="preserve"> dni kalendarzowych</w:t>
      </w:r>
      <w:r w:rsidRPr="00567A85">
        <w:rPr>
          <w:sz w:val="24"/>
          <w:szCs w:val="24"/>
        </w:rPr>
        <w:t xml:space="preserve"> od dnia podjęcia przez Zarząd Województwa Opolskiego - Instytucję Zarządzającą FEO 2021-2027 Uchwały o wyborze projektu do dofinansowani</w:t>
      </w:r>
      <w:r w:rsidR="006B66DD">
        <w:rPr>
          <w:sz w:val="24"/>
          <w:szCs w:val="24"/>
        </w:rPr>
        <w:t>a.</w:t>
      </w:r>
    </w:p>
    <w:p w14:paraId="029368BA" w14:textId="77777777" w:rsidR="006B66DD" w:rsidRDefault="00086CE2">
      <w:pPr>
        <w:pStyle w:val="Akapitzlist"/>
        <w:numPr>
          <w:ilvl w:val="0"/>
          <w:numId w:val="8"/>
        </w:numPr>
        <w:spacing w:after="120" w:line="276" w:lineRule="auto"/>
        <w:ind w:left="425" w:hanging="425"/>
        <w:contextualSpacing w:val="0"/>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t>
      </w:r>
    </w:p>
    <w:p w14:paraId="68F7DC6A" w14:textId="5C3F9776" w:rsidR="00086CE2" w:rsidRDefault="00086CE2">
      <w:pPr>
        <w:pStyle w:val="Akapitzlist"/>
        <w:numPr>
          <w:ilvl w:val="0"/>
          <w:numId w:val="8"/>
        </w:numPr>
        <w:spacing w:after="0" w:line="276" w:lineRule="auto"/>
        <w:ind w:left="426" w:hanging="426"/>
        <w:rPr>
          <w:sz w:val="24"/>
          <w:szCs w:val="24"/>
        </w:rPr>
      </w:pPr>
      <w:r w:rsidRPr="007E6F7D">
        <w:rPr>
          <w:sz w:val="24"/>
          <w:szCs w:val="24"/>
        </w:rPr>
        <w:t>W uzasadnionych przypadkach, na prośbę wnioskodawcy, IZ może wyrazić zgodę na</w:t>
      </w:r>
      <w:r w:rsidR="00162163">
        <w:rPr>
          <w:sz w:val="24"/>
          <w:szCs w:val="24"/>
        </w:rPr>
        <w:t> </w:t>
      </w:r>
      <w:r w:rsidRPr="007E6F7D">
        <w:rPr>
          <w:sz w:val="24"/>
          <w:szCs w:val="24"/>
        </w:rPr>
        <w:t>wydłużenie ww. terminu.</w:t>
      </w:r>
    </w:p>
    <w:p w14:paraId="31951247" w14:textId="77777777" w:rsidR="00086CE2" w:rsidRPr="00676940" w:rsidRDefault="00086CE2">
      <w:pPr>
        <w:pStyle w:val="Nagwek1"/>
        <w:numPr>
          <w:ilvl w:val="0"/>
          <w:numId w:val="1"/>
        </w:numPr>
        <w:spacing w:after="240" w:line="276" w:lineRule="auto"/>
        <w:ind w:left="426" w:hanging="426"/>
        <w:rPr>
          <w:rFonts w:cstheme="minorHAnsi"/>
          <w:b/>
          <w:bCs/>
        </w:rPr>
      </w:pPr>
      <w:bookmarkStart w:id="66" w:name="_Toc224647155"/>
      <w:r w:rsidRPr="00676940">
        <w:rPr>
          <w:rFonts w:asciiTheme="minorHAnsi" w:hAnsiTheme="minorHAnsi" w:cstheme="minorHAnsi"/>
          <w:b/>
          <w:color w:val="000000" w:themeColor="text1"/>
        </w:rPr>
        <w:t>Orientacyjny termin przeprowadzenia oceny projektów/ rozstrzygnięcia postępowania</w:t>
      </w:r>
      <w:bookmarkEnd w:id="66"/>
    </w:p>
    <w:p w14:paraId="3EEB0E00" w14:textId="1B477C51" w:rsidR="00086CE2" w:rsidRPr="002561E1" w:rsidRDefault="00086CE2" w:rsidP="00676940">
      <w:pPr>
        <w:pStyle w:val="Akapitzlist"/>
        <w:spacing w:after="0" w:line="276" w:lineRule="auto"/>
        <w:ind w:left="426"/>
        <w:contextualSpacing w:val="0"/>
        <w:rPr>
          <w:bCs/>
          <w:sz w:val="24"/>
          <w:szCs w:val="24"/>
        </w:rPr>
      </w:pPr>
      <w:r w:rsidRPr="0042179A">
        <w:rPr>
          <w:rFonts w:cstheme="minorHAnsi"/>
          <w:bCs/>
          <w:color w:val="000000" w:themeColor="text1"/>
          <w:sz w:val="24"/>
          <w:szCs w:val="24"/>
        </w:rPr>
        <w:t xml:space="preserve">- </w:t>
      </w:r>
      <w:r w:rsidR="002671D2">
        <w:rPr>
          <w:rFonts w:cstheme="minorHAnsi"/>
          <w:bCs/>
          <w:sz w:val="24"/>
          <w:szCs w:val="24"/>
        </w:rPr>
        <w:t>listopad</w:t>
      </w:r>
      <w:r w:rsidR="00823E60">
        <w:rPr>
          <w:rFonts w:cstheme="minorHAnsi"/>
          <w:bCs/>
          <w:sz w:val="24"/>
          <w:szCs w:val="24"/>
        </w:rPr>
        <w:t>/grudzień</w:t>
      </w:r>
      <w:r w:rsidRPr="002561E1">
        <w:rPr>
          <w:rFonts w:cstheme="minorHAnsi"/>
          <w:bCs/>
          <w:sz w:val="24"/>
          <w:szCs w:val="24"/>
        </w:rPr>
        <w:t xml:space="preserve"> 202</w:t>
      </w:r>
      <w:r w:rsidR="002671D2">
        <w:rPr>
          <w:rFonts w:cstheme="minorHAnsi"/>
          <w:bCs/>
          <w:sz w:val="24"/>
          <w:szCs w:val="24"/>
        </w:rPr>
        <w:t>6</w:t>
      </w:r>
      <w:r w:rsidRPr="002561E1">
        <w:rPr>
          <w:rFonts w:cstheme="minorHAnsi"/>
          <w:bCs/>
          <w:sz w:val="24"/>
          <w:szCs w:val="24"/>
        </w:rPr>
        <w:t xml:space="preserve"> r.</w:t>
      </w:r>
    </w:p>
    <w:p w14:paraId="259A0EB4" w14:textId="2DAD51BD" w:rsidR="00914630" w:rsidRPr="00676940" w:rsidRDefault="003414EC">
      <w:pPr>
        <w:pStyle w:val="Nagwek1"/>
        <w:numPr>
          <w:ilvl w:val="0"/>
          <w:numId w:val="1"/>
        </w:numPr>
        <w:spacing w:after="240" w:line="276" w:lineRule="auto"/>
        <w:ind w:left="426" w:hanging="426"/>
        <w:rPr>
          <w:rFonts w:cstheme="minorHAnsi"/>
          <w:b/>
          <w:bCs/>
        </w:rPr>
      </w:pPr>
      <w:bookmarkStart w:id="67" w:name="_Toc224647156"/>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67"/>
      <w:r w:rsidRPr="00676940">
        <w:rPr>
          <w:rFonts w:asciiTheme="minorHAnsi" w:eastAsiaTheme="minorHAnsi" w:hAnsiTheme="minorHAnsi" w:cstheme="minorHAnsi"/>
          <w:b/>
          <w:color w:val="000000" w:themeColor="text1"/>
        </w:rPr>
        <w:t xml:space="preserve"> </w:t>
      </w:r>
    </w:p>
    <w:p w14:paraId="52198A7B" w14:textId="0B452E88" w:rsidR="00914630" w:rsidRPr="00567A85" w:rsidRDefault="00914630" w:rsidP="0081259C">
      <w:pPr>
        <w:spacing w:after="120" w:line="276" w:lineRule="auto"/>
        <w:rPr>
          <w:sz w:val="24"/>
          <w:szCs w:val="24"/>
        </w:rPr>
      </w:pPr>
      <w:r w:rsidRPr="00567A85">
        <w:rPr>
          <w:sz w:val="24"/>
          <w:szCs w:val="24"/>
        </w:rPr>
        <w:t>Wzór wniosku o dofinansowanie projektu, którym należy się posługiwać ubiegając się o</w:t>
      </w:r>
      <w:r w:rsidR="002671D2">
        <w:rPr>
          <w:sz w:val="24"/>
          <w:szCs w:val="24"/>
        </w:rPr>
        <w:t> </w:t>
      </w:r>
      <w:r w:rsidRPr="00567A85">
        <w:rPr>
          <w:sz w:val="24"/>
          <w:szCs w:val="24"/>
        </w:rPr>
        <w:t>dofinansowanie projektu oraz instrukcja jego wypełniania stanowią odpowiednio załączniki nr 3 i 4 do niniejszego Regulaminu.</w:t>
      </w:r>
    </w:p>
    <w:p w14:paraId="38E2680D" w14:textId="77777777" w:rsidR="00914630" w:rsidRPr="00567A85" w:rsidRDefault="00914630" w:rsidP="0081259C">
      <w:pPr>
        <w:spacing w:after="12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01186964" w:rsidR="00914630" w:rsidRDefault="00914630" w:rsidP="0081259C">
      <w:pPr>
        <w:spacing w:after="120" w:line="276" w:lineRule="auto"/>
        <w:rPr>
          <w:sz w:val="24"/>
          <w:szCs w:val="24"/>
        </w:rPr>
      </w:pPr>
      <w:r w:rsidRPr="00567A85">
        <w:rPr>
          <w:sz w:val="24"/>
          <w:szCs w:val="24"/>
        </w:rPr>
        <w:t>Wzory załączników do wniosku o dofinansowanie zostały przedstawione w załączniku nr 5 do</w:t>
      </w:r>
      <w:r w:rsidR="00C413D5">
        <w:rPr>
          <w:sz w:val="24"/>
          <w:szCs w:val="24"/>
        </w:rPr>
        <w:t> </w:t>
      </w:r>
      <w:r w:rsidRPr="00567A85">
        <w:rPr>
          <w:sz w:val="24"/>
          <w:szCs w:val="24"/>
        </w:rPr>
        <w:t>niniejszego Regulaminu.</w:t>
      </w:r>
    </w:p>
    <w:p w14:paraId="5AA3BA7B" w14:textId="40FB6969"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w:t>
      </w:r>
      <w:r w:rsidR="00C413D5">
        <w:rPr>
          <w:sz w:val="24"/>
          <w:szCs w:val="24"/>
        </w:rPr>
        <w:t> </w:t>
      </w:r>
      <w:r w:rsidRPr="00204183">
        <w:rPr>
          <w:sz w:val="24"/>
          <w:szCs w:val="24"/>
        </w:rPr>
        <w:t>niniejszego Regulaminu.</w:t>
      </w:r>
    </w:p>
    <w:p w14:paraId="29AB7EFB" w14:textId="41B1CAD5" w:rsidR="00914630" w:rsidRPr="002C7910" w:rsidRDefault="00914630">
      <w:pPr>
        <w:pStyle w:val="Nagwek1"/>
        <w:numPr>
          <w:ilvl w:val="0"/>
          <w:numId w:val="1"/>
        </w:numPr>
        <w:spacing w:after="240" w:line="276" w:lineRule="auto"/>
        <w:ind w:left="426" w:hanging="426"/>
        <w:rPr>
          <w:rFonts w:cstheme="minorHAnsi"/>
          <w:b/>
          <w:bCs/>
        </w:rPr>
      </w:pPr>
      <w:bookmarkStart w:id="68" w:name="_Toc135394670"/>
      <w:bookmarkStart w:id="69" w:name="_Toc137705031"/>
      <w:bookmarkStart w:id="70" w:name="_Toc139952935"/>
      <w:bookmarkStart w:id="71" w:name="_Toc224647157"/>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8"/>
      <w:bookmarkEnd w:id="69"/>
      <w:bookmarkEnd w:id="70"/>
      <w:bookmarkEnd w:id="71"/>
    </w:p>
    <w:p w14:paraId="33332738" w14:textId="77777777" w:rsidR="00914630" w:rsidRPr="0037443F" w:rsidRDefault="00914630">
      <w:pPr>
        <w:numPr>
          <w:ilvl w:val="0"/>
          <w:numId w:val="19"/>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1BE15168"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sidR="002671D2" w:rsidRPr="003D2E81">
        <w:rPr>
          <w:rFonts w:eastAsia="Calibri" w:cstheme="minorHAnsi"/>
          <w:sz w:val="24"/>
          <w:szCs w:val="24"/>
        </w:rPr>
        <w:t xml:space="preserve">10 marca 2025 r. </w:t>
      </w:r>
      <w:r w:rsidRPr="0037443F">
        <w:rPr>
          <w:rFonts w:ascii="Calibri" w:eastAsia="Calibri" w:hAnsi="Calibri" w:cs="Calibri"/>
          <w:sz w:val="24"/>
          <w:szCs w:val="24"/>
        </w:rPr>
        <w:t xml:space="preserve">w tym załącznika nr 2 </w:t>
      </w:r>
      <w:r w:rsidRPr="0037443F">
        <w:rPr>
          <w:rFonts w:ascii="Calibri" w:eastAsia="Calibri" w:hAnsi="Calibri" w:cs="Calibri"/>
          <w:i/>
          <w:sz w:val="24"/>
          <w:szCs w:val="24"/>
        </w:rPr>
        <w:t>Standardy dostępności dla polityki spójności 2021-2027;</w:t>
      </w:r>
    </w:p>
    <w:p w14:paraId="075118B6" w14:textId="77777777" w:rsidR="002671D2" w:rsidRPr="003D2E81" w:rsidRDefault="00914630">
      <w:pPr>
        <w:numPr>
          <w:ilvl w:val="0"/>
          <w:numId w:val="20"/>
        </w:numPr>
        <w:tabs>
          <w:tab w:val="left" w:pos="284"/>
        </w:tabs>
        <w:autoSpaceDE w:val="0"/>
        <w:autoSpaceDN w:val="0"/>
        <w:adjustRightInd w:val="0"/>
        <w:spacing w:before="60" w:after="60" w:line="276" w:lineRule="auto"/>
        <w:ind w:left="709" w:hanging="357"/>
        <w:rPr>
          <w:rFonts w:cstheme="minorHAnsi"/>
          <w:b/>
          <w:bCs/>
          <w:sz w:val="24"/>
          <w:szCs w:val="24"/>
        </w:rPr>
      </w:pPr>
      <w:r w:rsidRPr="0037443F">
        <w:rPr>
          <w:rFonts w:ascii="Calibri" w:eastAsia="Calibri" w:hAnsi="Calibri" w:cs="Calibri"/>
          <w:sz w:val="24"/>
          <w:szCs w:val="24"/>
        </w:rPr>
        <w:t xml:space="preserve">postanowieniami Karty Praw Podstawowych Unii Europejskiej z dnia </w:t>
      </w:r>
      <w:r w:rsidR="002671D2" w:rsidRPr="003D2E81">
        <w:rPr>
          <w:rFonts w:eastAsia="Calibri" w:cstheme="minorHAnsi"/>
          <w:sz w:val="24"/>
          <w:szCs w:val="24"/>
        </w:rPr>
        <w:t>7 czerwca 2016 r. (Dz. Urz. UE C 202 z 07.06.2016, str.389);</w:t>
      </w:r>
    </w:p>
    <w:p w14:paraId="35A1BA38" w14:textId="375C8953"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lastRenderedPageBreak/>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72" w:name="_Toc503858639"/>
      <w:bookmarkStart w:id="73" w:name="_Toc54688607"/>
      <w:bookmarkStart w:id="74" w:name="_Toc130474821"/>
      <w:r w:rsidRPr="0037443F">
        <w:rPr>
          <w:rFonts w:ascii="Calibri" w:eastAsia="Calibri" w:hAnsi="Calibri" w:cs="Calibri"/>
          <w:sz w:val="24"/>
          <w:szCs w:val="24"/>
        </w:rPr>
        <w:t>Sekcja 9. Zgodność projektu z politykami horyzontalnymi UE</w:t>
      </w:r>
      <w:bookmarkStart w:id="75" w:name="_Toc503858641"/>
      <w:bookmarkStart w:id="76" w:name="_Toc54688609"/>
      <w:bookmarkStart w:id="77" w:name="_Toc130474823"/>
      <w:bookmarkEnd w:id="72"/>
      <w:bookmarkEnd w:id="73"/>
      <w:bookmarkEnd w:id="74"/>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5"/>
      <w:bookmarkEnd w:id="76"/>
      <w:bookmarkEnd w:id="77"/>
      <w:r w:rsidRPr="0037443F">
        <w:rPr>
          <w:rFonts w:ascii="Calibri" w:eastAsia="Calibri" w:hAnsi="Calibri" w:cs="Calibri"/>
          <w:sz w:val="24"/>
          <w:szCs w:val="24"/>
        </w:rPr>
        <w:t>).</w:t>
      </w:r>
    </w:p>
    <w:p w14:paraId="03277847" w14:textId="028A56F2"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sidR="00250009">
        <w:rPr>
          <w:rFonts w:ascii="Calibri" w:eastAsia="Calibri" w:hAnsi="Calibri" w:cs="Calibri"/>
          <w:sz w:val="24"/>
          <w:szCs w:val="24"/>
        </w:rPr>
        <w:t>10 marca</w:t>
      </w:r>
      <w:r w:rsidRPr="0037443F">
        <w:rPr>
          <w:rFonts w:ascii="Calibri" w:eastAsia="Calibri" w:hAnsi="Calibri" w:cs="Calibri"/>
          <w:sz w:val="24"/>
          <w:szCs w:val="24"/>
        </w:rPr>
        <w:t xml:space="preserve"> 202</w:t>
      </w:r>
      <w:r w:rsidR="00250009">
        <w:rPr>
          <w:rFonts w:ascii="Calibri" w:eastAsia="Calibri" w:hAnsi="Calibri" w:cs="Calibri"/>
          <w:sz w:val="24"/>
          <w:szCs w:val="24"/>
        </w:rPr>
        <w:t>5</w:t>
      </w:r>
      <w:r w:rsidRPr="0037443F">
        <w:rPr>
          <w:rFonts w:ascii="Calibri" w:eastAsia="Calibri" w:hAnsi="Calibri" w:cs="Calibri"/>
          <w:sz w:val="24"/>
          <w:szCs w:val="24"/>
        </w:rPr>
        <w:t xml:space="preserve">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5C5984FB"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 xml:space="preserve">o projekcie oraz dokumenty rekrutacyjne, do </w:t>
      </w:r>
      <w:r w:rsidR="00446C57">
        <w:rPr>
          <w:rFonts w:ascii="Calibri" w:eastAsia="Calibri" w:hAnsi="Calibri" w:cs="Calibri"/>
          <w:sz w:val="24"/>
          <w:szCs w:val="24"/>
        </w:rPr>
        <w:t xml:space="preserve">aktualnych </w:t>
      </w:r>
      <w:r w:rsidRPr="0037443F">
        <w:rPr>
          <w:rFonts w:ascii="Calibri" w:eastAsia="Calibri" w:hAnsi="Calibri" w:cs="Calibri"/>
          <w:sz w:val="24"/>
          <w:szCs w:val="24"/>
        </w:rPr>
        <w:t>standardów WCAG</w:t>
      </w:r>
      <w:r w:rsidRPr="0037443F">
        <w:rPr>
          <w:rFonts w:ascii="Calibri" w:eastAsia="Calibri" w:hAnsi="Calibri" w:cs="Times New Roman"/>
        </w:rPr>
        <w:t xml:space="preserve"> </w:t>
      </w:r>
      <w:r w:rsidRPr="0037443F">
        <w:rPr>
          <w:rFonts w:ascii="Calibri" w:eastAsia="Calibri" w:hAnsi="Calibri" w:cs="Calibri"/>
          <w:sz w:val="24"/>
          <w:szCs w:val="24"/>
        </w:rPr>
        <w:t xml:space="preserve"> jest </w:t>
      </w:r>
      <w:r w:rsidRPr="0037443F">
        <w:rPr>
          <w:rFonts w:ascii="Calibri" w:eastAsia="Calibri" w:hAnsi="Calibri" w:cs="Calibri"/>
          <w:sz w:val="24"/>
          <w:szCs w:val="24"/>
        </w:rPr>
        <w:lastRenderedPageBreak/>
        <w:t xml:space="preserve">niezbędne, aby umożliwić pozyskanie informacji o rekrutacji osobom z różnymi rodzajami niepełnosprawności; </w:t>
      </w:r>
    </w:p>
    <w:p w14:paraId="4F84CEB3" w14:textId="63EC1D50"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32C99031"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3D6389EB"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Times New Roman"/>
        </w:rPr>
      </w:pPr>
      <w:r w:rsidRPr="0037443F">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w:t>
      </w:r>
      <w:r w:rsidR="00162163">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9DFF4D4"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w:t>
      </w:r>
      <w:r w:rsidR="00162163">
        <w:rPr>
          <w:rFonts w:ascii="Calibri" w:eastAsia="Calibri" w:hAnsi="Calibri" w:cs="Calibri"/>
          <w:sz w:val="24"/>
          <w:szCs w:val="24"/>
        </w:rPr>
        <w:t xml:space="preserve"> </w:t>
      </w:r>
      <w:r w:rsidRPr="0037443F">
        <w:rPr>
          <w:rFonts w:ascii="Calibri" w:eastAsia="Calibri" w:hAnsi="Calibri" w:cs="Calibri"/>
          <w:sz w:val="24"/>
          <w:szCs w:val="24"/>
        </w:rPr>
        <w:t xml:space="preserve">uczestniczce (lub członkowi/członkini personelu) projektu, jest możliwe zastosowanie MRU. </w:t>
      </w:r>
    </w:p>
    <w:p w14:paraId="769BF18C" w14:textId="77777777"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lastRenderedPageBreak/>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3F48E42C" w:rsidR="00914630" w:rsidRPr="0037443F"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w:t>
      </w:r>
      <w:r w:rsidR="00162163">
        <w:rPr>
          <w:rFonts w:ascii="Calibri" w:eastAsia="Calibri" w:hAnsi="Calibri" w:cs="Calibri"/>
          <w:sz w:val="24"/>
          <w:szCs w:val="24"/>
        </w:rPr>
        <w:t> </w:t>
      </w:r>
      <w:r w:rsidRPr="0037443F">
        <w:rPr>
          <w:rFonts w:ascii="Calibri" w:eastAsia="Calibri" w:hAnsi="Calibri" w:cs="Calibri"/>
          <w:i/>
          <w:sz w:val="24"/>
          <w:szCs w:val="24"/>
        </w:rPr>
        <w:t>Wytycznych dotyczących realizacji zasad równościowych w ramach funduszy unijnych na</w:t>
      </w:r>
      <w:r w:rsidR="00162163">
        <w:rPr>
          <w:rFonts w:ascii="Calibri" w:eastAsia="Calibri" w:hAnsi="Calibri" w:cs="Calibri"/>
          <w:i/>
          <w:sz w:val="24"/>
          <w:szCs w:val="24"/>
        </w:rPr>
        <w:t> </w:t>
      </w:r>
      <w:r w:rsidRPr="0037443F">
        <w:rPr>
          <w:rFonts w:ascii="Calibri" w:eastAsia="Calibri" w:hAnsi="Calibri" w:cs="Calibri"/>
          <w:i/>
          <w:sz w:val="24"/>
          <w:szCs w:val="24"/>
        </w:rPr>
        <w:t>lata 2021-2027</w:t>
      </w:r>
      <w:r w:rsidRPr="0037443F">
        <w:rPr>
          <w:rFonts w:ascii="Calibri" w:eastAsia="Calibri" w:hAnsi="Calibri" w:cs="Calibri"/>
          <w:sz w:val="24"/>
          <w:szCs w:val="24"/>
        </w:rPr>
        <w:t>.</w:t>
      </w:r>
    </w:p>
    <w:p w14:paraId="557CF77A" w14:textId="77777777" w:rsidR="00E07867" w:rsidRDefault="00914630">
      <w:pPr>
        <w:numPr>
          <w:ilvl w:val="0"/>
          <w:numId w:val="19"/>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8" w:name="_Hlk131419071"/>
    </w:p>
    <w:bookmarkEnd w:id="78"/>
    <w:p w14:paraId="7081DE3D" w14:textId="77777777" w:rsidR="002671D2" w:rsidRPr="003D2E81" w:rsidRDefault="002671D2">
      <w:pPr>
        <w:pStyle w:val="Akapitzlist"/>
        <w:numPr>
          <w:ilvl w:val="0"/>
          <w:numId w:val="26"/>
        </w:numPr>
        <w:tabs>
          <w:tab w:val="left" w:pos="284"/>
        </w:tabs>
        <w:autoSpaceDE w:val="0"/>
        <w:autoSpaceDN w:val="0"/>
        <w:adjustRightInd w:val="0"/>
        <w:spacing w:beforeLines="60" w:before="144" w:after="0" w:line="276" w:lineRule="auto"/>
        <w:ind w:left="786"/>
        <w:rPr>
          <w:rFonts w:cstheme="minorHAnsi"/>
          <w:b/>
          <w:bCs/>
          <w:sz w:val="24"/>
          <w:szCs w:val="24"/>
        </w:rPr>
      </w:pPr>
      <w:r w:rsidRPr="003D2E81">
        <w:rPr>
          <w:rFonts w:eastAsia="Calibri" w:cstheme="minorHAnsi"/>
          <w:sz w:val="24"/>
          <w:szCs w:val="24"/>
        </w:rPr>
        <w:t>Kartą Praw Podstawowych Unii Europejskiej z dnia 7 czerwca 2016 r. (Dz. Urz. UE C 202 z 07.06.2016, str.389);</w:t>
      </w:r>
    </w:p>
    <w:p w14:paraId="4137B708" w14:textId="77777777" w:rsidR="002671D2" w:rsidRPr="003D2E81" w:rsidRDefault="002671D2">
      <w:pPr>
        <w:pStyle w:val="Akapitzlist"/>
        <w:numPr>
          <w:ilvl w:val="0"/>
          <w:numId w:val="26"/>
        </w:numPr>
        <w:tabs>
          <w:tab w:val="left" w:pos="284"/>
        </w:tabs>
        <w:autoSpaceDE w:val="0"/>
        <w:autoSpaceDN w:val="0"/>
        <w:adjustRightInd w:val="0"/>
        <w:spacing w:beforeLines="60" w:before="144" w:after="0" w:line="276" w:lineRule="auto"/>
        <w:ind w:left="786"/>
        <w:rPr>
          <w:rFonts w:eastAsia="Calibri" w:cstheme="minorHAnsi"/>
          <w:sz w:val="24"/>
          <w:szCs w:val="24"/>
        </w:rPr>
      </w:pPr>
      <w:r w:rsidRPr="003D2E81">
        <w:rPr>
          <w:rFonts w:eastAsia="Calibri" w:cstheme="minorHAnsi"/>
          <w:sz w:val="24"/>
          <w:szCs w:val="24"/>
        </w:rPr>
        <w:t>Samooceną spełnienia warunku Skuteczne stosowanie i wdrażanie Karty praw podstawowych w Polsce;</w:t>
      </w:r>
    </w:p>
    <w:p w14:paraId="117584E7" w14:textId="77777777" w:rsidR="002671D2" w:rsidRPr="003D2E81" w:rsidRDefault="002671D2">
      <w:pPr>
        <w:pStyle w:val="Akapitzlist"/>
        <w:numPr>
          <w:ilvl w:val="0"/>
          <w:numId w:val="21"/>
        </w:numPr>
        <w:tabs>
          <w:tab w:val="left" w:pos="284"/>
        </w:tabs>
        <w:autoSpaceDE w:val="0"/>
        <w:autoSpaceDN w:val="0"/>
        <w:adjustRightInd w:val="0"/>
        <w:spacing w:beforeLines="60" w:before="144" w:after="0" w:line="276" w:lineRule="auto"/>
        <w:ind w:left="794" w:hanging="364"/>
        <w:rPr>
          <w:rFonts w:eastAsia="Calibri" w:cstheme="minorHAnsi"/>
          <w:sz w:val="24"/>
          <w:szCs w:val="24"/>
        </w:rPr>
      </w:pPr>
      <w:r w:rsidRPr="003D2E81">
        <w:rPr>
          <w:rFonts w:eastAsia="Calibri" w:cstheme="minorHAnsi"/>
          <w:sz w:val="24"/>
          <w:szCs w:val="24"/>
        </w:rPr>
        <w:t>Wytycznymi dotyczącymi zapewnienia poszanowania Karty Praw Podstawowych Unii Europejskiej przy wdrażaniu europejskich funduszy strukturalnych i inwestycyjnych (2016/C 269/01) Komisji Europejskiej;</w:t>
      </w:r>
    </w:p>
    <w:p w14:paraId="647840F9" w14:textId="77777777" w:rsidR="002671D2" w:rsidRPr="003D2E81" w:rsidRDefault="002671D2">
      <w:pPr>
        <w:pStyle w:val="Akapitzlist"/>
        <w:numPr>
          <w:ilvl w:val="0"/>
          <w:numId w:val="21"/>
        </w:numPr>
        <w:spacing w:after="60" w:line="276" w:lineRule="auto"/>
        <w:ind w:left="809" w:hanging="363"/>
        <w:contextualSpacing w:val="0"/>
        <w:rPr>
          <w:rFonts w:eastAsia="Calibri" w:cstheme="minorHAnsi"/>
          <w:sz w:val="24"/>
          <w:szCs w:val="24"/>
        </w:rPr>
      </w:pPr>
      <w:r w:rsidRPr="003D2E81">
        <w:rPr>
          <w:rFonts w:eastAsia="Calibri" w:cstheme="minorHAnsi"/>
          <w:sz w:val="24"/>
          <w:szCs w:val="24"/>
        </w:rPr>
        <w:t>Procedurą składania zgłoszeń o podejrzeniu niezgodności z Kartą praw podstawowych do praktyki wdrażania programu regionalnego Fundusze Europejskie dla Opolskiego 2021-2027 – dokument przyjęty uchwałą ZWO.</w:t>
      </w:r>
    </w:p>
    <w:p w14:paraId="50AD70B7" w14:textId="77777777" w:rsidR="00914630"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393C349C" w14:textId="6B62497A" w:rsidR="002671D2" w:rsidRPr="002671D2" w:rsidRDefault="002671D2">
      <w:pPr>
        <w:numPr>
          <w:ilvl w:val="0"/>
          <w:numId w:val="19"/>
        </w:numPr>
        <w:tabs>
          <w:tab w:val="left" w:pos="284"/>
        </w:tabs>
        <w:autoSpaceDE w:val="0"/>
        <w:autoSpaceDN w:val="0"/>
        <w:adjustRightInd w:val="0"/>
        <w:spacing w:before="60" w:after="60" w:line="276" w:lineRule="auto"/>
        <w:ind w:left="425" w:hanging="425"/>
        <w:rPr>
          <w:rFonts w:eastAsia="Calibri" w:cstheme="minorHAnsi"/>
          <w:sz w:val="24"/>
          <w:szCs w:val="24"/>
        </w:rPr>
      </w:pPr>
      <w:r w:rsidRPr="003D2E81">
        <w:rPr>
          <w:rFonts w:eastAsia="Calibri" w:cstheme="minorHAnsi"/>
          <w:sz w:val="24"/>
          <w:szCs w:val="24"/>
        </w:rPr>
        <w:t xml:space="preserve">W dniu 6 listopada 2023 r. Zarząd Województwa Opolskiego przyjął uchwałę nr 10875/2023 w sprawie przyjęcia dokumentu pn. Procedura składania zgłoszeń o podejrzeniu niezgodności z Kartą praw podstawowych do praktyki wdrażania </w:t>
      </w:r>
      <w:r w:rsidRPr="003D2E81">
        <w:rPr>
          <w:rFonts w:eastAsia="Calibri" w:cstheme="minorHAnsi"/>
          <w:sz w:val="24"/>
          <w:szCs w:val="24"/>
        </w:rPr>
        <w:lastRenderedPageBreak/>
        <w:t>programu </w:t>
      </w:r>
      <w:r w:rsidRPr="00E50212">
        <w:rPr>
          <w:rFonts w:eastAsia="Calibri" w:cstheme="minorHAnsi"/>
          <w:sz w:val="24"/>
          <w:szCs w:val="24"/>
        </w:rPr>
        <w:t xml:space="preserve">regionalnego Fundusze Europejskie dla Opolskiego 2021-2027. Ww. uchwała została zmieniona uchwałą nr 2082/2025 z dnia 11 lutego 2025 r. Ww. dokumenty dostępne są na stronie </w:t>
      </w:r>
      <w:hyperlink r:id="rId12" w:history="1">
        <w:r w:rsidRPr="00E50212">
          <w:rPr>
            <w:rStyle w:val="Hipercze"/>
            <w:rFonts w:eastAsia="Calibri" w:cstheme="minorHAnsi"/>
            <w:sz w:val="24"/>
            <w:szCs w:val="24"/>
          </w:rPr>
          <w:t>FEO 2021-2027</w:t>
        </w:r>
      </w:hyperlink>
      <w:r w:rsidRPr="00E50212">
        <w:rPr>
          <w:rFonts w:eastAsia="Calibri" w:cstheme="minorHAnsi"/>
          <w:sz w:val="24"/>
          <w:szCs w:val="24"/>
        </w:rPr>
        <w:t>.</w:t>
      </w:r>
    </w:p>
    <w:p w14:paraId="4F8A8D6B" w14:textId="14975E3A" w:rsidR="002C7910" w:rsidRPr="00F7748D"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F7748D">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60164B6" w14:textId="77777777" w:rsidR="00914630" w:rsidRDefault="00914630">
      <w:pPr>
        <w:numPr>
          <w:ilvl w:val="0"/>
          <w:numId w:val="19"/>
        </w:numPr>
        <w:spacing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5ADB40DD" w14:textId="77777777" w:rsidR="00400AD6" w:rsidRPr="00E50212" w:rsidRDefault="00400AD6">
      <w:pPr>
        <w:pStyle w:val="Akapitzlist"/>
        <w:numPr>
          <w:ilvl w:val="0"/>
          <w:numId w:val="19"/>
        </w:numPr>
        <w:spacing w:before="60" w:after="60" w:line="276" w:lineRule="auto"/>
        <w:ind w:left="425" w:hanging="425"/>
        <w:contextualSpacing w:val="0"/>
        <w:rPr>
          <w:rFonts w:eastAsia="Calibri" w:cstheme="minorHAnsi"/>
          <w:sz w:val="24"/>
          <w:szCs w:val="24"/>
        </w:rPr>
      </w:pPr>
      <w:r w:rsidRPr="00E50212">
        <w:rPr>
          <w:rFonts w:eastAsia="Calibri" w:cstheme="minorHAns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Ww. uchwała została zmieniona uchwałą nr 2080/2025 z dnia 11 lutego 2025 r. Ww. dokumenty dostępne są na stronie</w:t>
      </w:r>
      <w:r w:rsidRPr="00E50212" w:rsidDel="00DB0221">
        <w:rPr>
          <w:rFonts w:eastAsia="Calibri" w:cstheme="minorHAnsi"/>
          <w:sz w:val="24"/>
          <w:szCs w:val="24"/>
        </w:rPr>
        <w:t xml:space="preserve"> </w:t>
      </w:r>
      <w:r w:rsidRPr="00E50212">
        <w:rPr>
          <w:rFonts w:cstheme="minorHAnsi"/>
        </w:rPr>
        <w:t xml:space="preserve"> </w:t>
      </w:r>
      <w:hyperlink r:id="rId13" w:history="1">
        <w:r w:rsidRPr="00E50212">
          <w:rPr>
            <w:rStyle w:val="Hipercze"/>
            <w:rFonts w:cstheme="minorHAnsi"/>
          </w:rPr>
          <w:t>FEO 2021-2027</w:t>
        </w:r>
      </w:hyperlink>
      <w:r w:rsidRPr="00E50212">
        <w:rPr>
          <w:rFonts w:eastAsia="Calibri" w:cstheme="minorHAnsi"/>
          <w:sz w:val="24"/>
          <w:szCs w:val="24"/>
        </w:rPr>
        <w:t>.</w:t>
      </w:r>
    </w:p>
    <w:p w14:paraId="40F4C2CE" w14:textId="1EB04342" w:rsidR="00086CE2" w:rsidRDefault="00086CE2" w:rsidP="00676940">
      <w:pPr>
        <w:rPr>
          <w:rFonts w:cstheme="minorHAnsi"/>
          <w:b/>
          <w:bCs/>
        </w:rPr>
      </w:pPr>
    </w:p>
    <w:p w14:paraId="3A63E4DD" w14:textId="7D60700A" w:rsidR="00C81003" w:rsidRPr="00676940" w:rsidRDefault="00C81003">
      <w:pPr>
        <w:pStyle w:val="Nagwek1"/>
        <w:numPr>
          <w:ilvl w:val="0"/>
          <w:numId w:val="1"/>
        </w:numPr>
        <w:spacing w:after="240" w:line="276" w:lineRule="auto"/>
        <w:ind w:left="426" w:hanging="426"/>
        <w:rPr>
          <w:rFonts w:cstheme="minorHAnsi"/>
          <w:b/>
          <w:bCs/>
        </w:rPr>
      </w:pPr>
      <w:bookmarkStart w:id="79" w:name="_Toc224647158"/>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79"/>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442BEA5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w:t>
      </w:r>
      <w:r w:rsidR="00162163">
        <w:rPr>
          <w:sz w:val="24"/>
          <w:szCs w:val="24"/>
        </w:rPr>
        <w:t> </w:t>
      </w:r>
      <w:r w:rsidR="00C81003" w:rsidRPr="00C828FE">
        <w:rPr>
          <w:sz w:val="24"/>
          <w:szCs w:val="24"/>
        </w:rPr>
        <w:t>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76BD4930" w14:textId="5E35FCB1" w:rsidR="00400AD6" w:rsidRDefault="00400AD6" w:rsidP="00400AD6">
      <w:pPr>
        <w:spacing w:after="120" w:line="276" w:lineRule="auto"/>
        <w:rPr>
          <w:sz w:val="24"/>
          <w:szCs w:val="24"/>
        </w:rPr>
      </w:pPr>
      <w:r w:rsidRPr="003D42F2">
        <w:rPr>
          <w:sz w:val="24"/>
          <w:szCs w:val="24"/>
        </w:rPr>
        <w:t xml:space="preserve">Dodatkowo w celu zapobiegania wystąpienia ryzyka podwójnego finansowania IZ przed </w:t>
      </w:r>
      <w:r w:rsidR="00BA1D2C">
        <w:rPr>
          <w:sz w:val="24"/>
          <w:szCs w:val="24"/>
        </w:rPr>
        <w:t>podpisaniem umowy</w:t>
      </w:r>
      <w:r w:rsidRPr="003D42F2">
        <w:rPr>
          <w:sz w:val="24"/>
          <w:szCs w:val="24"/>
        </w:rPr>
        <w:t xml:space="preserve"> weryfikuje, czy Wnioskodawca nie podpisał umowy </w:t>
      </w:r>
      <w:r>
        <w:rPr>
          <w:sz w:val="24"/>
          <w:szCs w:val="24"/>
        </w:rPr>
        <w:br/>
      </w:r>
      <w:r w:rsidRPr="003D42F2">
        <w:rPr>
          <w:sz w:val="24"/>
          <w:szCs w:val="24"/>
        </w:rPr>
        <w:t>o</w:t>
      </w:r>
      <w:r>
        <w:rPr>
          <w:sz w:val="24"/>
          <w:szCs w:val="24"/>
        </w:rPr>
        <w:t xml:space="preserve"> </w:t>
      </w:r>
      <w:r w:rsidRPr="003D42F2">
        <w:rPr>
          <w:sz w:val="24"/>
          <w:szCs w:val="24"/>
        </w:rPr>
        <w:t>dofinansowani</w:t>
      </w:r>
      <w:r>
        <w:rPr>
          <w:sz w:val="24"/>
          <w:szCs w:val="24"/>
        </w:rPr>
        <w:t>e</w:t>
      </w:r>
      <w:r w:rsidRPr="003D42F2">
        <w:rPr>
          <w:sz w:val="24"/>
          <w:szCs w:val="24"/>
        </w:rPr>
        <w:t xml:space="preserve">/porozumienia o dofinansowaniu/ podjął decyzji o dofinansowaniu </w:t>
      </w:r>
      <w:r>
        <w:rPr>
          <w:sz w:val="24"/>
          <w:szCs w:val="24"/>
        </w:rPr>
        <w:br/>
      </w:r>
      <w:r w:rsidRPr="003D42F2">
        <w:rPr>
          <w:sz w:val="24"/>
          <w:szCs w:val="24"/>
        </w:rPr>
        <w:t>w ramach programów krajowych lub regionalnych, na taki sam zakres merytoryczny co</w:t>
      </w:r>
      <w:r w:rsidR="00162163">
        <w:rPr>
          <w:sz w:val="24"/>
          <w:szCs w:val="24"/>
        </w:rPr>
        <w:t> </w:t>
      </w:r>
      <w:r w:rsidRPr="003D42F2">
        <w:rPr>
          <w:sz w:val="24"/>
          <w:szCs w:val="24"/>
        </w:rPr>
        <w:t>wybrany do</w:t>
      </w:r>
      <w:r>
        <w:rPr>
          <w:sz w:val="24"/>
          <w:szCs w:val="24"/>
        </w:rPr>
        <w:t> </w:t>
      </w:r>
      <w:r w:rsidRPr="003D42F2">
        <w:rPr>
          <w:sz w:val="24"/>
          <w:szCs w:val="24"/>
        </w:rPr>
        <w:t xml:space="preserve">dofinansowania projekt.  </w:t>
      </w:r>
    </w:p>
    <w:p w14:paraId="2BFDFA1D" w14:textId="1BD1D840" w:rsidR="00C81003" w:rsidRPr="00C828FE" w:rsidRDefault="00400AD6" w:rsidP="00C81003">
      <w:pPr>
        <w:spacing w:after="120"/>
        <w:rPr>
          <w:sz w:val="24"/>
          <w:szCs w:val="24"/>
        </w:rPr>
      </w:pPr>
      <w:r w:rsidRPr="00C828FE">
        <w:rPr>
          <w:sz w:val="24"/>
          <w:szCs w:val="24"/>
        </w:rPr>
        <w:lastRenderedPageBreak/>
        <w:t>W sytuacji, gdy powyższ</w:t>
      </w:r>
      <w:r>
        <w:rPr>
          <w:sz w:val="24"/>
          <w:szCs w:val="24"/>
        </w:rPr>
        <w:t>e</w:t>
      </w:r>
      <w:r w:rsidRPr="00C828FE">
        <w:rPr>
          <w:sz w:val="24"/>
          <w:szCs w:val="24"/>
        </w:rPr>
        <w:t xml:space="preserve"> warun</w:t>
      </w:r>
      <w:r>
        <w:rPr>
          <w:sz w:val="24"/>
          <w:szCs w:val="24"/>
        </w:rPr>
        <w:t>ki</w:t>
      </w:r>
      <w:r w:rsidRPr="00C828FE">
        <w:rPr>
          <w:sz w:val="24"/>
          <w:szCs w:val="24"/>
        </w:rPr>
        <w:t xml:space="preserve"> </w:t>
      </w:r>
      <w:r>
        <w:rPr>
          <w:sz w:val="24"/>
          <w:szCs w:val="24"/>
        </w:rPr>
        <w:t>są</w:t>
      </w:r>
      <w:r w:rsidRPr="00C828FE">
        <w:rPr>
          <w:sz w:val="24"/>
          <w:szCs w:val="24"/>
        </w:rPr>
        <w:t xml:space="preserve"> spełnion</w:t>
      </w:r>
      <w:r>
        <w:rPr>
          <w:sz w:val="24"/>
          <w:szCs w:val="24"/>
        </w:rPr>
        <w:t>e</w:t>
      </w:r>
      <w:r w:rsidRPr="00C828FE">
        <w:rPr>
          <w:sz w:val="24"/>
          <w:szCs w:val="24"/>
        </w:rPr>
        <w:t xml:space="preserve"> lub gdy nie dotycz</w:t>
      </w:r>
      <w:r>
        <w:rPr>
          <w:sz w:val="24"/>
          <w:szCs w:val="24"/>
        </w:rPr>
        <w:t>ą</w:t>
      </w:r>
      <w:r w:rsidRPr="00C828FE">
        <w:rPr>
          <w:sz w:val="24"/>
          <w:szCs w:val="24"/>
        </w:rPr>
        <w:t xml:space="preserve"> Beneficjenta</w:t>
      </w:r>
      <w:r>
        <w:rPr>
          <w:sz w:val="24"/>
          <w:szCs w:val="24"/>
        </w:rPr>
        <w:t xml:space="preserve"> lub partnera</w:t>
      </w:r>
      <w:r w:rsidRPr="00C828FE">
        <w:rPr>
          <w:sz w:val="24"/>
          <w:szCs w:val="24"/>
        </w:rPr>
        <w:t xml:space="preserve">, IZ wystosowuje do </w:t>
      </w:r>
      <w:r>
        <w:rPr>
          <w:sz w:val="24"/>
          <w:szCs w:val="24"/>
        </w:rPr>
        <w:t>W</w:t>
      </w:r>
      <w:r w:rsidRPr="00C828FE">
        <w:rPr>
          <w:sz w:val="24"/>
          <w:szCs w:val="24"/>
        </w:rPr>
        <w:t xml:space="preserve">nioskodawcy pismo z prośbą o załączniki do </w:t>
      </w:r>
      <w:r w:rsidR="00BA1D2C">
        <w:rPr>
          <w:sz w:val="24"/>
          <w:szCs w:val="24"/>
        </w:rPr>
        <w:t>umowy</w:t>
      </w:r>
      <w:r>
        <w:rPr>
          <w:sz w:val="24"/>
          <w:szCs w:val="24"/>
        </w:rPr>
        <w:t xml:space="preserve"> </w:t>
      </w:r>
      <w:r w:rsidRPr="00C828FE">
        <w:rPr>
          <w:sz w:val="24"/>
          <w:szCs w:val="24"/>
        </w:rPr>
        <w:t>o dofinansowani</w:t>
      </w:r>
      <w:r w:rsidR="00BA1D2C">
        <w:rPr>
          <w:sz w:val="24"/>
          <w:szCs w:val="24"/>
        </w:rPr>
        <w:t>e</w:t>
      </w:r>
      <w:r w:rsidR="00C81003" w:rsidRPr="00C828FE">
        <w:rPr>
          <w:sz w:val="24"/>
          <w:szCs w:val="24"/>
        </w:rPr>
        <w:t>.</w:t>
      </w:r>
    </w:p>
    <w:p w14:paraId="497101FB" w14:textId="3DE263B0" w:rsidR="00C81003" w:rsidRPr="0051304D"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pPr>
        <w:pStyle w:val="Akapitzlist"/>
        <w:numPr>
          <w:ilvl w:val="0"/>
          <w:numId w:val="9"/>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A3738D">
      <w:pPr>
        <w:pStyle w:val="Akapitzlist"/>
        <w:spacing w:after="120" w:line="276" w:lineRule="auto"/>
        <w:ind w:left="0"/>
        <w:contextualSpacing w:val="0"/>
        <w:rPr>
          <w:sz w:val="24"/>
          <w:szCs w:val="24"/>
        </w:rPr>
      </w:pPr>
      <w:r w:rsidRPr="0051304D">
        <w:rPr>
          <w:sz w:val="24"/>
          <w:szCs w:val="24"/>
        </w:rPr>
        <w:t>IZ zastrzega sobie też prawo żądania dodatkowych dokumentów/wyjaśnień w związku ze specyfiką danego projektu.</w:t>
      </w:r>
    </w:p>
    <w:p w14:paraId="3565C10D" w14:textId="4AC47390" w:rsidR="00455E8B" w:rsidRPr="00247414" w:rsidRDefault="00455E8B" w:rsidP="00455E8B">
      <w:pPr>
        <w:spacing w:after="120" w:line="276" w:lineRule="auto"/>
        <w:rPr>
          <w:sz w:val="24"/>
          <w:szCs w:val="24"/>
        </w:rPr>
      </w:pPr>
      <w:r w:rsidRPr="00247414">
        <w:rPr>
          <w:sz w:val="24"/>
          <w:szCs w:val="24"/>
        </w:rPr>
        <w:t xml:space="preserve">IZ FEO 2021-2027 dokonuje weryfikacji przedłożonej przez Wnioskodawcę dokumentacji </w:t>
      </w:r>
      <w:r w:rsidRPr="00247414">
        <w:rPr>
          <w:sz w:val="24"/>
          <w:szCs w:val="24"/>
        </w:rPr>
        <w:br/>
        <w:t xml:space="preserve">w terminie 60 dni od otrzymania kompletu dokumentów. IZ zastrzega sobie przy tym, że nie jest związana powyższym terminem, jeśli w trakcie weryfikacji dokumenty wymagają poprawy. Po zakończeniu weryfikacji IZ FEO 2021-2027 w terminie 30 dni podejmuje </w:t>
      </w:r>
      <w:r>
        <w:rPr>
          <w:sz w:val="24"/>
          <w:szCs w:val="24"/>
        </w:rPr>
        <w:t>umowę</w:t>
      </w:r>
      <w:r w:rsidRPr="00247414">
        <w:rPr>
          <w:sz w:val="24"/>
          <w:szCs w:val="24"/>
        </w:rPr>
        <w:t xml:space="preserve"> </w:t>
      </w:r>
      <w:r w:rsidRPr="00247414">
        <w:rPr>
          <w:sz w:val="24"/>
          <w:szCs w:val="24"/>
        </w:rPr>
        <w:br/>
        <w:t>o dofinansowaniu.</w:t>
      </w:r>
    </w:p>
    <w:p w14:paraId="27C39A83" w14:textId="77777777" w:rsidR="00455E8B" w:rsidRDefault="00455E8B" w:rsidP="00C81003">
      <w:pPr>
        <w:pStyle w:val="Akapitzlist"/>
        <w:spacing w:after="0" w:line="276" w:lineRule="auto"/>
        <w:ind w:left="0"/>
        <w:contextualSpacing w:val="0"/>
        <w:rPr>
          <w:rFonts w:cstheme="minorHAnsi"/>
          <w:b/>
          <w:color w:val="000000" w:themeColor="text1"/>
          <w:sz w:val="32"/>
          <w:szCs w:val="32"/>
        </w:rPr>
      </w:pPr>
    </w:p>
    <w:p w14:paraId="74D4BBC9" w14:textId="77777777" w:rsidR="00C81003" w:rsidRPr="00676940" w:rsidRDefault="00C81003">
      <w:pPr>
        <w:pStyle w:val="Nagwek1"/>
        <w:numPr>
          <w:ilvl w:val="0"/>
          <w:numId w:val="1"/>
        </w:numPr>
        <w:spacing w:after="240" w:line="276" w:lineRule="auto"/>
        <w:ind w:left="426" w:hanging="426"/>
        <w:rPr>
          <w:rFonts w:cstheme="minorHAnsi"/>
          <w:b/>
          <w:bCs/>
        </w:rPr>
      </w:pPr>
      <w:bookmarkStart w:id="80" w:name="_Toc224647159"/>
      <w:r w:rsidRPr="00676940">
        <w:rPr>
          <w:rFonts w:asciiTheme="minorHAnsi" w:eastAsiaTheme="minorHAnsi" w:hAnsiTheme="minorHAnsi" w:cstheme="minorHAnsi"/>
          <w:b/>
          <w:color w:val="000000" w:themeColor="text1"/>
        </w:rPr>
        <w:t>Kryteria wyboru projektów wraz z podaniem ich znaczenia</w:t>
      </w:r>
      <w:bookmarkEnd w:id="80"/>
    </w:p>
    <w:p w14:paraId="2035162B" w14:textId="284B12C1"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81" w:name="_Hlk146613026"/>
      <w:r w:rsidR="005D036B" w:rsidRPr="00193F2D">
        <w:rPr>
          <w:rFonts w:cstheme="minorHAnsi"/>
          <w:i/>
          <w:iCs/>
          <w:sz w:val="24"/>
          <w:szCs w:val="24"/>
        </w:rPr>
        <w:t>2.1 Poprawa efektywności energetycznej w województwie opolskim</w:t>
      </w:r>
      <w:r w:rsidR="005D036B" w:rsidRPr="00193F2D">
        <w:rPr>
          <w:sz w:val="24"/>
          <w:szCs w:val="24"/>
        </w:rPr>
        <w:t xml:space="preserve"> </w:t>
      </w:r>
      <w:bookmarkEnd w:id="81"/>
      <w:r w:rsidRPr="00DF0F1C">
        <w:rPr>
          <w:sz w:val="24"/>
          <w:szCs w:val="24"/>
        </w:rPr>
        <w:t>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18AECA0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sidR="00B6413A">
        <w:rPr>
          <w:sz w:val="24"/>
          <w:szCs w:val="24"/>
        </w:rPr>
        <w:t xml:space="preserve"> (w tym dostępowe)</w:t>
      </w:r>
      <w:r>
        <w:rPr>
          <w:sz w:val="24"/>
          <w:szCs w:val="24"/>
        </w:rPr>
        <w:t>;</w:t>
      </w:r>
    </w:p>
    <w:p w14:paraId="41E3578D" w14:textId="7777777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54C31D1C" w14:textId="77777777" w:rsidR="0050572E" w:rsidRDefault="00C81003">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p>
    <w:p w14:paraId="5C409250" w14:textId="77777777" w:rsidR="0050572E" w:rsidRDefault="0050572E">
      <w:pPr>
        <w:pStyle w:val="Akapitzlist"/>
        <w:numPr>
          <w:ilvl w:val="0"/>
          <w:numId w:val="27"/>
        </w:numPr>
        <w:spacing w:line="276" w:lineRule="auto"/>
        <w:rPr>
          <w:rFonts w:cstheme="minorHAnsi"/>
          <w:b/>
          <w:sz w:val="24"/>
          <w:szCs w:val="24"/>
        </w:rPr>
      </w:pPr>
      <w:r>
        <w:rPr>
          <w:rFonts w:cstheme="minorHAnsi"/>
          <w:b/>
          <w:sz w:val="24"/>
          <w:szCs w:val="24"/>
        </w:rPr>
        <w:lastRenderedPageBreak/>
        <w:t>obowiązujące dla wszystkich typów projektu</w:t>
      </w:r>
    </w:p>
    <w:p w14:paraId="3439EA6B" w14:textId="77777777" w:rsidR="0050572E" w:rsidRDefault="0050572E">
      <w:pPr>
        <w:pStyle w:val="Akapitzlist"/>
        <w:numPr>
          <w:ilvl w:val="0"/>
          <w:numId w:val="27"/>
        </w:numPr>
        <w:spacing w:line="276" w:lineRule="auto"/>
        <w:rPr>
          <w:rFonts w:cstheme="minorHAnsi"/>
          <w:b/>
          <w:sz w:val="24"/>
          <w:szCs w:val="24"/>
        </w:rPr>
      </w:pPr>
      <w:r>
        <w:rPr>
          <w:rFonts w:cstheme="minorHAnsi"/>
          <w:b/>
          <w:sz w:val="24"/>
          <w:szCs w:val="24"/>
        </w:rPr>
        <w:t>obowiązujące dla typu nr 1</w:t>
      </w:r>
    </w:p>
    <w:p w14:paraId="49A2873A" w14:textId="2AC7E4EF" w:rsidR="00C81003" w:rsidRPr="0050572E" w:rsidRDefault="0050572E">
      <w:pPr>
        <w:pStyle w:val="Akapitzlist"/>
        <w:numPr>
          <w:ilvl w:val="0"/>
          <w:numId w:val="27"/>
        </w:numPr>
        <w:spacing w:line="276" w:lineRule="auto"/>
        <w:rPr>
          <w:rFonts w:cstheme="minorHAnsi"/>
          <w:b/>
          <w:sz w:val="24"/>
          <w:szCs w:val="24"/>
        </w:rPr>
      </w:pPr>
      <w:r>
        <w:rPr>
          <w:rFonts w:cstheme="minorHAnsi"/>
          <w:b/>
          <w:sz w:val="24"/>
          <w:szCs w:val="24"/>
        </w:rPr>
        <w:t>obowiązujące dla typu nr 2</w:t>
      </w:r>
    </w:p>
    <w:p w14:paraId="15A3A256" w14:textId="52CC4271" w:rsidR="00640113" w:rsidRPr="00640113" w:rsidRDefault="00640113">
      <w:pPr>
        <w:pStyle w:val="Akapitzlist"/>
        <w:numPr>
          <w:ilvl w:val="0"/>
          <w:numId w:val="4"/>
        </w:numPr>
        <w:spacing w:line="276" w:lineRule="auto"/>
        <w:ind w:left="426" w:hanging="426"/>
        <w:rPr>
          <w:b/>
          <w:sz w:val="24"/>
          <w:szCs w:val="24"/>
        </w:rPr>
      </w:pPr>
      <w:r w:rsidRPr="00640113">
        <w:rPr>
          <w:b/>
          <w:sz w:val="24"/>
          <w:szCs w:val="24"/>
        </w:rPr>
        <w:t>merytoryczne szczegółowe punktowane</w:t>
      </w:r>
      <w:r w:rsidR="00F2562D">
        <w:rPr>
          <w:b/>
          <w:sz w:val="24"/>
          <w:szCs w:val="24"/>
        </w:rPr>
        <w:t>.</w:t>
      </w:r>
    </w:p>
    <w:p w14:paraId="7234C339" w14:textId="45BBC394" w:rsidR="00F7748D" w:rsidRDefault="00F7748D" w:rsidP="00640113">
      <w:pPr>
        <w:spacing w:after="120" w:line="276" w:lineRule="auto"/>
        <w:rPr>
          <w:rFonts w:ascii="Calibri" w:eastAsia="Times New Roman" w:hAnsi="Calibri" w:cs="Times New Roman"/>
          <w:sz w:val="24"/>
          <w:szCs w:val="24"/>
          <w:lang w:eastAsia="pl-PL"/>
        </w:rPr>
      </w:pPr>
      <w:bookmarkStart w:id="82" w:name="_Hlk156295210"/>
      <w:r w:rsidRPr="00F7748D">
        <w:rPr>
          <w:rFonts w:ascii="Calibri" w:eastAsia="Times New Roman" w:hAnsi="Calibri" w:cs="Times New Roman"/>
          <w:sz w:val="24"/>
          <w:szCs w:val="24"/>
          <w:lang w:eastAsia="pl-PL"/>
        </w:rPr>
        <w:t>Poszczególne typy przedsięwzięć zostaną ocenione według kryteriów dla wszystkich typów przedsięwzięć oraz dedykowanych dla danego typu przedsięwzięcia zgodnie z załącznikiem nr 8 do Regulaminu wyboru projektów.</w:t>
      </w:r>
      <w:r w:rsidR="00F17F13">
        <w:rPr>
          <w:rFonts w:ascii="Calibri" w:eastAsia="Times New Roman" w:hAnsi="Calibri" w:cs="Times New Roman"/>
          <w:sz w:val="24"/>
          <w:szCs w:val="24"/>
          <w:lang w:eastAsia="pl-PL"/>
        </w:rPr>
        <w:t xml:space="preserve"> </w:t>
      </w:r>
      <w:bookmarkEnd w:id="82"/>
    </w:p>
    <w:p w14:paraId="649A0256" w14:textId="4A92863E" w:rsidR="00640113" w:rsidRDefault="00640113" w:rsidP="00640113">
      <w:pPr>
        <w:spacing w:after="120" w:line="276" w:lineRule="auto"/>
        <w:rPr>
          <w:rFonts w:ascii="Calibri" w:eastAsia="Times New Roman" w:hAnsi="Calibri" w:cs="Times New Roman"/>
          <w:sz w:val="24"/>
          <w:szCs w:val="24"/>
          <w:lang w:eastAsia="pl-PL"/>
        </w:rPr>
      </w:pPr>
      <w:r w:rsidRPr="003F5334">
        <w:rPr>
          <w:rFonts w:ascii="Calibri" w:eastAsia="Times New Roman" w:hAnsi="Calibri" w:cs="Times New Roman"/>
          <w:sz w:val="24"/>
          <w:szCs w:val="24"/>
          <w:lang w:eastAsia="pl-PL"/>
        </w:rPr>
        <w:t xml:space="preserve">W kryteriach wyboru projektów dla każdego </w:t>
      </w:r>
      <w:r w:rsidR="00F17F13">
        <w:rPr>
          <w:rFonts w:ascii="Calibri" w:eastAsia="Times New Roman" w:hAnsi="Calibri" w:cs="Times New Roman"/>
          <w:sz w:val="24"/>
          <w:szCs w:val="24"/>
          <w:lang w:eastAsia="pl-PL"/>
        </w:rPr>
        <w:t>typu</w:t>
      </w:r>
      <w:r w:rsidRPr="003F5334">
        <w:rPr>
          <w:rFonts w:ascii="Calibri" w:eastAsia="Times New Roman" w:hAnsi="Calibri" w:cs="Times New Roman"/>
          <w:i/>
          <w:sz w:val="24"/>
          <w:szCs w:val="24"/>
          <w:lang w:eastAsia="pl-PL"/>
        </w:rPr>
        <w:t xml:space="preserve"> </w:t>
      </w:r>
      <w:r w:rsidRPr="003F5334">
        <w:rPr>
          <w:rFonts w:ascii="Calibri" w:eastAsia="Times New Roman" w:hAnsi="Calibri" w:cs="Times New Roman"/>
          <w:sz w:val="24"/>
          <w:szCs w:val="24"/>
          <w:lang w:eastAsia="pl-PL"/>
        </w:rPr>
        <w:t xml:space="preserve">wskazano kryteria merytoryczne </w:t>
      </w:r>
      <w:r>
        <w:rPr>
          <w:rFonts w:ascii="Calibri" w:eastAsia="Times New Roman" w:hAnsi="Calibri" w:cs="Times New Roman"/>
          <w:sz w:val="24"/>
          <w:szCs w:val="24"/>
          <w:lang w:eastAsia="pl-PL"/>
        </w:rPr>
        <w:t>szczegółowe</w:t>
      </w:r>
      <w:r w:rsidRPr="003F5334">
        <w:rPr>
          <w:rFonts w:ascii="Calibri" w:eastAsia="Times New Roman" w:hAnsi="Calibri" w:cs="Times New Roman"/>
          <w:sz w:val="24"/>
          <w:szCs w:val="24"/>
          <w:lang w:eastAsia="pl-PL"/>
        </w:rPr>
        <w:t xml:space="preserve"> punktowane </w:t>
      </w:r>
      <w:r w:rsidRPr="003F5334">
        <w:rPr>
          <w:rFonts w:ascii="Calibri" w:eastAsia="Times New Roman" w:hAnsi="Calibri" w:cs="Times New Roman"/>
          <w:b/>
          <w:sz w:val="24"/>
          <w:szCs w:val="24"/>
          <w:lang w:eastAsia="pl-PL"/>
        </w:rPr>
        <w:t>o charakterze rozstrzygającym</w:t>
      </w:r>
      <w:r>
        <w:rPr>
          <w:rFonts w:ascii="Calibri" w:eastAsia="Times New Roman" w:hAnsi="Calibri" w:cs="Times New Roman"/>
          <w:sz w:val="24"/>
          <w:szCs w:val="24"/>
          <w:lang w:eastAsia="pl-PL"/>
        </w:rPr>
        <w:t xml:space="preserve">. </w:t>
      </w:r>
    </w:p>
    <w:p w14:paraId="03589249" w14:textId="4F4ACEB8" w:rsidR="00640113" w:rsidRPr="00212782" w:rsidRDefault="00640113" w:rsidP="00640113">
      <w:pPr>
        <w:spacing w:after="120" w:line="276" w:lineRule="auto"/>
        <w:rPr>
          <w:rFonts w:ascii="Calibri" w:eastAsia="Calibri" w:hAnsi="Calibri" w:cs="Arial"/>
          <w:sz w:val="24"/>
          <w:szCs w:val="24"/>
          <w:lang w:eastAsia="pl-PL"/>
        </w:rPr>
      </w:pPr>
      <w:r w:rsidRPr="00212782">
        <w:rPr>
          <w:rFonts w:ascii="Calibri" w:eastAsia="Calibri" w:hAnsi="Calibri" w:cs="Times New Roman"/>
          <w:iCs/>
          <w:noProof/>
          <w:sz w:val="24"/>
          <w:szCs w:val="24"/>
          <w:lang w:eastAsia="pl-PL"/>
        </w:rPr>
        <w:t>W przypadku</w:t>
      </w:r>
      <w:r w:rsidR="00F7748D">
        <w:rPr>
          <w:rFonts w:ascii="Calibri" w:eastAsia="Calibri" w:hAnsi="Calibri" w:cs="Times New Roman"/>
          <w:iCs/>
          <w:noProof/>
          <w:sz w:val="24"/>
          <w:szCs w:val="24"/>
          <w:lang w:eastAsia="pl-PL"/>
        </w:rPr>
        <w:t>,</w:t>
      </w:r>
      <w:r w:rsidRPr="00212782">
        <w:rPr>
          <w:rFonts w:ascii="Calibri" w:eastAsia="Calibri" w:hAnsi="Calibri" w:cs="Times New Roman"/>
          <w:iCs/>
          <w:noProof/>
          <w:sz w:val="24"/>
          <w:szCs w:val="24"/>
          <w:lang w:eastAsia="pl-PL"/>
        </w:rPr>
        <w:t xml:space="preserve"> gdy dwa lub więcej projektów skierowanych do rozstrzygnięcia postępowania konkurencyjnego spełniają wszystkie bezwzględne kryteria wyboru projektów oraz </w:t>
      </w:r>
      <w:r w:rsidRPr="00212782">
        <w:rPr>
          <w:rFonts w:ascii="Calibri" w:eastAsia="Calibri" w:hAnsi="Calibri" w:cs="Times New Roman"/>
          <w:b/>
          <w:bCs/>
          <w:iCs/>
          <w:noProof/>
          <w:sz w:val="24"/>
          <w:szCs w:val="24"/>
          <w:lang w:eastAsia="pl-PL"/>
        </w:rPr>
        <w:t>uzyskają taką samą liczbę punktów</w:t>
      </w:r>
      <w:r w:rsidRPr="00212782">
        <w:rPr>
          <w:rFonts w:ascii="Calibri" w:eastAsia="Calibri" w:hAnsi="Calibri" w:cs="Times New Roman"/>
          <w:iCs/>
          <w:noProof/>
          <w:sz w:val="24"/>
          <w:szCs w:val="24"/>
          <w:lang w:eastAsia="pl-PL"/>
        </w:rPr>
        <w:t xml:space="preserve"> </w:t>
      </w:r>
      <w:bookmarkStart w:id="83" w:name="_Hlk156295330"/>
      <w:r w:rsidR="00BE2BBC">
        <w:rPr>
          <w:rFonts w:ascii="Calibri" w:eastAsia="Calibri" w:hAnsi="Calibri" w:cs="Times New Roman"/>
          <w:iCs/>
          <w:noProof/>
          <w:sz w:val="24"/>
          <w:szCs w:val="24"/>
          <w:lang w:eastAsia="pl-PL"/>
        </w:rPr>
        <w:t xml:space="preserve">w przeliczeniu na procenty </w:t>
      </w:r>
      <w:bookmarkEnd w:id="83"/>
      <w:r w:rsidRPr="00212782">
        <w:rPr>
          <w:rFonts w:ascii="Calibri" w:eastAsia="Calibri" w:hAnsi="Calibri" w:cs="Times New Roman"/>
          <w:iCs/>
          <w:noProof/>
          <w:sz w:val="24"/>
          <w:szCs w:val="24"/>
          <w:lang w:eastAsia="pl-PL"/>
        </w:rPr>
        <w:t>(równą lub przewyższającą 50 %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2F5F1537" w14:textId="27E14E95" w:rsidR="00B33EB7" w:rsidRPr="000564D1" w:rsidRDefault="00B33EB7" w:rsidP="00B33EB7">
      <w:pPr>
        <w:spacing w:after="120" w:line="276" w:lineRule="auto"/>
        <w:rPr>
          <w:rFonts w:ascii="Calibri" w:eastAsia="Times New Roman" w:hAnsi="Calibri" w:cs="Times New Roman"/>
          <w:sz w:val="24"/>
          <w:szCs w:val="24"/>
          <w:highlight w:val="yellow"/>
          <w:lang w:eastAsia="pl-PL"/>
        </w:rPr>
      </w:pPr>
      <w:r w:rsidRPr="00493853">
        <w:rPr>
          <w:rFonts w:ascii="Calibri" w:eastAsia="Times New Roman" w:hAnsi="Calibri" w:cs="Times New Roman"/>
          <w:sz w:val="24"/>
          <w:szCs w:val="24"/>
          <w:lang w:eastAsia="pl-PL"/>
        </w:rPr>
        <w:t xml:space="preserve">W ramach typu nr 1 </w:t>
      </w:r>
      <w:r w:rsidR="00B6413A">
        <w:rPr>
          <w:rFonts w:ascii="Calibri" w:eastAsia="Times New Roman" w:hAnsi="Calibri" w:cs="Times New Roman"/>
          <w:sz w:val="24"/>
          <w:szCs w:val="24"/>
          <w:lang w:eastAsia="pl-PL"/>
        </w:rPr>
        <w:t xml:space="preserve">i typu nr 2 </w:t>
      </w:r>
      <w:r w:rsidRPr="00493853">
        <w:rPr>
          <w:rFonts w:ascii="Calibri" w:eastAsia="Times New Roman" w:hAnsi="Calibri" w:cs="Times New Roman"/>
          <w:sz w:val="24"/>
          <w:szCs w:val="24"/>
          <w:lang w:eastAsia="pl-PL"/>
        </w:rPr>
        <w:t xml:space="preserve">punktacja uzyskana za spełnienie kryterium pn. </w:t>
      </w:r>
      <w:bookmarkStart w:id="84" w:name="_Hlk156824323"/>
      <w:r w:rsidR="00335D7D" w:rsidRPr="00493853">
        <w:rPr>
          <w:rFonts w:ascii="Calibri" w:eastAsia="Times New Roman" w:hAnsi="Calibri" w:cs="Times New Roman"/>
          <w:sz w:val="24"/>
          <w:szCs w:val="24"/>
          <w:lang w:eastAsia="pl-PL"/>
        </w:rPr>
        <w:t>„Poprawa efektywności energetycznej (w %)”</w:t>
      </w:r>
      <w:bookmarkEnd w:id="84"/>
      <w:r w:rsidR="00335D7D" w:rsidRPr="00493853">
        <w:rPr>
          <w:rFonts w:ascii="Calibri" w:eastAsia="Times New Roman" w:hAnsi="Calibri" w:cs="Times New Roman"/>
          <w:sz w:val="24"/>
          <w:szCs w:val="24"/>
          <w:lang w:eastAsia="pl-PL"/>
        </w:rPr>
        <w:t>, jest</w:t>
      </w:r>
      <w:r w:rsidRPr="00493853">
        <w:rPr>
          <w:rFonts w:ascii="Calibri" w:eastAsia="Times New Roman" w:hAnsi="Calibri" w:cs="Times New Roman"/>
          <w:sz w:val="24"/>
          <w:szCs w:val="24"/>
          <w:lang w:eastAsia="pl-PL"/>
        </w:rPr>
        <w:t xml:space="preserve"> rozstrzygająca w pierwszej kolejności, a w sytuacji, gdy nie jest to skuteczne, w drugiej kolejności brana jest pod uwagę punktacja za spełnienie kryterium </w:t>
      </w:r>
      <w:bookmarkStart w:id="85" w:name="_Hlk156824813"/>
      <w:bookmarkStart w:id="86" w:name="_Hlk156824336"/>
      <w:r w:rsidR="00335D7D" w:rsidRPr="00493853">
        <w:rPr>
          <w:rFonts w:ascii="Calibri" w:eastAsia="Times New Roman" w:hAnsi="Calibri" w:cs="Times New Roman"/>
          <w:sz w:val="24"/>
          <w:szCs w:val="24"/>
          <w:lang w:eastAsia="pl-PL"/>
        </w:rPr>
        <w:t>pn.</w:t>
      </w:r>
      <w:r w:rsidR="00823E60">
        <w:rPr>
          <w:rFonts w:ascii="Calibri" w:eastAsia="Times New Roman" w:hAnsi="Calibri" w:cs="Times New Roman"/>
          <w:sz w:val="24"/>
          <w:szCs w:val="24"/>
          <w:lang w:eastAsia="pl-PL"/>
        </w:rPr>
        <w:t xml:space="preserve"> „</w:t>
      </w:r>
      <w:r w:rsidR="00335D7D" w:rsidRPr="00493853">
        <w:rPr>
          <w:rFonts w:ascii="Calibri" w:eastAsia="Times New Roman" w:hAnsi="Calibri" w:cs="Times New Roman"/>
          <w:sz w:val="24"/>
          <w:szCs w:val="24"/>
          <w:lang w:eastAsia="pl-PL"/>
        </w:rPr>
        <w:t>Poziom redukcji CO</w:t>
      </w:r>
      <w:r w:rsidR="00335D7D" w:rsidRPr="00493853">
        <w:rPr>
          <w:rFonts w:ascii="Calibri" w:eastAsia="Times New Roman" w:hAnsi="Calibri" w:cs="Times New Roman"/>
          <w:sz w:val="24"/>
          <w:szCs w:val="24"/>
          <w:vertAlign w:val="subscript"/>
          <w:lang w:eastAsia="pl-PL"/>
        </w:rPr>
        <w:t>2</w:t>
      </w:r>
      <w:r w:rsidR="00335D7D" w:rsidRPr="00493853">
        <w:rPr>
          <w:rFonts w:ascii="Calibri" w:eastAsia="Times New Roman" w:hAnsi="Calibri" w:cs="Times New Roman"/>
          <w:sz w:val="24"/>
          <w:szCs w:val="24"/>
          <w:lang w:eastAsia="pl-PL"/>
        </w:rPr>
        <w:t>”.</w:t>
      </w:r>
      <w:bookmarkEnd w:id="85"/>
    </w:p>
    <w:bookmarkEnd w:id="86"/>
    <w:p w14:paraId="65B7B3AC" w14:textId="75687ABF" w:rsidR="00640113" w:rsidRDefault="00640113" w:rsidP="00640113">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projektu, dostarczenia przez wnioskodawcę dokumentów potwierdzających spełnienie tych kryteriów.</w:t>
      </w:r>
    </w:p>
    <w:p w14:paraId="5374B09D"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3EA85CCA"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p>
    <w:p w14:paraId="5BFC7E7C"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W związku z tym, kryteria wyboru projektów ocenione na podstawie deklaracji we wniosku</w:t>
      </w:r>
    </w:p>
    <w:p w14:paraId="008D315E" w14:textId="77777777" w:rsidR="00640113" w:rsidRDefault="00640113" w:rsidP="00640113">
      <w:pPr>
        <w:spacing w:after="120" w:line="276" w:lineRule="auto"/>
        <w:rPr>
          <w:rFonts w:eastAsia="Calibri" w:cstheme="minorHAnsi"/>
          <w:sz w:val="24"/>
          <w:szCs w:val="24"/>
        </w:rPr>
      </w:pPr>
      <w:r>
        <w:rPr>
          <w:rFonts w:eastAsia="Calibri" w:cstheme="minorHAnsi"/>
          <w:sz w:val="24"/>
          <w:szCs w:val="24"/>
        </w:rPr>
        <w:t>o dofinansowanie projektu weryfikowane będą na podstawie dokumentów poświadczających ich spełnienie na etapie realizacji projektu oraz podczas kontroli.</w:t>
      </w:r>
    </w:p>
    <w:p w14:paraId="107EF382" w14:textId="1A97A69F" w:rsidR="00AD427E" w:rsidRPr="00AD427E" w:rsidRDefault="00AD427E" w:rsidP="00640113">
      <w:pPr>
        <w:spacing w:after="120" w:line="276" w:lineRule="auto"/>
        <w:rPr>
          <w:rFonts w:ascii="Calibri" w:eastAsia="Calibri" w:hAnsi="Calibri" w:cs="Arial"/>
          <w:b/>
          <w:bCs/>
          <w:sz w:val="24"/>
          <w:szCs w:val="24"/>
          <w:lang w:eastAsia="pl-PL"/>
        </w:rPr>
      </w:pPr>
      <w:r w:rsidRPr="00AD427E">
        <w:rPr>
          <w:rFonts w:ascii="Calibri" w:eastAsia="Calibri" w:hAnsi="Calibri" w:cs="Arial"/>
          <w:b/>
          <w:bCs/>
          <w:sz w:val="24"/>
          <w:szCs w:val="24"/>
          <w:lang w:eastAsia="pl-PL"/>
        </w:rPr>
        <w:t xml:space="preserve">Kryteria bezwzględne obowiązują przez cały okres realizacji projektu a ich niespełnienie skutkuje uznaniem wydatków kwalifikowalnych w 100% za niekwalifikowalne.      </w:t>
      </w:r>
    </w:p>
    <w:p w14:paraId="58179EA1" w14:textId="62B5AC3D" w:rsidR="00640113" w:rsidRPr="00990BF6" w:rsidRDefault="00990BF6" w:rsidP="00990BF6">
      <w:pPr>
        <w:spacing w:after="120" w:line="276" w:lineRule="auto"/>
        <w:rPr>
          <w:rFonts w:eastAsia="Calibri" w:cstheme="minorHAnsi"/>
          <w:sz w:val="24"/>
          <w:szCs w:val="24"/>
          <w:lang w:eastAsia="pl-PL"/>
        </w:rPr>
      </w:pPr>
      <w:r w:rsidRPr="003D2E81">
        <w:rPr>
          <w:rFonts w:eastAsia="Calibri" w:cstheme="minorHAnsi"/>
          <w:sz w:val="24"/>
          <w:szCs w:val="24"/>
          <w:lang w:eastAsia="pl-PL"/>
        </w:rPr>
        <w:t xml:space="preserve">W przypadku konieczności potwierdzenia przez Instytucję Zarządzającą, po </w:t>
      </w:r>
      <w:r w:rsidR="00BA1D2C">
        <w:rPr>
          <w:rFonts w:eastAsia="Calibri" w:cstheme="minorHAnsi"/>
          <w:sz w:val="24"/>
          <w:szCs w:val="24"/>
          <w:lang w:eastAsia="pl-PL"/>
        </w:rPr>
        <w:t>podpisaniu</w:t>
      </w:r>
      <w:r w:rsidRPr="003D2E81">
        <w:rPr>
          <w:rFonts w:eastAsia="Calibri" w:cstheme="minorHAnsi"/>
          <w:sz w:val="24"/>
          <w:szCs w:val="24"/>
          <w:lang w:eastAsia="pl-PL"/>
        </w:rPr>
        <w:t xml:space="preserve"> </w:t>
      </w:r>
      <w:r w:rsidR="00BA1D2C">
        <w:rPr>
          <w:rFonts w:eastAsia="Calibri" w:cstheme="minorHAnsi"/>
          <w:sz w:val="24"/>
          <w:szCs w:val="24"/>
          <w:lang w:eastAsia="pl-PL"/>
        </w:rPr>
        <w:t>umowy</w:t>
      </w:r>
      <w:r w:rsidRPr="003D2E81">
        <w:rPr>
          <w:rFonts w:eastAsia="Calibri" w:cstheme="minorHAnsi"/>
          <w:sz w:val="24"/>
          <w:szCs w:val="24"/>
          <w:lang w:eastAsia="pl-PL"/>
        </w:rPr>
        <w:t xml:space="preserve"> o</w:t>
      </w:r>
      <w:r>
        <w:rPr>
          <w:rFonts w:eastAsia="Calibri" w:cstheme="minorHAnsi"/>
          <w:sz w:val="24"/>
          <w:szCs w:val="24"/>
          <w:lang w:eastAsia="pl-PL"/>
        </w:rPr>
        <w:t> </w:t>
      </w:r>
      <w:r w:rsidRPr="003D2E81">
        <w:rPr>
          <w:rFonts w:eastAsia="Calibri" w:cstheme="minorHAnsi"/>
          <w:sz w:val="24"/>
          <w:szCs w:val="24"/>
          <w:lang w:eastAsia="pl-PL"/>
        </w:rPr>
        <w:t>dofinansowani</w:t>
      </w:r>
      <w:r w:rsidR="00BA1D2C">
        <w:rPr>
          <w:rFonts w:eastAsia="Calibri" w:cstheme="minorHAnsi"/>
          <w:sz w:val="24"/>
          <w:szCs w:val="24"/>
          <w:lang w:eastAsia="pl-PL"/>
        </w:rPr>
        <w:t>e</w:t>
      </w:r>
      <w:r w:rsidRPr="003D2E81">
        <w:rPr>
          <w:rFonts w:eastAsia="Calibri" w:cstheme="minorHAnsi"/>
          <w:sz w:val="24"/>
          <w:szCs w:val="24"/>
          <w:lang w:eastAsia="pl-PL"/>
        </w:rPr>
        <w:t>, że Beneficjent spełnia kryteria wyboru projektów właściwe dla naboru, w</w:t>
      </w:r>
      <w:r>
        <w:rPr>
          <w:rFonts w:eastAsia="Calibri" w:cstheme="minorHAnsi"/>
          <w:sz w:val="24"/>
          <w:szCs w:val="24"/>
          <w:lang w:eastAsia="pl-PL"/>
        </w:rPr>
        <w:t> </w:t>
      </w:r>
      <w:r w:rsidRPr="003D2E81">
        <w:rPr>
          <w:rFonts w:eastAsia="Calibri" w:cstheme="minorHAnsi"/>
          <w:sz w:val="24"/>
          <w:szCs w:val="24"/>
          <w:lang w:eastAsia="pl-PL"/>
        </w:rPr>
        <w:t xml:space="preserve">ramach którego projekt został wybrany do dofinansowania, przed zatwierdzeniem wniosku o płatność końcową IZ może wezwać Beneficjenta do przedłożenia stosownych dokumentów, o ile nie ma dostępu do tych dokumentów, w celu weryfikacji spełnienia tych kryteriów. </w:t>
      </w:r>
      <w:r w:rsidRPr="003D2E81">
        <w:rPr>
          <w:rFonts w:eastAsia="Calibri" w:cstheme="minorHAnsi"/>
          <w:sz w:val="24"/>
          <w:szCs w:val="24"/>
          <w:lang w:eastAsia="pl-PL"/>
        </w:rPr>
        <w:lastRenderedPageBreak/>
        <w:t>Warunkiem zatwierdzenia wniosku o płatność końcową jest potwierdzenie przez IZ spełnienia tych kryteriów.</w:t>
      </w:r>
    </w:p>
    <w:p w14:paraId="16D9B17F" w14:textId="77777777" w:rsidR="00517CFE" w:rsidRPr="00676940" w:rsidRDefault="00517CFE">
      <w:pPr>
        <w:pStyle w:val="Nagwek1"/>
        <w:numPr>
          <w:ilvl w:val="0"/>
          <w:numId w:val="1"/>
        </w:numPr>
        <w:spacing w:after="240" w:line="276" w:lineRule="auto"/>
        <w:ind w:left="426" w:hanging="426"/>
        <w:rPr>
          <w:rFonts w:cstheme="minorHAnsi"/>
          <w:b/>
          <w:bCs/>
        </w:rPr>
      </w:pPr>
      <w:bookmarkStart w:id="87" w:name="_Toc224647160"/>
      <w:r w:rsidRPr="00676940">
        <w:rPr>
          <w:rFonts w:asciiTheme="minorHAnsi" w:hAnsiTheme="minorHAnsi" w:cstheme="minorHAnsi"/>
          <w:b/>
          <w:bCs/>
          <w:color w:val="auto"/>
        </w:rPr>
        <w:t>Wskaźniki produktu i rezultatu</w:t>
      </w:r>
      <w:bookmarkEnd w:id="87"/>
    </w:p>
    <w:p w14:paraId="387B09AA" w14:textId="7B86C03F"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5D036B" w:rsidRPr="005D036B">
        <w:rPr>
          <w:rFonts w:cstheme="minorHAnsi"/>
          <w:sz w:val="24"/>
          <w:szCs w:val="24"/>
        </w:rPr>
        <w:t xml:space="preserve">2.1 </w:t>
      </w:r>
      <w:r w:rsidR="005D036B" w:rsidRPr="00193F2D">
        <w:rPr>
          <w:rFonts w:cstheme="minorHAnsi"/>
          <w:i/>
          <w:iCs/>
          <w:sz w:val="24"/>
          <w:szCs w:val="24"/>
        </w:rPr>
        <w:t>Poprawa efektywności energetycznej w województwie opolskim</w:t>
      </w:r>
      <w:r w:rsidRPr="005D036B">
        <w:rPr>
          <w:sz w:val="24"/>
          <w:szCs w:val="24"/>
        </w:rPr>
        <w:t>).</w:t>
      </w:r>
    </w:p>
    <w:p w14:paraId="09C7039E" w14:textId="4D0140EF"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FF7E63">
        <w:rPr>
          <w:sz w:val="24"/>
          <w:szCs w:val="24"/>
        </w:rPr>
        <w:t>Panelu Wnioskodawcy</w:t>
      </w:r>
      <w:r w:rsidR="005E4410">
        <w:rPr>
          <w:sz w:val="24"/>
          <w:szCs w:val="24"/>
        </w:rPr>
        <w:t>)</w:t>
      </w:r>
      <w:r w:rsidR="00FF7E63">
        <w:rPr>
          <w:sz w:val="24"/>
          <w:szCs w:val="24"/>
        </w:rPr>
        <w:t>,</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11871A24" w14:textId="7903B912" w:rsidR="00990BF6" w:rsidRDefault="00990BF6">
      <w:pPr>
        <w:pStyle w:val="Nagwek1"/>
        <w:numPr>
          <w:ilvl w:val="0"/>
          <w:numId w:val="1"/>
        </w:numPr>
        <w:spacing w:after="240" w:line="276" w:lineRule="auto"/>
        <w:ind w:left="426" w:hanging="426"/>
        <w:rPr>
          <w:rFonts w:cstheme="minorHAnsi"/>
          <w:b/>
          <w:bCs/>
        </w:rPr>
      </w:pPr>
      <w:r>
        <w:rPr>
          <w:rFonts w:cstheme="minorHAnsi"/>
          <w:b/>
          <w:bCs/>
        </w:rPr>
        <w:t xml:space="preserve"> </w:t>
      </w:r>
      <w:bookmarkStart w:id="88" w:name="_Toc224647161"/>
      <w:r w:rsidRPr="00990BF6">
        <w:rPr>
          <w:rFonts w:asciiTheme="minorHAnsi" w:hAnsiTheme="minorHAnsi" w:cstheme="minorHAnsi"/>
          <w:b/>
          <w:color w:val="000000" w:themeColor="text1"/>
        </w:rPr>
        <w:t>Kwalifikowalność wydatków</w:t>
      </w:r>
      <w:bookmarkEnd w:id="88"/>
      <w:r>
        <w:rPr>
          <w:rFonts w:cstheme="minorHAnsi"/>
          <w:b/>
          <w:bCs/>
        </w:rPr>
        <w:t xml:space="preserve"> </w:t>
      </w:r>
    </w:p>
    <w:p w14:paraId="0C4C127C" w14:textId="752117B6" w:rsidR="00990BF6" w:rsidRDefault="00990BF6" w:rsidP="00990BF6">
      <w:pPr>
        <w:rPr>
          <w:sz w:val="24"/>
          <w:szCs w:val="24"/>
        </w:rPr>
      </w:pPr>
      <w:r w:rsidRPr="00990BF6">
        <w:rPr>
          <w:sz w:val="24"/>
          <w:szCs w:val="24"/>
        </w:rPr>
        <w:t>Kwalifikowalność wydatków dla projektów współfinansowanych ze środków krajowych i</w:t>
      </w:r>
      <w:r>
        <w:rPr>
          <w:sz w:val="24"/>
          <w:szCs w:val="24"/>
        </w:rPr>
        <w:t> </w:t>
      </w:r>
      <w:r w:rsidRPr="00990BF6">
        <w:rPr>
          <w:sz w:val="24"/>
          <w:szCs w:val="24"/>
        </w:rPr>
        <w:t>unijnych, w ramach programu FEO 2021-2027, musi być zgodna z przepisami unijnymi i</w:t>
      </w:r>
      <w:r>
        <w:rPr>
          <w:sz w:val="24"/>
          <w:szCs w:val="24"/>
        </w:rPr>
        <w:t> </w:t>
      </w:r>
      <w:r w:rsidRPr="00990BF6">
        <w:rPr>
          <w:sz w:val="24"/>
          <w:szCs w:val="24"/>
        </w:rPr>
        <w:t>krajowymi.</w:t>
      </w:r>
    </w:p>
    <w:p w14:paraId="5E8E01EB" w14:textId="77777777" w:rsidR="00990BF6" w:rsidRPr="003D2E81" w:rsidRDefault="00990BF6" w:rsidP="00990BF6">
      <w:pPr>
        <w:spacing w:after="120" w:line="276" w:lineRule="auto"/>
        <w:rPr>
          <w:rFonts w:cstheme="minorHAnsi"/>
          <w:sz w:val="24"/>
          <w:szCs w:val="24"/>
        </w:rPr>
      </w:pPr>
      <w:r w:rsidRPr="003D2E81">
        <w:rPr>
          <w:rFonts w:cstheme="minorHAnsi"/>
          <w:b/>
          <w:sz w:val="24"/>
          <w:szCs w:val="24"/>
        </w:rPr>
        <w:t>Początkiem okresu kwalifikowalności wydatków jest 1 stycznia 2021</w:t>
      </w:r>
      <w:r w:rsidRPr="003D2E81">
        <w:rPr>
          <w:rFonts w:cstheme="minorHAnsi"/>
          <w:sz w:val="24"/>
          <w:szCs w:val="24"/>
        </w:rPr>
        <w:t xml:space="preserve"> </w:t>
      </w:r>
      <w:r w:rsidRPr="00151E32">
        <w:rPr>
          <w:rFonts w:cstheme="minorHAnsi"/>
          <w:b/>
          <w:bCs/>
          <w:sz w:val="24"/>
          <w:szCs w:val="24"/>
        </w:rPr>
        <w:t>r</w:t>
      </w:r>
      <w:r w:rsidRPr="003D2E81">
        <w:rPr>
          <w:rFonts w:cstheme="minorHAnsi"/>
          <w:sz w:val="24"/>
          <w:szCs w:val="24"/>
        </w:rPr>
        <w:t xml:space="preserve">., z zastrzeżeniem zasad określonych dla pomocy publicznej. W przypadku projektów rozpoczętych przed początkową datą kwalifikowalności wydatków, do współfinansowania kwalifikują się jedynie wydatki faktycznie poniesione od tej daty, z zastrzeżeniem punktów 3 i 4 podrozdziału 2.1 Wytycznych dotyczących kwalifikowalności wydatków na lata 2021-2027. </w:t>
      </w:r>
    </w:p>
    <w:p w14:paraId="08EC7E2C" w14:textId="2C838E37" w:rsidR="00990BF6" w:rsidRPr="003D2E81" w:rsidRDefault="00990BF6" w:rsidP="00990BF6">
      <w:pPr>
        <w:spacing w:after="120" w:line="276" w:lineRule="auto"/>
        <w:rPr>
          <w:rFonts w:cstheme="minorHAnsi"/>
          <w:b/>
          <w:sz w:val="24"/>
          <w:szCs w:val="24"/>
        </w:rPr>
      </w:pPr>
      <w:r w:rsidRPr="003D2E81">
        <w:rPr>
          <w:rFonts w:cstheme="minorHAnsi"/>
          <w:b/>
          <w:sz w:val="24"/>
          <w:szCs w:val="24"/>
        </w:rPr>
        <w:t xml:space="preserve">Końcową datą kwalifikowalności wydatków jest </w:t>
      </w:r>
      <w:r w:rsidRPr="00151E32">
        <w:rPr>
          <w:rFonts w:cstheme="minorHAnsi"/>
          <w:b/>
          <w:sz w:val="24"/>
          <w:szCs w:val="24"/>
        </w:rPr>
        <w:t xml:space="preserve">31 grudnia </w:t>
      </w:r>
      <w:r w:rsidRPr="004958E0">
        <w:rPr>
          <w:rFonts w:cstheme="minorHAnsi"/>
          <w:b/>
          <w:sz w:val="24"/>
          <w:szCs w:val="24"/>
        </w:rPr>
        <w:t>20</w:t>
      </w:r>
      <w:r w:rsidR="004958E0">
        <w:rPr>
          <w:rFonts w:cstheme="minorHAnsi"/>
          <w:b/>
          <w:sz w:val="24"/>
          <w:szCs w:val="24"/>
        </w:rPr>
        <w:t>29</w:t>
      </w:r>
      <w:r w:rsidRPr="004958E0">
        <w:rPr>
          <w:rFonts w:cstheme="minorHAnsi"/>
          <w:b/>
          <w:sz w:val="24"/>
          <w:szCs w:val="24"/>
        </w:rPr>
        <w:t xml:space="preserve"> r.</w:t>
      </w:r>
    </w:p>
    <w:p w14:paraId="73B123BD" w14:textId="0B2C0BEF" w:rsidR="00990BF6" w:rsidRPr="003D2E81" w:rsidRDefault="00990BF6" w:rsidP="00990BF6">
      <w:pPr>
        <w:spacing w:after="0" w:line="276" w:lineRule="auto"/>
        <w:rPr>
          <w:rFonts w:cstheme="minorHAnsi"/>
          <w:sz w:val="24"/>
          <w:szCs w:val="24"/>
        </w:rPr>
      </w:pPr>
      <w:r w:rsidRPr="003D2E81">
        <w:rPr>
          <w:rFonts w:cstheme="minorHAnsi"/>
          <w:sz w:val="24"/>
          <w:szCs w:val="24"/>
        </w:rPr>
        <w:t xml:space="preserve">Okres kwalifikowalności wydatków w ramach danego projektu określony jest w </w:t>
      </w:r>
      <w:r w:rsidR="00BA1D2C">
        <w:rPr>
          <w:rFonts w:cstheme="minorHAnsi"/>
          <w:sz w:val="24"/>
          <w:szCs w:val="24"/>
        </w:rPr>
        <w:t>umowie</w:t>
      </w:r>
      <w:r w:rsidRPr="003D2E81">
        <w:rPr>
          <w:rFonts w:cstheme="minorHAnsi"/>
          <w:sz w:val="24"/>
          <w:szCs w:val="24"/>
        </w:rPr>
        <w:t xml:space="preserve">  </w:t>
      </w:r>
    </w:p>
    <w:p w14:paraId="6DB50DFB" w14:textId="21D91929" w:rsidR="00990BF6" w:rsidRPr="003D2E81" w:rsidRDefault="00990BF6" w:rsidP="00990BF6">
      <w:pPr>
        <w:spacing w:after="0" w:line="276" w:lineRule="auto"/>
        <w:rPr>
          <w:rFonts w:cstheme="minorHAnsi"/>
          <w:sz w:val="24"/>
          <w:szCs w:val="24"/>
        </w:rPr>
      </w:pPr>
      <w:r w:rsidRPr="003D2E81">
        <w:rPr>
          <w:rFonts w:cstheme="minorHAnsi"/>
          <w:sz w:val="24"/>
          <w:szCs w:val="24"/>
        </w:rPr>
        <w:t>o dofinansowani</w:t>
      </w:r>
      <w:r w:rsidR="00BA1D2C">
        <w:rPr>
          <w:rFonts w:cstheme="minorHAnsi"/>
          <w:sz w:val="24"/>
          <w:szCs w:val="24"/>
        </w:rPr>
        <w:t>e</w:t>
      </w:r>
      <w:r w:rsidRPr="003D2E81">
        <w:rPr>
          <w:rFonts w:cstheme="minorHAnsi"/>
          <w:sz w:val="24"/>
          <w:szCs w:val="24"/>
        </w:rPr>
        <w:t xml:space="preserve"> projektu. Okres kwalifikowalności wydatków w ramach projektu </w:t>
      </w:r>
      <w:r w:rsidRPr="003D2E81">
        <w:rPr>
          <w:rFonts w:cstheme="minorHAnsi"/>
          <w:b/>
          <w:sz w:val="24"/>
          <w:szCs w:val="24"/>
        </w:rPr>
        <w:t xml:space="preserve">może przypadać na okres przed </w:t>
      </w:r>
      <w:r w:rsidR="00BA1D2C">
        <w:rPr>
          <w:rFonts w:cstheme="minorHAnsi"/>
          <w:b/>
          <w:sz w:val="24"/>
          <w:szCs w:val="24"/>
        </w:rPr>
        <w:t>podpisaniem</w:t>
      </w:r>
      <w:r w:rsidRPr="003D2E81">
        <w:rPr>
          <w:rFonts w:cstheme="minorHAnsi"/>
          <w:b/>
          <w:sz w:val="24"/>
          <w:szCs w:val="24"/>
        </w:rPr>
        <w:t xml:space="preserve"> </w:t>
      </w:r>
      <w:r w:rsidR="00BA1D2C">
        <w:rPr>
          <w:rFonts w:cstheme="minorHAnsi"/>
          <w:b/>
          <w:sz w:val="24"/>
          <w:szCs w:val="24"/>
        </w:rPr>
        <w:t>umowy</w:t>
      </w:r>
      <w:r w:rsidRPr="003D2E81">
        <w:rPr>
          <w:rFonts w:cstheme="minorHAnsi"/>
          <w:b/>
          <w:sz w:val="24"/>
          <w:szCs w:val="24"/>
        </w:rPr>
        <w:t xml:space="preserve"> o dofinansowani</w:t>
      </w:r>
      <w:r w:rsidR="00BA1D2C">
        <w:rPr>
          <w:rFonts w:cstheme="minorHAnsi"/>
          <w:b/>
          <w:sz w:val="24"/>
          <w:szCs w:val="24"/>
        </w:rPr>
        <w:t>e</w:t>
      </w:r>
      <w:r w:rsidRPr="003D2E81">
        <w:rPr>
          <w:rFonts w:cstheme="minorHAnsi"/>
          <w:b/>
          <w:sz w:val="24"/>
          <w:szCs w:val="24"/>
        </w:rPr>
        <w:t xml:space="preserve"> projektu.</w:t>
      </w:r>
      <w:r w:rsidRPr="003D2E81">
        <w:rPr>
          <w:rFonts w:cstheme="minorHAnsi"/>
          <w:sz w:val="24"/>
          <w:szCs w:val="24"/>
        </w:rPr>
        <w:t xml:space="preserve"> Wydatki poniesione przed </w:t>
      </w:r>
      <w:r w:rsidR="00BA1D2C">
        <w:rPr>
          <w:rFonts w:cstheme="minorHAnsi"/>
          <w:sz w:val="24"/>
          <w:szCs w:val="24"/>
        </w:rPr>
        <w:t>podpisaniem umowy</w:t>
      </w:r>
      <w:r w:rsidRPr="003D2E81">
        <w:rPr>
          <w:rFonts w:cstheme="minorHAnsi"/>
          <w:sz w:val="24"/>
          <w:szCs w:val="24"/>
        </w:rPr>
        <w:t xml:space="preserve"> </w:t>
      </w:r>
      <w:r>
        <w:rPr>
          <w:rFonts w:cstheme="minorHAnsi"/>
          <w:sz w:val="24"/>
          <w:szCs w:val="24"/>
        </w:rPr>
        <w:t>o dofinansowani</w:t>
      </w:r>
      <w:r w:rsidR="00BA1D2C">
        <w:rPr>
          <w:rFonts w:cstheme="minorHAnsi"/>
          <w:sz w:val="24"/>
          <w:szCs w:val="24"/>
        </w:rPr>
        <w:t>e</w:t>
      </w:r>
      <w:r>
        <w:rPr>
          <w:rFonts w:cstheme="minorHAnsi"/>
          <w:sz w:val="24"/>
          <w:szCs w:val="24"/>
        </w:rPr>
        <w:t xml:space="preserve"> </w:t>
      </w:r>
      <w:r w:rsidRPr="003D2E81">
        <w:rPr>
          <w:rFonts w:cstheme="minorHAnsi"/>
          <w:sz w:val="24"/>
          <w:szCs w:val="24"/>
        </w:rPr>
        <w:t xml:space="preserve">projektu mogą zostać uznane za kwalifikowalne, wyłącznie w przypadku spełnienia warunków kwalifikowalności </w:t>
      </w:r>
      <w:r w:rsidRPr="003D2E81">
        <w:rPr>
          <w:rFonts w:cstheme="minorHAnsi"/>
          <w:sz w:val="24"/>
          <w:szCs w:val="24"/>
        </w:rPr>
        <w:lastRenderedPageBreak/>
        <w:t>określonych w Wytycznych dotyczących kwalifikowalności wydatków na lata 2021-2027 i </w:t>
      </w:r>
      <w:r w:rsidR="00BA1D2C">
        <w:rPr>
          <w:rFonts w:cstheme="minorHAnsi"/>
          <w:sz w:val="24"/>
          <w:szCs w:val="24"/>
        </w:rPr>
        <w:t>umowie</w:t>
      </w:r>
      <w:r w:rsidRPr="003D2E81">
        <w:rPr>
          <w:rFonts w:cstheme="minorHAnsi"/>
          <w:sz w:val="24"/>
          <w:szCs w:val="24"/>
        </w:rPr>
        <w:t xml:space="preserve"> o dofinansowani</w:t>
      </w:r>
      <w:r w:rsidR="00BA1D2C">
        <w:rPr>
          <w:rFonts w:cstheme="minorHAnsi"/>
          <w:sz w:val="24"/>
          <w:szCs w:val="24"/>
        </w:rPr>
        <w:t>e</w:t>
      </w:r>
      <w:r w:rsidRPr="003D2E81">
        <w:rPr>
          <w:rFonts w:cstheme="minorHAnsi"/>
          <w:sz w:val="24"/>
          <w:szCs w:val="24"/>
        </w:rPr>
        <w:t xml:space="preserve"> projektu.</w:t>
      </w:r>
    </w:p>
    <w:p w14:paraId="55E64DFE" w14:textId="218FA324" w:rsidR="00990BF6" w:rsidRPr="003D2E81" w:rsidRDefault="00990BF6" w:rsidP="00990BF6">
      <w:pPr>
        <w:spacing w:before="120" w:after="120" w:line="276" w:lineRule="auto"/>
        <w:rPr>
          <w:rFonts w:cstheme="minorHAnsi"/>
          <w:sz w:val="24"/>
          <w:szCs w:val="24"/>
        </w:rPr>
      </w:pPr>
      <w:r w:rsidRPr="003D2E81">
        <w:rPr>
          <w:rFonts w:cstheme="minorHAnsi"/>
          <w:sz w:val="24"/>
          <w:szCs w:val="24"/>
        </w:rPr>
        <w:t xml:space="preserve">W przypadku, gdy </w:t>
      </w:r>
      <w:r>
        <w:rPr>
          <w:rFonts w:cstheme="minorHAnsi"/>
          <w:sz w:val="24"/>
          <w:szCs w:val="24"/>
        </w:rPr>
        <w:t>W</w:t>
      </w:r>
      <w:r w:rsidRPr="003D2E81">
        <w:rPr>
          <w:rFonts w:cstheme="minorHAnsi"/>
          <w:sz w:val="24"/>
          <w:szCs w:val="24"/>
        </w:rPr>
        <w:t xml:space="preserve">nioskodawca rozpoczyna realizację projektu na własne ryzyko przed </w:t>
      </w:r>
      <w:r w:rsidR="00BA1D2C">
        <w:rPr>
          <w:rFonts w:cstheme="minorHAnsi"/>
          <w:sz w:val="24"/>
          <w:szCs w:val="24"/>
        </w:rPr>
        <w:t>podpisaniem umowy</w:t>
      </w:r>
      <w:r w:rsidRPr="003D2E81">
        <w:rPr>
          <w:rFonts w:cstheme="minorHAnsi"/>
          <w:sz w:val="24"/>
          <w:szCs w:val="24"/>
        </w:rPr>
        <w:t xml:space="preserve"> o dofinansowani</w:t>
      </w:r>
      <w:r w:rsidR="00BA1D2C">
        <w:rPr>
          <w:rFonts w:cstheme="minorHAnsi"/>
          <w:sz w:val="24"/>
          <w:szCs w:val="24"/>
        </w:rPr>
        <w:t>e</w:t>
      </w:r>
      <w:r w:rsidRPr="003D2E81">
        <w:rPr>
          <w:rFonts w:cstheme="minorHAnsi"/>
          <w:sz w:val="24"/>
          <w:szCs w:val="24"/>
        </w:rPr>
        <w:t xml:space="preserve"> projektu, upublicznia zapytanie ofertowe w sposób określony w punkcie 1 sekcji 3.2.3 Wytycznych dotyczących kwalifikowalności wydatków na</w:t>
      </w:r>
      <w:r>
        <w:rPr>
          <w:rFonts w:cstheme="minorHAnsi"/>
          <w:sz w:val="24"/>
          <w:szCs w:val="24"/>
        </w:rPr>
        <w:t> </w:t>
      </w:r>
      <w:r w:rsidRPr="003D2E81">
        <w:rPr>
          <w:rFonts w:cstheme="minorHAnsi"/>
          <w:sz w:val="24"/>
          <w:szCs w:val="24"/>
        </w:rPr>
        <w:t>lata 2021-2027.</w:t>
      </w:r>
    </w:p>
    <w:p w14:paraId="7F4AF431" w14:textId="77777777" w:rsidR="00990BF6" w:rsidRPr="003D2E81" w:rsidRDefault="00990BF6" w:rsidP="00990BF6">
      <w:pPr>
        <w:spacing w:after="120" w:line="276" w:lineRule="auto"/>
        <w:rPr>
          <w:rFonts w:cstheme="minorHAnsi"/>
          <w:sz w:val="24"/>
          <w:szCs w:val="24"/>
        </w:rPr>
      </w:pPr>
      <w:r w:rsidRPr="003D2E81">
        <w:rPr>
          <w:rFonts w:cstheme="minorHAnsi"/>
          <w:sz w:val="24"/>
          <w:szCs w:val="24"/>
        </w:rPr>
        <w:t xml:space="preserve">Wnioskodawca przygotowuje i przeprowadza postępowanie o udzielenie zamówienia </w:t>
      </w:r>
      <w:r w:rsidRPr="003D2E81">
        <w:rPr>
          <w:rFonts w:cstheme="minorHAnsi"/>
          <w:sz w:val="24"/>
          <w:szCs w:val="24"/>
        </w:rPr>
        <w:br/>
        <w:t>w sposób zapewniający zachowanie uczciwej konkurencji oraz równe traktowanie wykonawców, a także działa w sposób przejrzysty i proporcjonalny – zgodnie z procedurą określoną w podrozdziale 3.2 Wytycznych dotyczących kwalifikowalności wydatków na lata 2021-2027.</w:t>
      </w:r>
    </w:p>
    <w:p w14:paraId="798703B8" w14:textId="11813AEB" w:rsidR="00990BF6" w:rsidRPr="003D2E81" w:rsidRDefault="00990BF6" w:rsidP="00990BF6">
      <w:pPr>
        <w:spacing w:after="120" w:line="276" w:lineRule="auto"/>
        <w:rPr>
          <w:rFonts w:cstheme="minorHAnsi"/>
          <w:sz w:val="24"/>
          <w:szCs w:val="24"/>
        </w:rPr>
      </w:pPr>
      <w:r w:rsidRPr="003D2E81">
        <w:rPr>
          <w:rFonts w:cstheme="minorHAnsi"/>
          <w:sz w:val="24"/>
          <w:szCs w:val="24"/>
        </w:rPr>
        <w:t xml:space="preserve">Możliwe jest ponoszenie wydatków po okresie wskazanym w </w:t>
      </w:r>
      <w:r w:rsidR="00BA1D2C">
        <w:rPr>
          <w:rFonts w:cstheme="minorHAnsi"/>
          <w:sz w:val="24"/>
          <w:szCs w:val="24"/>
        </w:rPr>
        <w:t>umowie</w:t>
      </w:r>
      <w:r w:rsidRPr="003D2E81">
        <w:rPr>
          <w:rFonts w:cstheme="minorHAnsi"/>
          <w:sz w:val="24"/>
          <w:szCs w:val="24"/>
        </w:rPr>
        <w:t xml:space="preserve"> o dofinansowani</w:t>
      </w:r>
      <w:r w:rsidR="00BA1D2C">
        <w:rPr>
          <w:rFonts w:cstheme="minorHAnsi"/>
          <w:sz w:val="24"/>
          <w:szCs w:val="24"/>
        </w:rPr>
        <w:t>e</w:t>
      </w:r>
      <w:r w:rsidRPr="003D2E81">
        <w:rPr>
          <w:rFonts w:cstheme="minorHAnsi"/>
          <w:sz w:val="24"/>
          <w:szCs w:val="24"/>
        </w:rPr>
        <w:t xml:space="preserv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w:t>
      </w:r>
      <w:r>
        <w:rPr>
          <w:rFonts w:cstheme="minorHAnsi"/>
          <w:sz w:val="24"/>
          <w:szCs w:val="24"/>
        </w:rPr>
        <w:t> </w:t>
      </w:r>
      <w:r w:rsidRPr="003D2E81">
        <w:rPr>
          <w:rFonts w:cstheme="minorHAnsi"/>
          <w:sz w:val="24"/>
          <w:szCs w:val="24"/>
        </w:rPr>
        <w:t>dotyczy wydatków, o których mowa w punkcie 3 podrozdziału 2.1 Wytycznych dotyczących kwalifikowalności wydatków na lata 2021-2027.</w:t>
      </w:r>
    </w:p>
    <w:p w14:paraId="4BA696DD" w14:textId="77777777" w:rsidR="00990BF6" w:rsidRPr="003D2E81" w:rsidRDefault="00990BF6" w:rsidP="00990BF6">
      <w:pPr>
        <w:spacing w:before="120" w:after="0" w:line="276" w:lineRule="auto"/>
        <w:rPr>
          <w:rFonts w:cstheme="minorHAnsi"/>
          <w:sz w:val="24"/>
          <w:szCs w:val="24"/>
        </w:rPr>
      </w:pPr>
      <w:r w:rsidRPr="003D2E81">
        <w:rPr>
          <w:rFonts w:cstheme="minorHAnsi"/>
          <w:sz w:val="24"/>
          <w:szCs w:val="24"/>
        </w:rPr>
        <w:t xml:space="preserve">Kwalifikowalność wydatków dla projektów współfinansowanych ze środków krajowych </w:t>
      </w:r>
      <w:r w:rsidRPr="003D2E81">
        <w:rPr>
          <w:rFonts w:cstheme="minorHAnsi"/>
          <w:sz w:val="24"/>
          <w:szCs w:val="24"/>
        </w:rPr>
        <w:br/>
        <w:t xml:space="preserve">i unijnych w ramach FEO 2021-2027, musi być zgodna z przepisami unijnymi i krajowymi, </w:t>
      </w:r>
      <w:r w:rsidRPr="003D2E81">
        <w:rPr>
          <w:rFonts w:cstheme="minorHAnsi"/>
          <w:sz w:val="24"/>
          <w:szCs w:val="24"/>
        </w:rPr>
        <w:br/>
        <w:t>w tym w szczególności z:</w:t>
      </w:r>
    </w:p>
    <w:p w14:paraId="50F68136" w14:textId="77777777" w:rsidR="00990BF6" w:rsidRPr="003D2E81" w:rsidRDefault="00990BF6">
      <w:pPr>
        <w:pStyle w:val="Akapitzlist"/>
        <w:numPr>
          <w:ilvl w:val="0"/>
          <w:numId w:val="11"/>
        </w:numPr>
        <w:spacing w:after="0" w:line="276" w:lineRule="auto"/>
        <w:ind w:left="426" w:hanging="426"/>
        <w:contextualSpacing w:val="0"/>
        <w:rPr>
          <w:rFonts w:cstheme="minorHAnsi"/>
          <w:sz w:val="24"/>
          <w:szCs w:val="24"/>
        </w:rPr>
      </w:pPr>
      <w:r w:rsidRPr="003D2E81">
        <w:rPr>
          <w:rFonts w:cstheme="minorHAnsi"/>
          <w:sz w:val="24"/>
          <w:szCs w:val="24"/>
        </w:rPr>
        <w:t>Rozporządzeniem ogólnym nr 2021/1060 z 24 czerwca 2021 r.;</w:t>
      </w:r>
    </w:p>
    <w:p w14:paraId="1BC7E829" w14:textId="77777777" w:rsidR="00990BF6" w:rsidRPr="003D2E81" w:rsidRDefault="00990BF6">
      <w:pPr>
        <w:pStyle w:val="Akapitzlist"/>
        <w:numPr>
          <w:ilvl w:val="0"/>
          <w:numId w:val="11"/>
        </w:numPr>
        <w:spacing w:after="0" w:line="276" w:lineRule="auto"/>
        <w:ind w:left="426" w:hanging="426"/>
        <w:contextualSpacing w:val="0"/>
        <w:rPr>
          <w:rFonts w:cstheme="minorHAnsi"/>
          <w:sz w:val="24"/>
          <w:szCs w:val="24"/>
        </w:rPr>
      </w:pPr>
      <w:r w:rsidRPr="003D2E81">
        <w:rPr>
          <w:rFonts w:cstheme="minorHAnsi"/>
          <w:sz w:val="24"/>
          <w:szCs w:val="24"/>
        </w:rPr>
        <w:t>Ustawą wdrożeniową;</w:t>
      </w:r>
    </w:p>
    <w:p w14:paraId="5F2223D1" w14:textId="77777777" w:rsidR="00990BF6" w:rsidRPr="003D2E81" w:rsidRDefault="00990BF6" w:rsidP="00990BF6">
      <w:pPr>
        <w:spacing w:after="0" w:line="276" w:lineRule="auto"/>
        <w:rPr>
          <w:rFonts w:cstheme="minorHAnsi"/>
          <w:sz w:val="24"/>
          <w:szCs w:val="24"/>
        </w:rPr>
      </w:pPr>
      <w:r w:rsidRPr="003D2E81">
        <w:rPr>
          <w:rFonts w:cstheme="minorHAnsi"/>
          <w:sz w:val="24"/>
          <w:szCs w:val="24"/>
        </w:rPr>
        <w:t xml:space="preserve">a także z uwzględnieniem Wytycznych Ministra Funduszy i Polityki Regionalnej: Wytyczne </w:t>
      </w:r>
      <w:r w:rsidRPr="003D2E81">
        <w:rPr>
          <w:rFonts w:cstheme="minorHAnsi"/>
          <w:sz w:val="24"/>
          <w:szCs w:val="24"/>
        </w:rPr>
        <w:br/>
        <w:t>dotyczące kwalifikowalności wydatków na lata 2021-2027.</w:t>
      </w:r>
    </w:p>
    <w:p w14:paraId="3BC4E83C" w14:textId="77777777" w:rsidR="00990BF6" w:rsidRPr="003D2E81" w:rsidRDefault="00990BF6" w:rsidP="00990BF6">
      <w:pPr>
        <w:spacing w:after="0" w:line="276" w:lineRule="auto"/>
        <w:rPr>
          <w:rFonts w:cstheme="minorHAnsi"/>
        </w:rPr>
      </w:pPr>
    </w:p>
    <w:p w14:paraId="0C0E2170" w14:textId="77777777" w:rsidR="00990BF6" w:rsidRPr="003D2E81" w:rsidRDefault="00990BF6" w:rsidP="00990BF6">
      <w:pPr>
        <w:spacing w:after="0" w:line="276" w:lineRule="auto"/>
        <w:rPr>
          <w:rFonts w:cstheme="minorHAnsi"/>
          <w:b/>
          <w:bCs/>
          <w:sz w:val="24"/>
          <w:szCs w:val="24"/>
        </w:rPr>
      </w:pPr>
      <w:r w:rsidRPr="003D2E81">
        <w:rPr>
          <w:rFonts w:cstheme="minorHAnsi"/>
          <w:b/>
          <w:bCs/>
          <w:sz w:val="24"/>
          <w:szCs w:val="24"/>
        </w:rPr>
        <w:t>Wydatki niekwalifikowalne:</w:t>
      </w:r>
    </w:p>
    <w:p w14:paraId="7F3A3CC3" w14:textId="1F06F757" w:rsidR="00990BF6" w:rsidRPr="00A3738D" w:rsidRDefault="00990BF6" w:rsidP="00377B39">
      <w:pPr>
        <w:autoSpaceDE w:val="0"/>
        <w:autoSpaceDN w:val="0"/>
        <w:adjustRightInd w:val="0"/>
        <w:spacing w:after="240" w:line="276" w:lineRule="auto"/>
        <w:rPr>
          <w:rFonts w:cstheme="minorHAnsi"/>
          <w:b/>
          <w:bCs/>
          <w:sz w:val="24"/>
          <w:szCs w:val="24"/>
          <w:u w:val="single"/>
        </w:rPr>
      </w:pPr>
      <w:r w:rsidRPr="003D2E81">
        <w:rPr>
          <w:rFonts w:cstheme="minorHAnsi"/>
          <w:sz w:val="24"/>
          <w:szCs w:val="24"/>
        </w:rPr>
        <w:t>Zgodnie z zapisami podrozdziału 2.3 ww. Wytycznych. Dodatkowo w ramach działania</w:t>
      </w:r>
      <w:r>
        <w:rPr>
          <w:rFonts w:cstheme="minorHAnsi"/>
          <w:sz w:val="24"/>
          <w:szCs w:val="24"/>
        </w:rPr>
        <w:t xml:space="preserve"> z</w:t>
      </w:r>
      <w:r w:rsidRPr="003D2E81">
        <w:rPr>
          <w:rFonts w:cstheme="minorHAnsi"/>
          <w:sz w:val="24"/>
          <w:szCs w:val="24"/>
        </w:rPr>
        <w:t xml:space="preserve">a niekwalifikowalne uznaje się </w:t>
      </w:r>
      <w:r w:rsidRPr="00A3738D">
        <w:rPr>
          <w:rFonts w:cstheme="minorHAnsi"/>
          <w:b/>
          <w:bCs/>
          <w:sz w:val="24"/>
          <w:szCs w:val="24"/>
          <w:u w:val="single"/>
        </w:rPr>
        <w:t xml:space="preserve">inwestycje/wydatki wymienione w art. 7 ust. 1 Rozporządzenia Parlamentu Europejskiego i Rady (UE) 2021/1058 z dnia 24 czerwca 2021 r. w sprawie Europejskiego Funduszu Rozwoju Regionalnego i Funduszu Spójności </w:t>
      </w:r>
      <w:r w:rsidR="00377B39">
        <w:rPr>
          <w:rFonts w:cstheme="minorHAnsi"/>
          <w:b/>
          <w:bCs/>
          <w:sz w:val="24"/>
          <w:szCs w:val="24"/>
          <w:u w:val="single"/>
        </w:rPr>
        <w:br/>
      </w:r>
      <w:r w:rsidRPr="00A3738D">
        <w:rPr>
          <w:rFonts w:cstheme="minorHAnsi"/>
          <w:b/>
          <w:bCs/>
          <w:sz w:val="24"/>
          <w:szCs w:val="24"/>
          <w:u w:val="single"/>
        </w:rPr>
        <w:t>(</w:t>
      </w:r>
      <w:r w:rsidR="00377B39">
        <w:rPr>
          <w:rFonts w:cstheme="minorHAnsi"/>
          <w:b/>
          <w:bCs/>
          <w:sz w:val="24"/>
          <w:szCs w:val="24"/>
          <w:u w:val="single"/>
        </w:rPr>
        <w:t>w tym</w:t>
      </w:r>
      <w:r w:rsidRPr="00A3738D">
        <w:rPr>
          <w:rFonts w:cstheme="minorHAnsi"/>
          <w:b/>
          <w:bCs/>
          <w:sz w:val="24"/>
          <w:szCs w:val="24"/>
          <w:u w:val="single"/>
        </w:rPr>
        <w:t xml:space="preserve"> </w:t>
      </w:r>
      <w:r w:rsidR="00377B39">
        <w:rPr>
          <w:rFonts w:cstheme="minorHAnsi"/>
          <w:b/>
          <w:bCs/>
          <w:sz w:val="24"/>
          <w:szCs w:val="24"/>
          <w:u w:val="single"/>
        </w:rPr>
        <w:t xml:space="preserve">wszystkie wydatki dotyczące pojazdów/maszyn/urządzeń wykorzystywanych </w:t>
      </w:r>
      <w:r w:rsidR="00377B39">
        <w:rPr>
          <w:rFonts w:cstheme="minorHAnsi"/>
          <w:b/>
          <w:bCs/>
          <w:sz w:val="24"/>
          <w:szCs w:val="24"/>
          <w:u w:val="single"/>
        </w:rPr>
        <w:br/>
        <w:t xml:space="preserve">do </w:t>
      </w:r>
      <w:r w:rsidR="00377B39" w:rsidRPr="00377B39">
        <w:rPr>
          <w:rFonts w:cstheme="minorHAnsi"/>
          <w:b/>
          <w:bCs/>
          <w:sz w:val="24"/>
          <w:szCs w:val="24"/>
          <w:u w:val="single"/>
        </w:rPr>
        <w:t>produkcji, przetwarzania, transportu, dystrybucji, magazynowania lub spalania paliw kopalnych</w:t>
      </w:r>
      <w:r w:rsidR="00377B39">
        <w:rPr>
          <w:rFonts w:cstheme="minorHAnsi"/>
          <w:b/>
          <w:bCs/>
          <w:sz w:val="24"/>
          <w:szCs w:val="24"/>
          <w:u w:val="single"/>
        </w:rPr>
        <w:t xml:space="preserve"> – w tym paliwa gazowego).</w:t>
      </w:r>
    </w:p>
    <w:p w14:paraId="152E68C0" w14:textId="5B11CBD9" w:rsidR="00FF7E63" w:rsidRPr="00FF7E63" w:rsidRDefault="00FF7E63">
      <w:pPr>
        <w:pStyle w:val="Nagwek1"/>
        <w:numPr>
          <w:ilvl w:val="0"/>
          <w:numId w:val="1"/>
        </w:numPr>
        <w:spacing w:before="360" w:after="240" w:line="276" w:lineRule="auto"/>
        <w:ind w:left="425" w:hanging="425"/>
        <w:rPr>
          <w:rFonts w:asciiTheme="minorHAnsi" w:hAnsiTheme="minorHAnsi" w:cstheme="minorHAnsi"/>
          <w:b/>
          <w:color w:val="000000" w:themeColor="text1"/>
        </w:rPr>
      </w:pPr>
      <w:bookmarkStart w:id="89" w:name="_Toc224647162"/>
      <w:r w:rsidRPr="00FF7E63">
        <w:rPr>
          <w:rFonts w:asciiTheme="minorHAnsi" w:hAnsiTheme="minorHAnsi" w:cstheme="minorHAnsi"/>
          <w:b/>
          <w:color w:val="000000" w:themeColor="text1"/>
        </w:rPr>
        <w:t>Komunikacja i widoczność (Obowiązki informacyjne i promocyjne dot. wsparcia z Unii Europejskiej)</w:t>
      </w:r>
      <w:bookmarkEnd w:id="89"/>
    </w:p>
    <w:p w14:paraId="74C9D2DE" w14:textId="77777777" w:rsidR="00FF7E63" w:rsidRPr="00FF7E63" w:rsidRDefault="00FF7E63" w:rsidP="00FF7E63">
      <w:pPr>
        <w:spacing w:after="60"/>
        <w:rPr>
          <w:sz w:val="24"/>
          <w:szCs w:val="24"/>
        </w:rPr>
      </w:pPr>
      <w:r w:rsidRPr="00FF7E63">
        <w:rPr>
          <w:sz w:val="24"/>
          <w:szCs w:val="24"/>
        </w:rPr>
        <w:t xml:space="preserve">Obowiązki informacyjne powstają od momentu uzyskania dofinansowania, tj. podpisania umowy o dofinansowaniu, do końca realizacji projektu lub do końca okresu trwałości projektu, który został określony w umowie.  </w:t>
      </w:r>
    </w:p>
    <w:p w14:paraId="7DAB8DA6" w14:textId="77777777" w:rsidR="00FF7E63" w:rsidRPr="00FF7E63" w:rsidRDefault="00FF7E63" w:rsidP="00FF7E63">
      <w:pPr>
        <w:spacing w:after="60"/>
        <w:rPr>
          <w:sz w:val="24"/>
          <w:szCs w:val="24"/>
        </w:rPr>
      </w:pPr>
      <w:r w:rsidRPr="00FF7E63">
        <w:rPr>
          <w:sz w:val="24"/>
          <w:szCs w:val="24"/>
        </w:rPr>
        <w:lastRenderedPageBreak/>
        <w:t xml:space="preserve">Prowadząc projekt z Funduszy Europejskich, istnieje obowiązek informowania opinii publicznej, uczestników i odbiorców ostatecznych projektu o uzyskanym dofinansowaniu. </w:t>
      </w:r>
    </w:p>
    <w:p w14:paraId="39661503" w14:textId="77777777" w:rsidR="00FF7E63" w:rsidRPr="00FF7E63" w:rsidRDefault="00FF7E63" w:rsidP="00FF7E63">
      <w:pPr>
        <w:spacing w:after="60"/>
        <w:rPr>
          <w:sz w:val="24"/>
          <w:szCs w:val="24"/>
        </w:rPr>
      </w:pPr>
      <w:r w:rsidRPr="00FF7E63">
        <w:rPr>
          <w:sz w:val="24"/>
          <w:szCs w:val="24"/>
        </w:rPr>
        <w:t>Niewypełnienie niektórych obowiązków może skutkować pomniejszeniem dofinansowania, na co wskazują zapisy umowy o dofinansowanie projektu oraz załączniku do umowy pn. „Wykaz pomniejszenia wartości dofinansowania projektu w zakresie obowiązków komunikacyjnych beneficjentów FE”.</w:t>
      </w:r>
    </w:p>
    <w:p w14:paraId="1C40E9BC" w14:textId="54D22149" w:rsidR="00FF7E63" w:rsidRPr="00FF7E63" w:rsidRDefault="00FF7E63" w:rsidP="00FF7E63">
      <w:pPr>
        <w:spacing w:after="60"/>
        <w:rPr>
          <w:sz w:val="24"/>
          <w:szCs w:val="24"/>
        </w:rPr>
      </w:pPr>
      <w:r w:rsidRPr="00FF7E63">
        <w:rPr>
          <w:sz w:val="24"/>
          <w:szCs w:val="24"/>
        </w:rPr>
        <w:t>Obowiązki informacyjne, jakie należy wypełnić zapisane są w umowie o dofinansowanie oraz w Podręczniku wnioskodawcy i beneficjenta Funduszy Europejskich na lata 2021-2027 w</w:t>
      </w:r>
      <w:r>
        <w:rPr>
          <w:sz w:val="24"/>
          <w:szCs w:val="24"/>
        </w:rPr>
        <w:t> </w:t>
      </w:r>
      <w:r w:rsidRPr="00FF7E63">
        <w:rPr>
          <w:sz w:val="24"/>
          <w:szCs w:val="24"/>
        </w:rPr>
        <w:t>zakresie informacji i promocji.</w:t>
      </w:r>
    </w:p>
    <w:p w14:paraId="52BA3B22" w14:textId="01539C61" w:rsidR="00FF7E63" w:rsidRPr="00FF7E63" w:rsidRDefault="00FF7E63" w:rsidP="00FF7E63">
      <w:pPr>
        <w:spacing w:after="240"/>
        <w:rPr>
          <w:b/>
          <w:bCs/>
          <w:sz w:val="24"/>
          <w:szCs w:val="24"/>
          <w:u w:val="single"/>
        </w:rPr>
      </w:pPr>
      <w:r w:rsidRPr="00FF7E63">
        <w:rPr>
          <w:b/>
          <w:bCs/>
          <w:sz w:val="24"/>
          <w:szCs w:val="24"/>
          <w:u w:val="single"/>
        </w:rPr>
        <w:t>Instrukcja wypełniania wniosku o dofinansowanie projektu programu Fundusze Europejskie dla Opolskiego 2021-2027 zawiera informacje dotyczące opisu działań informacyjnych/ promocyjnych we wniosku o dofinansowanie projektu.</w:t>
      </w:r>
    </w:p>
    <w:p w14:paraId="6B0F07DF" w14:textId="12B7185D" w:rsidR="00517CFE" w:rsidRPr="00676940" w:rsidRDefault="00517CFE" w:rsidP="0068753E">
      <w:pPr>
        <w:pStyle w:val="Nagwek1"/>
        <w:numPr>
          <w:ilvl w:val="0"/>
          <w:numId w:val="1"/>
        </w:numPr>
        <w:spacing w:before="480" w:after="240" w:line="276" w:lineRule="auto"/>
        <w:ind w:left="425" w:hanging="425"/>
        <w:rPr>
          <w:rFonts w:cstheme="minorHAnsi"/>
          <w:b/>
          <w:bCs/>
        </w:rPr>
      </w:pPr>
      <w:bookmarkStart w:id="90" w:name="_Toc224647163"/>
      <w:r w:rsidRPr="00676940">
        <w:rPr>
          <w:rFonts w:asciiTheme="minorHAnsi" w:hAnsiTheme="minorHAnsi" w:cstheme="minorHAnsi"/>
          <w:b/>
          <w:color w:val="000000" w:themeColor="text1"/>
        </w:rPr>
        <w:t>Informacje o przysługujących wnioskodawcy środkach odwoławczych oraz instytucji właściwej do ich rozpatrzenia</w:t>
      </w:r>
      <w:bookmarkEnd w:id="90"/>
    </w:p>
    <w:p w14:paraId="575289B4" w14:textId="2639F91C"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77777777"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 xml:space="preserve">Protest może zostać również złożony w formie elektronicznej z uwzględnieniem wymogów wskazanych w art. 72 ust. 2 ustawy.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43F5B5F3" w:rsidR="00923C93" w:rsidRPr="00196062" w:rsidRDefault="00923C93">
      <w:pPr>
        <w:pStyle w:val="Nagwek1"/>
        <w:numPr>
          <w:ilvl w:val="0"/>
          <w:numId w:val="1"/>
        </w:numPr>
        <w:spacing w:before="360" w:line="276" w:lineRule="auto"/>
        <w:ind w:left="425" w:hanging="425"/>
        <w:rPr>
          <w:rFonts w:asciiTheme="minorHAnsi" w:hAnsiTheme="minorHAnsi" w:cstheme="minorHAnsi"/>
          <w:b/>
          <w:color w:val="000000" w:themeColor="text1"/>
        </w:rPr>
      </w:pPr>
      <w:bookmarkStart w:id="91" w:name="_Toc138773590"/>
      <w:bookmarkStart w:id="92" w:name="_Toc224647164"/>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91"/>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 xml:space="preserve">(z wyłączeniem procedury odwoławczej o której mowa w pkt. </w:t>
      </w:r>
      <w:r w:rsidR="00FF7E63">
        <w:rPr>
          <w:rFonts w:asciiTheme="minorHAnsi" w:hAnsiTheme="minorHAnsi" w:cstheme="minorHAnsi"/>
          <w:b/>
          <w:bCs/>
          <w:color w:val="auto"/>
        </w:rPr>
        <w:t>30</w:t>
      </w:r>
      <w:r w:rsidR="005E4410">
        <w:rPr>
          <w:rFonts w:asciiTheme="minorHAnsi" w:hAnsiTheme="minorHAnsi" w:cstheme="minorHAnsi"/>
          <w:b/>
          <w:bCs/>
          <w:color w:val="auto"/>
        </w:rPr>
        <w:t xml:space="preserve"> niniejszego Regulaminu)</w:t>
      </w:r>
      <w:bookmarkEnd w:id="92"/>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lastRenderedPageBreak/>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0DC2CC6" w14:textId="3FF3CDFF" w:rsidR="00990BF6" w:rsidRPr="00E56AAA" w:rsidRDefault="00990BF6" w:rsidP="00923C93">
      <w:pPr>
        <w:spacing w:line="276" w:lineRule="auto"/>
        <w:rPr>
          <w:rFonts w:cstheme="minorHAnsi"/>
          <w:sz w:val="24"/>
          <w:szCs w:val="24"/>
          <w:lang w:val="x-none" w:eastAsia="x-none"/>
        </w:rPr>
      </w:pPr>
      <w:r w:rsidRPr="003D2E81">
        <w:rPr>
          <w:rFonts w:cstheme="minorHAnsi"/>
          <w:sz w:val="24"/>
          <w:szCs w:val="24"/>
          <w:lang w:val="x-none" w:eastAsia="x-none"/>
        </w:rPr>
        <w:t xml:space="preserve">Szczegółowe informacje dostępne są na stronie </w:t>
      </w:r>
      <w:hyperlink r:id="rId14" w:history="1">
        <w:r w:rsidRPr="003D2E81">
          <w:rPr>
            <w:rStyle w:val="Hipercze"/>
            <w:rFonts w:cstheme="minorHAnsi"/>
            <w:sz w:val="24"/>
            <w:szCs w:val="24"/>
            <w:lang w:val="x-none" w:eastAsia="x-none"/>
          </w:rPr>
          <w:t>Biuro Rzecznika Praw Obywatelskich</w:t>
        </w:r>
      </w:hyperlink>
      <w:r w:rsidRPr="003D2E81">
        <w:rPr>
          <w:rFonts w:cstheme="minorHAnsi"/>
          <w:sz w:val="24"/>
          <w:szCs w:val="24"/>
          <w:lang w:val="x-none" w:eastAsia="x-none"/>
        </w:rPr>
        <w:t>.</w:t>
      </w:r>
    </w:p>
    <w:p w14:paraId="0BCEFF61" w14:textId="2FDCCE9B" w:rsidR="00923C93" w:rsidRPr="00E56AAA" w:rsidRDefault="00923C93" w:rsidP="004958E0">
      <w:pPr>
        <w:spacing w:before="240" w:line="276" w:lineRule="auto"/>
        <w:rPr>
          <w:rFonts w:cstheme="minorHAnsi"/>
          <w:b/>
          <w:sz w:val="24"/>
          <w:szCs w:val="24"/>
          <w:lang w:val="x-none" w:eastAsia="x-none"/>
        </w:rPr>
      </w:pPr>
      <w:r w:rsidRPr="00E56AAA">
        <w:rPr>
          <w:rFonts w:cstheme="minorHAnsi"/>
          <w:b/>
          <w:sz w:val="24"/>
          <w:szCs w:val="24"/>
          <w:lang w:val="x-none" w:eastAsia="x-none"/>
        </w:rPr>
        <w:t>Wniesienie skargi do sądu administracyjnego:</w:t>
      </w:r>
    </w:p>
    <w:p w14:paraId="1F27DA79" w14:textId="4866F40F"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2023 r. poz. 259</w:t>
      </w:r>
      <w:r w:rsidRPr="00E56AAA">
        <w:rPr>
          <w:rFonts w:cstheme="minorHAnsi"/>
          <w:sz w:val="24"/>
          <w:szCs w:val="24"/>
          <w:lang w:eastAsia="x-none"/>
        </w:rPr>
        <w:t xml:space="preserve"> ze zm.</w:t>
      </w:r>
      <w:r w:rsidRPr="00E56AAA">
        <w:rPr>
          <w:rFonts w:cstheme="minorHAnsi"/>
          <w:sz w:val="24"/>
          <w:szCs w:val="24"/>
          <w:lang w:val="x-none" w:eastAsia="x-none"/>
        </w:rPr>
        <w:t>) skargę wnosi się w terminie trzydziestu dni od dnia doręczenia skarżącemu rozstrzygnięcia w sprawie albo aktu, o którym mowa w art. 3 § 2 pkt</w:t>
      </w:r>
      <w:r w:rsidR="00C413D5">
        <w:rPr>
          <w:rFonts w:cstheme="minorHAnsi"/>
          <w:sz w:val="24"/>
          <w:szCs w:val="24"/>
          <w:lang w:val="x-none" w:eastAsia="x-none"/>
        </w:rPr>
        <w:t> </w:t>
      </w:r>
      <w:r w:rsidRPr="00E56AAA">
        <w:rPr>
          <w:rFonts w:cstheme="minorHAnsi"/>
          <w:sz w:val="24"/>
          <w:szCs w:val="24"/>
          <w:lang w:val="x-none" w:eastAsia="x-none"/>
        </w:rPr>
        <w:t xml:space="preserve">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37560006" w14:textId="622708B8" w:rsidR="00923C93" w:rsidRPr="0068753E" w:rsidRDefault="00923C93" w:rsidP="0068753E">
      <w:pPr>
        <w:spacing w:line="276" w:lineRule="auto"/>
        <w:rPr>
          <w:rFonts w:cstheme="minorHAnsi"/>
          <w:sz w:val="24"/>
          <w:szCs w:val="24"/>
          <w:lang w:val="x-none" w:eastAsia="x-none"/>
        </w:rPr>
      </w:pPr>
      <w:r w:rsidRPr="00E56AAA">
        <w:rPr>
          <w:rFonts w:cstheme="minorHAnsi"/>
          <w:sz w:val="24"/>
          <w:szCs w:val="24"/>
          <w:lang w:val="x-none" w:eastAsia="x-none"/>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775 ze zm.).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w:t>
      </w:r>
      <w:r w:rsidRPr="00E56AAA">
        <w:rPr>
          <w:rFonts w:cstheme="minorHAnsi"/>
          <w:sz w:val="24"/>
          <w:szCs w:val="24"/>
          <w:lang w:val="x-none" w:eastAsia="x-none"/>
        </w:rPr>
        <w:lastRenderedPageBreak/>
        <w:t xml:space="preserve">pracowników, naruszenie praworządności lub interesów skarżących, a także przewlekłe lub biurokratyczne załatwianie spraw. </w:t>
      </w:r>
    </w:p>
    <w:p w14:paraId="34BC2113" w14:textId="7FA9B74E" w:rsidR="00AB3CD4" w:rsidRPr="00FF7E63" w:rsidRDefault="00AB3CD4" w:rsidP="0068753E">
      <w:pPr>
        <w:pStyle w:val="Nagwek1"/>
        <w:numPr>
          <w:ilvl w:val="0"/>
          <w:numId w:val="1"/>
        </w:numPr>
        <w:spacing w:before="480" w:after="240" w:line="276" w:lineRule="auto"/>
        <w:ind w:left="425" w:hanging="425"/>
        <w:rPr>
          <w:rFonts w:asciiTheme="minorHAnsi" w:hAnsiTheme="minorHAnsi" w:cstheme="minorHAnsi"/>
          <w:b/>
          <w:color w:val="auto"/>
        </w:rPr>
      </w:pPr>
      <w:bookmarkStart w:id="93" w:name="_Toc224647165"/>
      <w:r w:rsidRPr="00FF7E63">
        <w:rPr>
          <w:rFonts w:asciiTheme="minorHAnsi" w:hAnsiTheme="minorHAnsi" w:cstheme="minorHAnsi"/>
          <w:b/>
          <w:color w:val="000000" w:themeColor="text1"/>
        </w:rPr>
        <w:t>Sposób podania do publicznej wiadomości wyników postępowania konkurencyjnego</w:t>
      </w:r>
      <w:bookmarkEnd w:id="93"/>
    </w:p>
    <w:p w14:paraId="304DB31D" w14:textId="3D18BC38" w:rsidR="00AB3CD4" w:rsidRDefault="00AB3CD4" w:rsidP="0061489B">
      <w:pPr>
        <w:spacing w:after="6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46C6A333" w:rsidR="00AB3CD4" w:rsidRPr="007E6F7D" w:rsidRDefault="00AB3CD4" w:rsidP="00D04D04">
      <w:pPr>
        <w:spacing w:after="6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w:t>
      </w:r>
      <w:r w:rsidR="00A53348">
        <w:rPr>
          <w:sz w:val="24"/>
          <w:szCs w:val="24"/>
        </w:rPr>
        <w:t> </w:t>
      </w:r>
      <w:r w:rsidRPr="007E6F7D">
        <w:rPr>
          <w:sz w:val="24"/>
          <w:szCs w:val="24"/>
        </w:rPr>
        <w:t>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61489B">
      <w:pPr>
        <w:spacing w:after="6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6D6C3F48" w:rsidR="00AB3CD4" w:rsidRPr="007E6F7D" w:rsidRDefault="00AB3CD4" w:rsidP="0061489B">
      <w:pPr>
        <w:spacing w:after="6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w:t>
      </w:r>
      <w:r w:rsidR="00A53348">
        <w:rPr>
          <w:sz w:val="24"/>
          <w:szCs w:val="24"/>
        </w:rPr>
        <w:t> </w:t>
      </w:r>
      <w:r w:rsidRPr="007E6F7D">
        <w:rPr>
          <w:sz w:val="24"/>
          <w:szCs w:val="24"/>
        </w:rPr>
        <w:t xml:space="preserve">wskazaniem osób, które uczestniczyły w ocenie projektów w charakterze ekspertów, </w:t>
      </w:r>
      <w:r w:rsidRPr="007E6F7D">
        <w:rPr>
          <w:sz w:val="24"/>
          <w:szCs w:val="24"/>
        </w:rPr>
        <w:br/>
        <w:t>o których mowa w art. 80 ustawy wdrożeniowej.</w:t>
      </w:r>
    </w:p>
    <w:p w14:paraId="227C166C" w14:textId="449A118B" w:rsidR="00AB3CD4" w:rsidRPr="007E6F7D" w:rsidRDefault="00AB3CD4" w:rsidP="0061489B">
      <w:pPr>
        <w:spacing w:after="60" w:line="276" w:lineRule="auto"/>
        <w:rPr>
          <w:sz w:val="24"/>
          <w:szCs w:val="24"/>
        </w:rPr>
      </w:pPr>
      <w:r w:rsidRPr="007E6F7D">
        <w:rPr>
          <w:sz w:val="24"/>
          <w:szCs w:val="24"/>
        </w:rPr>
        <w:t>W przypadku unieważnienia postępowania w zakresie wyboru projektów do dofinansowania w sposób konkurencyjny</w:t>
      </w:r>
      <w:r>
        <w:rPr>
          <w:sz w:val="24"/>
          <w:szCs w:val="24"/>
        </w:rPr>
        <w:t>,</w:t>
      </w:r>
      <w:r w:rsidRPr="007E6F7D">
        <w:rPr>
          <w:sz w:val="24"/>
          <w:szCs w:val="24"/>
        </w:rPr>
        <w:t xml:space="preserve"> IZ poda do publicznej wiadomości informację o unieważnieniu postępowania oraz jego przyczynach na stronie internetowej FEO 2021-2027 oraz na portalu Funduszy Europejskich. Informacja ta nie stanowi podstawy do wniesienia protestu, </w:t>
      </w:r>
      <w:r w:rsidRPr="007E6F7D">
        <w:rPr>
          <w:sz w:val="24"/>
          <w:szCs w:val="24"/>
        </w:rPr>
        <w:br/>
        <w:t>o którym mowa w art. 63 ustawy wdrożeniowej.</w:t>
      </w:r>
    </w:p>
    <w:p w14:paraId="0D74F2B2" w14:textId="4926863F" w:rsidR="00AB3CD4" w:rsidRPr="007E6F7D" w:rsidRDefault="00AB3CD4" w:rsidP="0061489B">
      <w:pPr>
        <w:spacing w:after="6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61489B">
      <w:pPr>
        <w:spacing w:after="6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w:t>
      </w:r>
      <w:r w:rsidRPr="007E6F7D">
        <w:rPr>
          <w:sz w:val="24"/>
          <w:szCs w:val="24"/>
        </w:rPr>
        <w:lastRenderedPageBreak/>
        <w:t>programów, pod warunkiem, że zapewnią ich poufność oraz będą chronić te informacje, które stanowią tajemnice prawnie chronione.</w:t>
      </w:r>
    </w:p>
    <w:p w14:paraId="22DD17AD" w14:textId="77777777" w:rsidR="001E2845" w:rsidRDefault="00AB3CD4" w:rsidP="0061489B">
      <w:pPr>
        <w:spacing w:after="60"/>
        <w:rPr>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 xml:space="preserve">o ocenach oddziaływania na środowisko. </w:t>
      </w:r>
    </w:p>
    <w:p w14:paraId="2E4DA30E" w14:textId="458538B3" w:rsidR="00AB3CD4" w:rsidRPr="00676940" w:rsidRDefault="00AB3CD4" w:rsidP="0061489B">
      <w:pPr>
        <w:spacing w:after="60"/>
        <w:rPr>
          <w:rFonts w:cstheme="minorHAnsi"/>
          <w:b/>
          <w:bCs/>
          <w:sz w:val="24"/>
          <w:szCs w:val="24"/>
        </w:rPr>
      </w:pPr>
      <w:r w:rsidRPr="00676940">
        <w:rPr>
          <w:sz w:val="24"/>
          <w:szCs w:val="24"/>
        </w:rPr>
        <w:t>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77777777" w:rsidR="00AB3CD4" w:rsidRPr="00676940" w:rsidRDefault="00AB3CD4">
      <w:pPr>
        <w:pStyle w:val="Nagwek1"/>
        <w:numPr>
          <w:ilvl w:val="0"/>
          <w:numId w:val="1"/>
        </w:numPr>
        <w:spacing w:before="480" w:after="240" w:line="276" w:lineRule="auto"/>
        <w:ind w:left="425" w:hanging="425"/>
        <w:rPr>
          <w:rFonts w:cstheme="minorHAnsi"/>
          <w:b/>
          <w:bCs/>
        </w:rPr>
      </w:pPr>
      <w:bookmarkStart w:id="94" w:name="_Toc224647166"/>
      <w:r w:rsidRPr="00676940">
        <w:rPr>
          <w:rFonts w:asciiTheme="minorHAnsi" w:hAnsiTheme="minorHAnsi" w:cstheme="minorHAnsi"/>
          <w:b/>
          <w:color w:val="000000" w:themeColor="text1"/>
        </w:rPr>
        <w:t xml:space="preserve">Sposób postępowania w sytuacji, w której wszystkie wnioski </w:t>
      </w:r>
      <w:r w:rsidRPr="00676940">
        <w:rPr>
          <w:rFonts w:asciiTheme="minorHAnsi" w:hAnsiTheme="minorHAnsi" w:cstheme="minorHAnsi"/>
          <w:b/>
          <w:color w:val="000000" w:themeColor="text1"/>
        </w:rPr>
        <w:br/>
        <w:t>w postępowaniu zostaną wycofane przez wnioskodawców</w:t>
      </w:r>
      <w:bookmarkEnd w:id="94"/>
    </w:p>
    <w:p w14:paraId="1BF20287" w14:textId="77777777" w:rsidR="00AB3CD4" w:rsidRPr="00676940" w:rsidRDefault="00AB3CD4" w:rsidP="00676940">
      <w:pPr>
        <w:spacing w:after="0" w:line="276" w:lineRule="auto"/>
        <w:rPr>
          <w:sz w:val="24"/>
          <w:szCs w:val="24"/>
        </w:rPr>
      </w:pPr>
      <w:r w:rsidRPr="00676940">
        <w:rPr>
          <w:sz w:val="24"/>
          <w:szCs w:val="24"/>
        </w:rPr>
        <w:t>W sytuacji, w której wszystkie wnioski w postępowaniu zostaną wycofane przez wnioskodawców, takie postępowanie zostanie anulowane. IZ poinformuje o tym na stronie internetowej programu FEO 2021-2027 i na portalu Funduszy Europejskich.</w:t>
      </w:r>
    </w:p>
    <w:p w14:paraId="4B6B2DFB" w14:textId="58B2BCB7" w:rsidR="00AB3CD4" w:rsidRPr="00676940" w:rsidRDefault="00AB3CD4">
      <w:pPr>
        <w:pStyle w:val="Nagwek1"/>
        <w:numPr>
          <w:ilvl w:val="0"/>
          <w:numId w:val="1"/>
        </w:numPr>
        <w:spacing w:after="240" w:line="276" w:lineRule="auto"/>
        <w:ind w:left="426" w:hanging="426"/>
        <w:rPr>
          <w:rFonts w:cstheme="minorHAnsi"/>
          <w:b/>
          <w:bCs/>
        </w:rPr>
      </w:pPr>
      <w:bookmarkStart w:id="95" w:name="_Toc224647167"/>
      <w:r w:rsidRPr="00676940">
        <w:rPr>
          <w:rFonts w:asciiTheme="minorHAnsi" w:hAnsiTheme="minorHAnsi" w:cstheme="minorHAnsi"/>
          <w:b/>
          <w:color w:val="000000" w:themeColor="text1"/>
        </w:rPr>
        <w:t>Unieważnienie postępowania w zakresie wyboru projektów</w:t>
      </w:r>
      <w:bookmarkEnd w:id="95"/>
    </w:p>
    <w:p w14:paraId="69CFE05B" w14:textId="4A149C2E" w:rsidR="00AB3CD4" w:rsidRPr="00DF0F1C" w:rsidRDefault="00AB3CD4" w:rsidP="0061489B">
      <w:pPr>
        <w:spacing w:after="60"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 w zakresie wyboru projektów do dofinansowania, jeżeli:</w:t>
      </w:r>
    </w:p>
    <w:p w14:paraId="66DEEBA8"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267E3487" w:rsidR="00AB3CD4" w:rsidRPr="00DF0F1C" w:rsidRDefault="00AB3CD4" w:rsidP="0061489B">
      <w:pPr>
        <w:spacing w:after="60" w:line="276" w:lineRule="auto"/>
        <w:rPr>
          <w:sz w:val="24"/>
          <w:szCs w:val="24"/>
        </w:rPr>
      </w:pPr>
      <w:r w:rsidRPr="00DF0F1C">
        <w:rPr>
          <w:sz w:val="24"/>
          <w:szCs w:val="24"/>
        </w:rPr>
        <w:t>IZ podaje do publicznej wiadomości informację o unieważnieniu postępowania 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9963256" w:rsidR="00AB3CD4" w:rsidRPr="00DF0F1C" w:rsidRDefault="00AB3CD4" w:rsidP="0061489B">
      <w:pPr>
        <w:spacing w:after="60" w:line="276" w:lineRule="auto"/>
        <w:rPr>
          <w:sz w:val="24"/>
          <w:szCs w:val="24"/>
        </w:rPr>
      </w:pPr>
      <w:r w:rsidRPr="00DF0F1C">
        <w:rPr>
          <w:sz w:val="24"/>
          <w:szCs w:val="24"/>
        </w:rPr>
        <w:lastRenderedPageBreak/>
        <w:t xml:space="preserve">Unieważnienie postępowania może nastąpić w jego trakcie, gdy zaistnieje co najmniej jedna </w:t>
      </w:r>
      <w:r w:rsidR="004E355A">
        <w:rPr>
          <w:sz w:val="24"/>
          <w:szCs w:val="24"/>
        </w:rPr>
        <w:br/>
      </w:r>
      <w:r w:rsidRPr="00DF0F1C">
        <w:rPr>
          <w:sz w:val="24"/>
          <w:szCs w:val="24"/>
        </w:rPr>
        <w:t>z trzech przesłanek wymienionych powyżej.</w:t>
      </w:r>
    </w:p>
    <w:p w14:paraId="04ECDA82" w14:textId="77777777" w:rsidR="00AB3CD4" w:rsidRPr="00DF0F1C" w:rsidRDefault="00AB3CD4" w:rsidP="0061489B">
      <w:pPr>
        <w:spacing w:after="60"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77777777" w:rsidR="00AB3CD4" w:rsidRPr="00DF0F1C" w:rsidRDefault="00AB3CD4" w:rsidP="0061489B">
      <w:pPr>
        <w:spacing w:after="60" w:line="276" w:lineRule="auto"/>
        <w:rPr>
          <w:sz w:val="24"/>
          <w:szCs w:val="24"/>
        </w:rPr>
      </w:pPr>
      <w:r w:rsidRPr="00DF0F1C">
        <w:rPr>
          <w:sz w:val="24"/>
          <w:szCs w:val="24"/>
        </w:rPr>
        <w:t>IZ nie może unieważnić postępowania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783CC0EF" w:rsidR="003A7CE9" w:rsidRDefault="00AB3CD4" w:rsidP="0061489B">
      <w:pPr>
        <w:spacing w:after="60"/>
        <w:rPr>
          <w:rFonts w:cstheme="minorHAnsi"/>
          <w:b/>
          <w:bCs/>
        </w:rPr>
      </w:pPr>
      <w:r w:rsidRPr="00DF0F1C">
        <w:rPr>
          <w:sz w:val="24"/>
          <w:szCs w:val="24"/>
        </w:rPr>
        <w:t>Zawarcie w wyniku postępowania przynajmniej jednej umowy o dofinansowanie oznacza, że IZ nie może już unieważnić postępowania. Zawarcie umowy oznacza, że nie wystąpiła żadna z 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61489B">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pPr>
        <w:pStyle w:val="Nagwek1"/>
        <w:numPr>
          <w:ilvl w:val="0"/>
          <w:numId w:val="1"/>
        </w:numPr>
        <w:spacing w:before="480" w:after="240" w:line="276" w:lineRule="auto"/>
        <w:ind w:left="425" w:hanging="425"/>
        <w:rPr>
          <w:rFonts w:cstheme="minorHAnsi"/>
          <w:b/>
          <w:bCs/>
        </w:rPr>
      </w:pPr>
      <w:bookmarkStart w:id="96" w:name="_Toc224647168"/>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6"/>
    </w:p>
    <w:p w14:paraId="4E5E624F" w14:textId="738CEB3F" w:rsidR="003A7CE9" w:rsidRPr="00676940" w:rsidRDefault="003A7CE9" w:rsidP="0061489B">
      <w:pPr>
        <w:spacing w:after="60"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w:t>
      </w:r>
      <w:r w:rsidR="002D69D5">
        <w:rPr>
          <w:sz w:val="24"/>
          <w:szCs w:val="24"/>
        </w:rPr>
        <w:t>e</w:t>
      </w:r>
      <w:r w:rsidRPr="00676940">
        <w:rPr>
          <w:sz w:val="24"/>
          <w:szCs w:val="24"/>
        </w:rPr>
        <w:t xml:space="preserve">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pPr>
        <w:pStyle w:val="Nagwek1"/>
        <w:numPr>
          <w:ilvl w:val="0"/>
          <w:numId w:val="1"/>
        </w:numPr>
        <w:spacing w:before="480" w:after="240" w:line="276" w:lineRule="auto"/>
        <w:ind w:left="425" w:hanging="425"/>
        <w:rPr>
          <w:rFonts w:asciiTheme="minorHAnsi" w:hAnsiTheme="minorHAnsi" w:cstheme="minorHAnsi"/>
          <w:b/>
          <w:color w:val="000000" w:themeColor="text1"/>
        </w:rPr>
      </w:pPr>
      <w:bookmarkStart w:id="97" w:name="_Toc224647169"/>
      <w:r w:rsidRPr="00676940">
        <w:rPr>
          <w:rFonts w:asciiTheme="minorHAnsi" w:hAnsiTheme="minorHAnsi" w:cstheme="minorHAnsi"/>
          <w:b/>
          <w:color w:val="000000" w:themeColor="text1"/>
        </w:rPr>
        <w:t>Sposób udzielania wnioskodawcy wyjaśnień w kwestiach dotyczących postępowania</w:t>
      </w:r>
      <w:bookmarkEnd w:id="97"/>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33998048" w14:textId="77777777" w:rsidR="002D69D5" w:rsidRPr="003D2E81" w:rsidRDefault="002D69D5" w:rsidP="002D69D5">
      <w:pPr>
        <w:spacing w:line="276" w:lineRule="auto"/>
        <w:jc w:val="both"/>
        <w:rPr>
          <w:rFonts w:cstheme="minorHAnsi"/>
          <w:b/>
          <w:sz w:val="24"/>
          <w:szCs w:val="24"/>
          <w:u w:val="single"/>
        </w:rPr>
      </w:pPr>
      <w:r w:rsidRPr="003D2E81">
        <w:rPr>
          <w:rFonts w:cstheme="minorHAnsi"/>
          <w:b/>
          <w:sz w:val="24"/>
          <w:szCs w:val="24"/>
          <w:u w:val="single"/>
        </w:rPr>
        <w:t>Zapytania do IZ FEO 2021-2027 można kierować za pośrednictwem:</w:t>
      </w:r>
    </w:p>
    <w:p w14:paraId="22DB2472" w14:textId="77777777" w:rsidR="002D69D5" w:rsidRPr="003D2E81" w:rsidRDefault="002D69D5">
      <w:pPr>
        <w:pStyle w:val="Akapitzlist"/>
        <w:numPr>
          <w:ilvl w:val="0"/>
          <w:numId w:val="28"/>
        </w:numPr>
        <w:spacing w:line="276" w:lineRule="auto"/>
        <w:ind w:left="426" w:hanging="426"/>
        <w:jc w:val="both"/>
        <w:rPr>
          <w:rFonts w:cstheme="minorHAnsi"/>
          <w:b/>
          <w:sz w:val="24"/>
          <w:szCs w:val="24"/>
          <w:u w:val="single"/>
        </w:rPr>
      </w:pPr>
      <w:r w:rsidRPr="003D2E81">
        <w:rPr>
          <w:rFonts w:cstheme="minorHAnsi"/>
          <w:b/>
          <w:sz w:val="24"/>
          <w:szCs w:val="24"/>
          <w:u w:val="single"/>
        </w:rPr>
        <w:t>Głównego Punktu Informacyjnego Funduszy Europejskich:</w:t>
      </w:r>
    </w:p>
    <w:p w14:paraId="4C11FE88" w14:textId="77777777" w:rsidR="002D69D5" w:rsidRPr="003D2E81" w:rsidRDefault="002D69D5" w:rsidP="002D69D5">
      <w:pPr>
        <w:pStyle w:val="Akapitzlist"/>
        <w:spacing w:line="276" w:lineRule="auto"/>
        <w:ind w:left="426"/>
        <w:jc w:val="both"/>
        <w:rPr>
          <w:rFonts w:cstheme="minorHAnsi"/>
          <w:sz w:val="24"/>
          <w:szCs w:val="24"/>
          <w:lang w:val="en-US"/>
        </w:rPr>
      </w:pPr>
      <w:r w:rsidRPr="003D2E81">
        <w:rPr>
          <w:rFonts w:cstheme="minorHAnsi"/>
          <w:b/>
          <w:sz w:val="24"/>
          <w:szCs w:val="24"/>
          <w:lang w:val="en-US"/>
        </w:rPr>
        <w:t>E-mail</w:t>
      </w:r>
      <w:r w:rsidRPr="003D2E81">
        <w:rPr>
          <w:rFonts w:cstheme="minorHAnsi"/>
          <w:sz w:val="24"/>
          <w:szCs w:val="24"/>
          <w:lang w:val="en-US"/>
        </w:rPr>
        <w:t xml:space="preserve">: </w:t>
      </w:r>
      <w:hyperlink r:id="rId15" w:history="1">
        <w:r w:rsidRPr="003D2E81">
          <w:rPr>
            <w:rStyle w:val="Hipercze"/>
            <w:rFonts w:cstheme="minorHAnsi"/>
            <w:sz w:val="24"/>
            <w:szCs w:val="24"/>
            <w:lang w:val="en-US"/>
          </w:rPr>
          <w:t>pife.opole@opolskie.pl</w:t>
        </w:r>
      </w:hyperlink>
      <w:r w:rsidRPr="003D2E81">
        <w:rPr>
          <w:rFonts w:cstheme="minorHAnsi"/>
          <w:sz w:val="24"/>
          <w:szCs w:val="24"/>
          <w:lang w:val="en-US"/>
        </w:rPr>
        <w:t>;</w:t>
      </w:r>
    </w:p>
    <w:p w14:paraId="695E8E6E" w14:textId="77777777" w:rsidR="002D69D5" w:rsidRPr="003D2E81" w:rsidRDefault="002D69D5" w:rsidP="002D69D5">
      <w:pPr>
        <w:pStyle w:val="Akapitzlist"/>
        <w:spacing w:line="276" w:lineRule="auto"/>
        <w:ind w:left="426"/>
        <w:jc w:val="both"/>
        <w:rPr>
          <w:rFonts w:cstheme="minorHAnsi"/>
          <w:sz w:val="24"/>
          <w:szCs w:val="24"/>
          <w:lang w:val="en-US"/>
        </w:rPr>
      </w:pPr>
      <w:r w:rsidRPr="003D2E81">
        <w:rPr>
          <w:rFonts w:cstheme="minorHAnsi"/>
          <w:b/>
          <w:sz w:val="24"/>
          <w:szCs w:val="24"/>
        </w:rPr>
        <w:t>Telefon:</w:t>
      </w:r>
      <w:r w:rsidRPr="003D2E81">
        <w:rPr>
          <w:rFonts w:cstheme="minorHAnsi"/>
          <w:sz w:val="24"/>
          <w:szCs w:val="24"/>
        </w:rPr>
        <w:t xml:space="preserve"> 77 44 04 720, 77 44 04 721, 77 44 04 722</w:t>
      </w:r>
    </w:p>
    <w:p w14:paraId="6B8B08CB" w14:textId="77777777" w:rsidR="002D69D5" w:rsidRPr="003D2E81" w:rsidRDefault="002D69D5" w:rsidP="002D69D5">
      <w:pPr>
        <w:pStyle w:val="Akapitzlist"/>
        <w:spacing w:line="276" w:lineRule="auto"/>
        <w:ind w:left="426"/>
        <w:jc w:val="both"/>
        <w:rPr>
          <w:rFonts w:cstheme="minorHAnsi"/>
          <w:sz w:val="24"/>
          <w:szCs w:val="24"/>
          <w:lang w:val="en-US"/>
        </w:rPr>
      </w:pPr>
    </w:p>
    <w:p w14:paraId="4FDD5718" w14:textId="77777777" w:rsidR="002D69D5" w:rsidRPr="0052527C" w:rsidRDefault="002D69D5">
      <w:pPr>
        <w:pStyle w:val="Akapitzlist"/>
        <w:numPr>
          <w:ilvl w:val="0"/>
          <w:numId w:val="28"/>
        </w:numPr>
        <w:spacing w:line="276" w:lineRule="auto"/>
        <w:ind w:left="426" w:hanging="426"/>
        <w:jc w:val="both"/>
        <w:rPr>
          <w:rFonts w:cstheme="minorHAnsi"/>
          <w:b/>
          <w:bCs/>
          <w:sz w:val="24"/>
          <w:szCs w:val="24"/>
        </w:rPr>
      </w:pPr>
      <w:r w:rsidRPr="0052527C">
        <w:rPr>
          <w:rFonts w:cstheme="minorHAnsi"/>
          <w:b/>
          <w:bCs/>
          <w:sz w:val="24"/>
          <w:szCs w:val="24"/>
        </w:rPr>
        <w:t>Departamentu Programowania Funduszy Europejskich</w:t>
      </w:r>
    </w:p>
    <w:p w14:paraId="79631D97" w14:textId="77777777" w:rsidR="002D69D5" w:rsidRPr="0052527C" w:rsidRDefault="002D69D5" w:rsidP="002D69D5">
      <w:pPr>
        <w:pStyle w:val="Akapitzlist"/>
        <w:spacing w:line="276" w:lineRule="auto"/>
        <w:ind w:left="426"/>
        <w:jc w:val="both"/>
        <w:rPr>
          <w:rFonts w:cstheme="minorHAnsi"/>
          <w:sz w:val="24"/>
          <w:szCs w:val="24"/>
        </w:rPr>
      </w:pPr>
      <w:r w:rsidRPr="0052527C">
        <w:rPr>
          <w:rFonts w:cstheme="minorHAnsi"/>
          <w:b/>
          <w:sz w:val="24"/>
          <w:szCs w:val="24"/>
        </w:rPr>
        <w:t>E-mail</w:t>
      </w:r>
      <w:r w:rsidRPr="0052527C">
        <w:rPr>
          <w:rFonts w:cstheme="minorHAnsi"/>
          <w:sz w:val="24"/>
          <w:szCs w:val="24"/>
        </w:rPr>
        <w:t xml:space="preserve">: </w:t>
      </w:r>
      <w:hyperlink r:id="rId16" w:history="1">
        <w:r w:rsidRPr="0052527C">
          <w:rPr>
            <w:rStyle w:val="Hipercze"/>
            <w:rFonts w:cstheme="minorHAnsi"/>
            <w:sz w:val="24"/>
            <w:szCs w:val="24"/>
          </w:rPr>
          <w:t>dpf@opolskie.pl</w:t>
        </w:r>
      </w:hyperlink>
      <w:r w:rsidRPr="0052527C">
        <w:rPr>
          <w:rFonts w:cstheme="minorHAnsi"/>
          <w:sz w:val="24"/>
          <w:szCs w:val="24"/>
        </w:rPr>
        <w:t>;</w:t>
      </w:r>
    </w:p>
    <w:p w14:paraId="47C8F01A" w14:textId="0733EA33" w:rsidR="0068753E" w:rsidRPr="0068753E" w:rsidRDefault="002D69D5" w:rsidP="0068753E">
      <w:pPr>
        <w:pStyle w:val="Akapitzlist"/>
        <w:spacing w:line="276" w:lineRule="auto"/>
        <w:ind w:left="425"/>
        <w:contextualSpacing w:val="0"/>
        <w:jc w:val="both"/>
        <w:rPr>
          <w:rFonts w:cstheme="minorHAnsi"/>
          <w:bCs/>
          <w:sz w:val="24"/>
          <w:szCs w:val="24"/>
          <w:lang w:val="en-US"/>
        </w:rPr>
      </w:pPr>
      <w:r w:rsidRPr="0052527C">
        <w:rPr>
          <w:rFonts w:cstheme="minorHAnsi"/>
          <w:b/>
          <w:sz w:val="24"/>
          <w:szCs w:val="24"/>
        </w:rPr>
        <w:t>Telefon</w:t>
      </w:r>
      <w:r w:rsidRPr="003D2E81">
        <w:rPr>
          <w:rFonts w:cstheme="minorHAnsi"/>
          <w:b/>
          <w:sz w:val="24"/>
          <w:szCs w:val="24"/>
          <w:lang w:val="en-US"/>
        </w:rPr>
        <w:t xml:space="preserve"> </w:t>
      </w:r>
      <w:r w:rsidRPr="003D2E81">
        <w:rPr>
          <w:rFonts w:cstheme="minorHAnsi"/>
          <w:bCs/>
          <w:sz w:val="24"/>
          <w:szCs w:val="24"/>
          <w:lang w:val="en-US"/>
        </w:rPr>
        <w:t>77 54 16</w:t>
      </w:r>
      <w:r>
        <w:rPr>
          <w:rFonts w:cstheme="minorHAnsi"/>
          <w:bCs/>
          <w:sz w:val="24"/>
          <w:szCs w:val="24"/>
          <w:lang w:val="en-US"/>
        </w:rPr>
        <w:t> </w:t>
      </w:r>
      <w:r w:rsidRPr="003D2E81">
        <w:rPr>
          <w:rFonts w:cstheme="minorHAnsi"/>
          <w:bCs/>
          <w:sz w:val="24"/>
          <w:szCs w:val="24"/>
          <w:lang w:val="en-US"/>
        </w:rPr>
        <w:t>200</w:t>
      </w:r>
    </w:p>
    <w:p w14:paraId="6B0943BD" w14:textId="77777777" w:rsidR="00247662" w:rsidRPr="00676940" w:rsidRDefault="00247662" w:rsidP="0068753E">
      <w:pPr>
        <w:pStyle w:val="Nagwek1"/>
        <w:numPr>
          <w:ilvl w:val="0"/>
          <w:numId w:val="1"/>
        </w:numPr>
        <w:spacing w:before="480" w:after="240" w:line="276" w:lineRule="auto"/>
        <w:ind w:left="425" w:hanging="425"/>
        <w:rPr>
          <w:rFonts w:cstheme="minorHAnsi"/>
          <w:b/>
          <w:bCs/>
        </w:rPr>
      </w:pPr>
      <w:bookmarkStart w:id="98" w:name="_Toc224647170"/>
      <w:r w:rsidRPr="00676940">
        <w:rPr>
          <w:rFonts w:asciiTheme="minorHAnsi" w:hAnsiTheme="minorHAnsi" w:cstheme="minorHAnsi"/>
          <w:b/>
          <w:color w:val="000000" w:themeColor="text1"/>
        </w:rPr>
        <w:lastRenderedPageBreak/>
        <w:t>Archiwizacja i przechowywanie dokumentów</w:t>
      </w:r>
      <w:bookmarkEnd w:id="98"/>
    </w:p>
    <w:p w14:paraId="13EFBBF4" w14:textId="753E4B7C" w:rsidR="00A80880" w:rsidRPr="00D150F3" w:rsidRDefault="00A63489" w:rsidP="0061489B">
      <w:pPr>
        <w:spacing w:after="60" w:line="276" w:lineRule="auto"/>
        <w:rPr>
          <w:sz w:val="24"/>
          <w:szCs w:val="24"/>
        </w:rPr>
      </w:pPr>
      <w:r w:rsidRPr="00A63489">
        <w:rPr>
          <w:sz w:val="24"/>
          <w:szCs w:val="24"/>
        </w:rPr>
        <w:t>Beneficjent przechowuje dokumentację związaną z realizacją Projektu</w:t>
      </w:r>
      <w:r w:rsidR="002D69D5">
        <w:rPr>
          <w:sz w:val="24"/>
          <w:szCs w:val="24"/>
        </w:rPr>
        <w:t xml:space="preserve"> </w:t>
      </w:r>
      <w:r w:rsidRPr="00A63489">
        <w:rPr>
          <w:sz w:val="24"/>
          <w:szCs w:val="24"/>
        </w:rPr>
        <w:t>w sposób zapewniający dostępność, poufność i bezpieczeństwo oraz jest zobowiązany do</w:t>
      </w:r>
      <w:r w:rsidR="002D69D5">
        <w:rPr>
          <w:sz w:val="24"/>
          <w:szCs w:val="24"/>
        </w:rPr>
        <w:t xml:space="preserve"> </w:t>
      </w:r>
      <w:r w:rsidRPr="00A63489">
        <w:rPr>
          <w:sz w:val="24"/>
          <w:szCs w:val="24"/>
        </w:rPr>
        <w:t>poinformowania Instytucji Zarządzającej o miejscu jej archiwizacji.</w:t>
      </w:r>
      <w:r>
        <w:rPr>
          <w:sz w:val="24"/>
          <w:szCs w:val="24"/>
        </w:rPr>
        <w:t xml:space="preserve"> </w:t>
      </w:r>
    </w:p>
    <w:p w14:paraId="6F0A4D7D" w14:textId="1007C761" w:rsidR="00A80880" w:rsidRPr="00D150F3" w:rsidRDefault="002D69D5" w:rsidP="0061489B">
      <w:pPr>
        <w:spacing w:after="60" w:line="276" w:lineRule="auto"/>
        <w:rPr>
          <w:sz w:val="24"/>
          <w:szCs w:val="24"/>
        </w:rPr>
      </w:pPr>
      <w:r>
        <w:rPr>
          <w:sz w:val="24"/>
          <w:szCs w:val="24"/>
        </w:rPr>
        <w:t>IZ</w:t>
      </w:r>
      <w:r w:rsidR="00A80880" w:rsidRPr="00D150F3">
        <w:rPr>
          <w:sz w:val="24"/>
          <w:szCs w:val="24"/>
        </w:rPr>
        <w:t xml:space="preserve"> odpowiada za zarządzanie programem z myślą o osiągnięciu celów programu. W</w:t>
      </w:r>
      <w:r w:rsidR="0061489B">
        <w:rPr>
          <w:sz w:val="24"/>
          <w:szCs w:val="24"/>
        </w:rPr>
        <w:t> </w:t>
      </w:r>
      <w:r w:rsidR="00A80880" w:rsidRPr="00D150F3">
        <w:rPr>
          <w:sz w:val="24"/>
          <w:szCs w:val="24"/>
        </w:rPr>
        <w:t>szczególności pełni ona funkcje rejestracji i przechowywania w formie</w:t>
      </w:r>
      <w:r w:rsidR="00A80880">
        <w:rPr>
          <w:sz w:val="24"/>
          <w:szCs w:val="24"/>
        </w:rPr>
        <w:t xml:space="preserve"> </w:t>
      </w:r>
      <w:r w:rsidR="00A80880" w:rsidRPr="00D150F3">
        <w:rPr>
          <w:sz w:val="24"/>
          <w:szCs w:val="24"/>
        </w:rPr>
        <w:t>elektronicznej danych dotyczących każdej operacji, niezbędnych do monitorowania, ewaluacji, zarządzania finansowego, weryfikacji i audytów, zgodnie z załącznikiem XVII</w:t>
      </w:r>
      <w:r w:rsidR="00A80880">
        <w:rPr>
          <w:sz w:val="24"/>
          <w:szCs w:val="24"/>
        </w:rPr>
        <w:t xml:space="preserve"> do Rozporządzenia ogólnego</w:t>
      </w:r>
      <w:r w:rsidR="00A80880" w:rsidRPr="00D150F3">
        <w:rPr>
          <w:sz w:val="24"/>
          <w:szCs w:val="24"/>
        </w:rPr>
        <w:t xml:space="preserve">, a także zapewnia bezpieczeństwo, integralność i poufność danych oraz uwierzytelnianie użytkowników. </w:t>
      </w:r>
    </w:p>
    <w:p w14:paraId="794BAA0B" w14:textId="01D3AAFB" w:rsidR="00A80880" w:rsidRPr="00D150F3" w:rsidRDefault="00A80880" w:rsidP="0061489B">
      <w:pPr>
        <w:spacing w:after="60" w:line="276" w:lineRule="auto"/>
        <w:rPr>
          <w:sz w:val="24"/>
          <w:szCs w:val="24"/>
        </w:rPr>
      </w:pPr>
      <w:r w:rsidRPr="00D150F3">
        <w:rPr>
          <w:sz w:val="24"/>
          <w:szCs w:val="24"/>
        </w:rPr>
        <w:t>Na podstawie art. 82 ust. 1 Rozporządzenia nr 2021/1060,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w:t>
      </w:r>
      <w:r w:rsidR="00A53348">
        <w:rPr>
          <w:sz w:val="24"/>
          <w:szCs w:val="24"/>
        </w:rPr>
        <w:t> </w:t>
      </w:r>
      <w:r w:rsidRPr="00D150F3">
        <w:rPr>
          <w:sz w:val="24"/>
          <w:szCs w:val="24"/>
        </w:rPr>
        <w:t xml:space="preserve">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ozporządzeniu Komisji (UE) nr</w:t>
      </w:r>
      <w:r w:rsidR="00A53348">
        <w:rPr>
          <w:sz w:val="24"/>
          <w:szCs w:val="24"/>
        </w:rPr>
        <w:t> </w:t>
      </w:r>
      <w:r w:rsidRPr="00D150F3">
        <w:rPr>
          <w:sz w:val="24"/>
          <w:szCs w:val="24"/>
        </w:rPr>
        <w:t xml:space="preserve">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61489B">
      <w:pPr>
        <w:spacing w:after="60"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61489B">
      <w:pPr>
        <w:spacing w:after="6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pPr>
        <w:pStyle w:val="Nagwek1"/>
        <w:numPr>
          <w:ilvl w:val="0"/>
          <w:numId w:val="1"/>
        </w:numPr>
        <w:spacing w:after="240" w:line="276" w:lineRule="auto"/>
        <w:ind w:left="426" w:hanging="426"/>
        <w:rPr>
          <w:rFonts w:asciiTheme="minorHAnsi" w:hAnsiTheme="minorHAnsi" w:cstheme="minorHAnsi"/>
          <w:b/>
          <w:color w:val="000000" w:themeColor="text1"/>
        </w:rPr>
      </w:pPr>
      <w:bookmarkStart w:id="99" w:name="_Toc224647171"/>
      <w:r w:rsidRPr="00676940">
        <w:rPr>
          <w:rFonts w:asciiTheme="minorHAnsi" w:hAnsiTheme="minorHAnsi" w:cstheme="minorHAnsi"/>
          <w:b/>
          <w:color w:val="000000" w:themeColor="text1"/>
        </w:rPr>
        <w:t>Załączniki</w:t>
      </w:r>
      <w:bookmarkEnd w:id="99"/>
    </w:p>
    <w:p w14:paraId="464A5862"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Procedura oceny projektów</w:t>
      </w:r>
    </w:p>
    <w:p w14:paraId="48814F44" w14:textId="54E4473A" w:rsidR="004F2968" w:rsidRDefault="004F2968">
      <w:pPr>
        <w:pStyle w:val="Akapitzlist"/>
        <w:numPr>
          <w:ilvl w:val="0"/>
          <w:numId w:val="16"/>
        </w:numPr>
        <w:spacing w:after="0" w:line="276" w:lineRule="auto"/>
        <w:ind w:left="426" w:hanging="426"/>
        <w:rPr>
          <w:sz w:val="24"/>
          <w:szCs w:val="24"/>
        </w:rPr>
      </w:pPr>
      <w:r w:rsidRPr="00676940">
        <w:rPr>
          <w:sz w:val="24"/>
          <w:szCs w:val="24"/>
        </w:rPr>
        <w:t xml:space="preserve">Instrukcja obsługi </w:t>
      </w:r>
      <w:r w:rsidR="00FF7E63">
        <w:rPr>
          <w:sz w:val="24"/>
          <w:szCs w:val="24"/>
        </w:rPr>
        <w:t xml:space="preserve">Panelu Wnioskodawcy </w:t>
      </w:r>
      <w:r w:rsidRPr="00676940">
        <w:rPr>
          <w:sz w:val="24"/>
          <w:szCs w:val="24"/>
        </w:rPr>
        <w:t>FEO 2021-2027</w:t>
      </w:r>
    </w:p>
    <w:p w14:paraId="18C0BD47"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Wzory załączników</w:t>
      </w:r>
    </w:p>
    <w:p w14:paraId="733AC373"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148A9EF5" w14:textId="6451EA70" w:rsidR="00AC37F6" w:rsidRDefault="00AC37F6">
      <w:pPr>
        <w:pStyle w:val="Akapitzlist"/>
        <w:numPr>
          <w:ilvl w:val="0"/>
          <w:numId w:val="16"/>
        </w:numPr>
        <w:spacing w:after="0" w:line="276" w:lineRule="auto"/>
        <w:ind w:left="426" w:hanging="426"/>
        <w:rPr>
          <w:sz w:val="24"/>
          <w:szCs w:val="24"/>
        </w:rPr>
      </w:pPr>
      <w:r>
        <w:rPr>
          <w:sz w:val="24"/>
          <w:szCs w:val="24"/>
        </w:rPr>
        <w:lastRenderedPageBreak/>
        <w:t xml:space="preserve">Wzór umowy o dofinansowanie projektu dla działania </w:t>
      </w:r>
      <w:r w:rsidR="005D036B" w:rsidRPr="005D036B">
        <w:rPr>
          <w:sz w:val="24"/>
          <w:szCs w:val="24"/>
        </w:rPr>
        <w:t>2.1</w:t>
      </w:r>
      <w:r w:rsidR="00E4122B">
        <w:rPr>
          <w:sz w:val="24"/>
          <w:szCs w:val="24"/>
        </w:rPr>
        <w:t> </w:t>
      </w:r>
      <w:r w:rsidR="005D036B" w:rsidRPr="005D036B">
        <w:rPr>
          <w:sz w:val="24"/>
          <w:szCs w:val="24"/>
        </w:rPr>
        <w:t xml:space="preserve">Poprawa efektywności energetycznej w województwie opolskim </w:t>
      </w:r>
      <w:r w:rsidRPr="00676940">
        <w:rPr>
          <w:sz w:val="24"/>
          <w:szCs w:val="24"/>
        </w:rPr>
        <w:t>FEO 2021-2027</w:t>
      </w:r>
    </w:p>
    <w:p w14:paraId="173270F9" w14:textId="197278BE" w:rsidR="004F2968" w:rsidRDefault="004F2968">
      <w:pPr>
        <w:pStyle w:val="Akapitzlist"/>
        <w:numPr>
          <w:ilvl w:val="0"/>
          <w:numId w:val="16"/>
        </w:numPr>
        <w:spacing w:after="0" w:line="276" w:lineRule="auto"/>
        <w:ind w:left="426" w:hanging="426"/>
        <w:rPr>
          <w:sz w:val="24"/>
          <w:szCs w:val="24"/>
        </w:rPr>
      </w:pPr>
      <w:r w:rsidRPr="00676940">
        <w:rPr>
          <w:sz w:val="24"/>
          <w:szCs w:val="24"/>
        </w:rPr>
        <w:t xml:space="preserve">Kryteria wyboru projektów dla działania </w:t>
      </w:r>
      <w:r w:rsidR="005D036B" w:rsidRPr="005D036B">
        <w:rPr>
          <w:sz w:val="24"/>
          <w:szCs w:val="24"/>
        </w:rPr>
        <w:t>2.1 Poprawa efektywności energetycznej w</w:t>
      </w:r>
      <w:r w:rsidR="00E4122B">
        <w:rPr>
          <w:sz w:val="24"/>
          <w:szCs w:val="24"/>
        </w:rPr>
        <w:t> </w:t>
      </w:r>
      <w:r w:rsidR="005D036B" w:rsidRPr="005D036B">
        <w:rPr>
          <w:sz w:val="24"/>
          <w:szCs w:val="24"/>
        </w:rPr>
        <w:t>województwie opolskim</w:t>
      </w:r>
      <w:r w:rsidR="005D036B" w:rsidRPr="00676940">
        <w:rPr>
          <w:sz w:val="24"/>
          <w:szCs w:val="24"/>
        </w:rPr>
        <w:t xml:space="preserve"> </w:t>
      </w:r>
      <w:r w:rsidRPr="00676940">
        <w:rPr>
          <w:sz w:val="24"/>
          <w:szCs w:val="24"/>
        </w:rPr>
        <w:t xml:space="preserve">FEO 2021-2027 </w:t>
      </w:r>
    </w:p>
    <w:p w14:paraId="46764856" w14:textId="5881D80E" w:rsidR="004F2968" w:rsidRDefault="004F2968">
      <w:pPr>
        <w:pStyle w:val="Akapitzlist"/>
        <w:numPr>
          <w:ilvl w:val="0"/>
          <w:numId w:val="16"/>
        </w:numPr>
        <w:spacing w:after="0" w:line="276" w:lineRule="auto"/>
        <w:ind w:left="426" w:hanging="426"/>
        <w:rPr>
          <w:sz w:val="24"/>
          <w:szCs w:val="24"/>
        </w:rPr>
      </w:pPr>
      <w:r w:rsidRPr="00676940">
        <w:rPr>
          <w:sz w:val="24"/>
          <w:szCs w:val="24"/>
        </w:rPr>
        <w:t xml:space="preserve">Lista wskaźników na poziomie projektu dla działania </w:t>
      </w:r>
      <w:r w:rsidR="005D036B" w:rsidRPr="005D036B">
        <w:rPr>
          <w:sz w:val="24"/>
          <w:szCs w:val="24"/>
        </w:rPr>
        <w:t>2.1 Poprawa efektywności energetycznej w województwie opolskim</w:t>
      </w:r>
      <w:r w:rsidR="005D036B" w:rsidRPr="00676940">
        <w:rPr>
          <w:sz w:val="24"/>
          <w:szCs w:val="24"/>
        </w:rPr>
        <w:t xml:space="preserve"> </w:t>
      </w:r>
      <w:r w:rsidRPr="00676940">
        <w:rPr>
          <w:sz w:val="24"/>
          <w:szCs w:val="24"/>
        </w:rPr>
        <w:t>FEO 2021-2027</w:t>
      </w:r>
    </w:p>
    <w:p w14:paraId="0B08CA62" w14:textId="1A88C8A8" w:rsidR="00DC065B" w:rsidRPr="0068753E" w:rsidRDefault="00DA43A5" w:rsidP="0068753E">
      <w:pPr>
        <w:pStyle w:val="Akapitzlist"/>
        <w:numPr>
          <w:ilvl w:val="0"/>
          <w:numId w:val="16"/>
        </w:numPr>
        <w:spacing w:after="0" w:line="276" w:lineRule="auto"/>
        <w:ind w:left="426" w:hanging="426"/>
        <w:rPr>
          <w:sz w:val="24"/>
          <w:szCs w:val="24"/>
        </w:rPr>
      </w:pPr>
      <w:r>
        <w:rPr>
          <w:sz w:val="24"/>
          <w:szCs w:val="24"/>
        </w:rPr>
        <w:t>Wskaźnik dochodów podatkowych Jednostek Samorządu Terytorialnego</w:t>
      </w:r>
    </w:p>
    <w:p w14:paraId="54C54D6E" w14:textId="0B97D360" w:rsidR="004F2968" w:rsidRPr="00676940" w:rsidRDefault="004F2968" w:rsidP="0068753E">
      <w:pPr>
        <w:pStyle w:val="Nagwek1"/>
        <w:numPr>
          <w:ilvl w:val="0"/>
          <w:numId w:val="1"/>
        </w:numPr>
        <w:spacing w:before="480" w:after="240" w:line="276" w:lineRule="auto"/>
        <w:ind w:left="425" w:hanging="425"/>
        <w:rPr>
          <w:rFonts w:cstheme="minorHAnsi"/>
          <w:b/>
          <w:bCs/>
        </w:rPr>
      </w:pPr>
      <w:bookmarkStart w:id="100" w:name="_Toc224647172"/>
      <w:r w:rsidRPr="00676940">
        <w:rPr>
          <w:rFonts w:asciiTheme="minorHAnsi" w:hAnsiTheme="minorHAnsi" w:cstheme="minorHAnsi"/>
          <w:b/>
          <w:color w:val="000000" w:themeColor="text1"/>
        </w:rPr>
        <w:t>Inne dokumenty obowiązujące w naborze</w:t>
      </w:r>
      <w:bookmarkEnd w:id="100"/>
    </w:p>
    <w:p w14:paraId="525FC909" w14:textId="2B8BBCAD" w:rsidR="004F2968" w:rsidRDefault="004F2968">
      <w:pPr>
        <w:pStyle w:val="Akapitzlist"/>
        <w:numPr>
          <w:ilvl w:val="0"/>
          <w:numId w:val="17"/>
        </w:numPr>
        <w:spacing w:after="0" w:line="276" w:lineRule="auto"/>
        <w:ind w:left="426" w:hanging="426"/>
        <w:rPr>
          <w:sz w:val="24"/>
          <w:szCs w:val="24"/>
        </w:rPr>
      </w:pPr>
      <w:r w:rsidRPr="00676940">
        <w:rPr>
          <w:sz w:val="24"/>
          <w:szCs w:val="24"/>
        </w:rPr>
        <w:t>Fundusze Europejskie dla Opolskiego na lata 2021-2027</w:t>
      </w:r>
      <w:r>
        <w:rPr>
          <w:sz w:val="24"/>
          <w:szCs w:val="24"/>
        </w:rPr>
        <w:t>.</w:t>
      </w:r>
    </w:p>
    <w:p w14:paraId="63E6C0F9" w14:textId="0834637D" w:rsidR="004F2968" w:rsidRDefault="004F2968">
      <w:pPr>
        <w:pStyle w:val="Akapitzlist"/>
        <w:numPr>
          <w:ilvl w:val="0"/>
          <w:numId w:val="17"/>
        </w:numPr>
        <w:spacing w:after="0" w:line="276" w:lineRule="auto"/>
        <w:ind w:left="426" w:hanging="426"/>
        <w:rPr>
          <w:sz w:val="24"/>
          <w:szCs w:val="24"/>
        </w:rPr>
      </w:pPr>
      <w:r w:rsidRPr="00676940">
        <w:rPr>
          <w:sz w:val="24"/>
          <w:szCs w:val="24"/>
        </w:rPr>
        <w:t>Szczegółowy Opis Priorytetów programu regionalnego Fundusze Europejskie dla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pPr>
        <w:pStyle w:val="Akapitzlist"/>
        <w:numPr>
          <w:ilvl w:val="0"/>
          <w:numId w:val="17"/>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41EBA47F" w:rsidR="004F2968" w:rsidRDefault="004F2968">
      <w:pPr>
        <w:pStyle w:val="Akapitzlist"/>
        <w:numPr>
          <w:ilvl w:val="0"/>
          <w:numId w:val="17"/>
        </w:numPr>
        <w:spacing w:after="0" w:line="276" w:lineRule="auto"/>
        <w:ind w:left="426" w:hanging="426"/>
        <w:rPr>
          <w:sz w:val="24"/>
          <w:szCs w:val="24"/>
        </w:rPr>
      </w:pPr>
      <w:r w:rsidRPr="00676940">
        <w:rPr>
          <w:sz w:val="24"/>
          <w:szCs w:val="24"/>
        </w:rPr>
        <w:t xml:space="preserve">Wytyczne dotyczące wyboru projektów na lata 2021-2027 </w:t>
      </w:r>
      <w:r w:rsidR="002D69D5" w:rsidRPr="00BB2DD4">
        <w:rPr>
          <w:rFonts w:cstheme="minorHAnsi"/>
          <w:sz w:val="24"/>
          <w:szCs w:val="24"/>
        </w:rPr>
        <w:t>z</w:t>
      </w:r>
      <w:r w:rsidR="002D69D5" w:rsidRPr="00BB2DD4">
        <w:t xml:space="preserve"> </w:t>
      </w:r>
      <w:r w:rsidR="002D69D5" w:rsidRPr="00BB2DD4">
        <w:rPr>
          <w:rFonts w:cstheme="minorHAnsi"/>
          <w:sz w:val="24"/>
          <w:szCs w:val="24"/>
        </w:rPr>
        <w:t>3 czerwca 2025 r.</w:t>
      </w:r>
    </w:p>
    <w:p w14:paraId="5648CB52" w14:textId="1FB01579" w:rsidR="002D69D5" w:rsidRPr="002D69D5" w:rsidRDefault="004F2968">
      <w:pPr>
        <w:pStyle w:val="Akapitzlist"/>
        <w:numPr>
          <w:ilvl w:val="0"/>
          <w:numId w:val="17"/>
        </w:numPr>
        <w:spacing w:after="0" w:line="276" w:lineRule="auto"/>
        <w:ind w:left="426" w:hanging="426"/>
        <w:rPr>
          <w:sz w:val="24"/>
          <w:szCs w:val="24"/>
        </w:rPr>
      </w:pPr>
      <w:r w:rsidRPr="002D69D5">
        <w:rPr>
          <w:sz w:val="24"/>
          <w:szCs w:val="24"/>
        </w:rPr>
        <w:t>Wytyczne dotyczące kwalifikowalności wydatków na lata 2021-2027 z</w:t>
      </w:r>
      <w:r w:rsidR="002D69D5" w:rsidRPr="00BB2DD4">
        <w:rPr>
          <w:rFonts w:cstheme="minorHAnsi"/>
          <w:sz w:val="24"/>
          <w:szCs w:val="24"/>
        </w:rPr>
        <w:t xml:space="preserve"> 14 marca 2025</w:t>
      </w:r>
      <w:r w:rsidR="002D69D5">
        <w:rPr>
          <w:rFonts w:cstheme="minorHAnsi"/>
          <w:sz w:val="24"/>
          <w:szCs w:val="24"/>
        </w:rPr>
        <w:t xml:space="preserve"> r. </w:t>
      </w:r>
    </w:p>
    <w:p w14:paraId="054E2AEF" w14:textId="7B41DACE" w:rsidR="004F2968" w:rsidRPr="002D69D5" w:rsidRDefault="004F2968">
      <w:pPr>
        <w:pStyle w:val="Akapitzlist"/>
        <w:numPr>
          <w:ilvl w:val="0"/>
          <w:numId w:val="17"/>
        </w:numPr>
        <w:spacing w:after="0" w:line="276" w:lineRule="auto"/>
        <w:ind w:left="426" w:hanging="426"/>
        <w:rPr>
          <w:sz w:val="24"/>
          <w:szCs w:val="24"/>
        </w:rPr>
      </w:pPr>
      <w:r w:rsidRPr="002D69D5">
        <w:rPr>
          <w:sz w:val="24"/>
          <w:szCs w:val="24"/>
        </w:rPr>
        <w:t xml:space="preserve">Wytyczne dotyczące realizacji zasad równościowych w ramach funduszy unijnych na lata 2021-2027 z </w:t>
      </w:r>
      <w:r w:rsidR="002D69D5">
        <w:rPr>
          <w:sz w:val="24"/>
          <w:szCs w:val="24"/>
        </w:rPr>
        <w:t>10</w:t>
      </w:r>
      <w:r w:rsidRPr="002D69D5">
        <w:rPr>
          <w:sz w:val="24"/>
          <w:szCs w:val="24"/>
        </w:rPr>
        <w:t xml:space="preserve"> </w:t>
      </w:r>
      <w:r w:rsidR="002D69D5">
        <w:rPr>
          <w:sz w:val="24"/>
          <w:szCs w:val="24"/>
        </w:rPr>
        <w:t>marca</w:t>
      </w:r>
      <w:r w:rsidRPr="002D69D5">
        <w:rPr>
          <w:sz w:val="24"/>
          <w:szCs w:val="24"/>
        </w:rPr>
        <w:t xml:space="preserve"> 202</w:t>
      </w:r>
      <w:r w:rsidR="002D69D5">
        <w:rPr>
          <w:sz w:val="24"/>
          <w:szCs w:val="24"/>
        </w:rPr>
        <w:t>5</w:t>
      </w:r>
      <w:r w:rsidRPr="002D69D5">
        <w:rPr>
          <w:sz w:val="24"/>
          <w:szCs w:val="24"/>
        </w:rPr>
        <w:t xml:space="preserve"> r.</w:t>
      </w:r>
    </w:p>
    <w:p w14:paraId="5AAE9FA6" w14:textId="0A1EE103" w:rsidR="004F2968" w:rsidRDefault="004F2968">
      <w:pPr>
        <w:pStyle w:val="Akapitzlist"/>
        <w:numPr>
          <w:ilvl w:val="0"/>
          <w:numId w:val="17"/>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06EF1075" w:rsidR="004F2968" w:rsidRDefault="004F2968">
      <w:pPr>
        <w:pStyle w:val="Akapitzlist"/>
        <w:numPr>
          <w:ilvl w:val="0"/>
          <w:numId w:val="17"/>
        </w:numPr>
        <w:spacing w:after="0" w:line="276" w:lineRule="auto"/>
        <w:ind w:left="426" w:hanging="426"/>
        <w:rPr>
          <w:sz w:val="24"/>
          <w:szCs w:val="24"/>
        </w:rPr>
      </w:pPr>
      <w:r w:rsidRPr="00676940">
        <w:rPr>
          <w:sz w:val="24"/>
          <w:szCs w:val="24"/>
        </w:rPr>
        <w:t xml:space="preserve">Wytyczne dotyczące monitorowania postępu rzeczowego realizacji programów na lata 2021-2027 z </w:t>
      </w:r>
      <w:r w:rsidR="002D69D5">
        <w:rPr>
          <w:sz w:val="24"/>
          <w:szCs w:val="24"/>
        </w:rPr>
        <w:t>2</w:t>
      </w:r>
      <w:r w:rsidRPr="00676940">
        <w:rPr>
          <w:sz w:val="24"/>
          <w:szCs w:val="24"/>
        </w:rPr>
        <w:t xml:space="preserve">2 </w:t>
      </w:r>
      <w:r w:rsidR="002D69D5">
        <w:rPr>
          <w:sz w:val="24"/>
          <w:szCs w:val="24"/>
        </w:rPr>
        <w:t xml:space="preserve">września </w:t>
      </w:r>
      <w:r w:rsidRPr="00676940">
        <w:rPr>
          <w:sz w:val="24"/>
          <w:szCs w:val="24"/>
        </w:rPr>
        <w:t>202</w:t>
      </w:r>
      <w:r w:rsidR="002D69D5">
        <w:rPr>
          <w:sz w:val="24"/>
          <w:szCs w:val="24"/>
        </w:rPr>
        <w:t>5</w:t>
      </w:r>
      <w:r w:rsidRPr="00676940">
        <w:rPr>
          <w:sz w:val="24"/>
          <w:szCs w:val="24"/>
        </w:rPr>
        <w:t xml:space="preserve"> r.</w:t>
      </w:r>
    </w:p>
    <w:p w14:paraId="0B2D0F04" w14:textId="7B118E5F" w:rsidR="004F2968" w:rsidRDefault="004F2968">
      <w:pPr>
        <w:pStyle w:val="Akapitzlist"/>
        <w:numPr>
          <w:ilvl w:val="0"/>
          <w:numId w:val="17"/>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pPr>
        <w:pStyle w:val="Akapitzlist"/>
        <w:numPr>
          <w:ilvl w:val="0"/>
          <w:numId w:val="17"/>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pPr>
        <w:pStyle w:val="Akapitzlist"/>
        <w:numPr>
          <w:ilvl w:val="0"/>
          <w:numId w:val="17"/>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2BB6D856" w14:textId="3369DB85" w:rsidR="00D674B1" w:rsidRDefault="00D674B1">
      <w:pPr>
        <w:pStyle w:val="Akapitzlist"/>
        <w:numPr>
          <w:ilvl w:val="0"/>
          <w:numId w:val="17"/>
        </w:numPr>
        <w:spacing w:after="0" w:line="276" w:lineRule="auto"/>
        <w:ind w:left="426" w:hanging="426"/>
        <w:rPr>
          <w:sz w:val="24"/>
          <w:szCs w:val="24"/>
        </w:rPr>
      </w:pPr>
      <w:r w:rsidRPr="00D90091">
        <w:rPr>
          <w:sz w:val="24"/>
          <w:szCs w:val="24"/>
        </w:rPr>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r w:rsidR="002D69D5">
        <w:rPr>
          <w:sz w:val="24"/>
          <w:szCs w:val="24"/>
        </w:rPr>
        <w:t xml:space="preserve"> z marca 2025 r.</w:t>
      </w:r>
    </w:p>
    <w:p w14:paraId="1AF64B3D" w14:textId="77777777" w:rsidR="002D69D5" w:rsidRPr="00BB2DD4" w:rsidRDefault="002D69D5">
      <w:pPr>
        <w:pStyle w:val="Akapitzlist"/>
        <w:numPr>
          <w:ilvl w:val="0"/>
          <w:numId w:val="17"/>
        </w:numPr>
        <w:spacing w:after="0" w:line="276" w:lineRule="auto"/>
        <w:ind w:left="426" w:hanging="426"/>
        <w:rPr>
          <w:rFonts w:cstheme="minorHAnsi"/>
          <w:sz w:val="24"/>
          <w:szCs w:val="24"/>
        </w:rPr>
      </w:pPr>
      <w:r w:rsidRPr="00BB2DD4">
        <w:rPr>
          <w:rFonts w:cstheme="minorHAnsi"/>
          <w:sz w:val="24"/>
          <w:szCs w:val="24"/>
        </w:rPr>
        <w:t>Księga Tożsamości Wizualnej marki Fundusze Europejskie 2021-2027 ze stycznia 2024</w:t>
      </w:r>
      <w:r w:rsidRPr="00BB2DD4">
        <w:rPr>
          <w:rFonts w:cstheme="minorHAnsi"/>
        </w:rPr>
        <w:t xml:space="preserve"> r.</w:t>
      </w:r>
    </w:p>
    <w:p w14:paraId="75B1294A" w14:textId="77777777" w:rsidR="002D69D5" w:rsidRPr="00BB2DD4" w:rsidRDefault="002D69D5">
      <w:pPr>
        <w:pStyle w:val="Akapitzlist"/>
        <w:numPr>
          <w:ilvl w:val="0"/>
          <w:numId w:val="17"/>
        </w:numPr>
        <w:spacing w:after="0" w:line="276" w:lineRule="auto"/>
        <w:ind w:left="426" w:hanging="426"/>
        <w:rPr>
          <w:rFonts w:cstheme="minorHAnsi"/>
          <w:sz w:val="24"/>
          <w:szCs w:val="24"/>
        </w:rPr>
      </w:pPr>
      <w:r w:rsidRPr="00BB2DD4">
        <w:rPr>
          <w:rFonts w:cstheme="minorHAnsi"/>
          <w:sz w:val="24"/>
          <w:szCs w:val="24"/>
        </w:rPr>
        <w:t xml:space="preserve">Rozporządzenie Komisji (UE) 2023/2831 z dnia 13 grudnia 2023 r. w sprawie stosowania art. 107 i 108 Traktatu o funkcjonowaniu Unii Europejskiej do pomocy de </w:t>
      </w:r>
      <w:proofErr w:type="spellStart"/>
      <w:r w:rsidRPr="00BB2DD4">
        <w:rPr>
          <w:rFonts w:cstheme="minorHAnsi"/>
          <w:sz w:val="24"/>
          <w:szCs w:val="24"/>
        </w:rPr>
        <w:t>minimis</w:t>
      </w:r>
      <w:proofErr w:type="spellEnd"/>
      <w:r w:rsidRPr="00BB2DD4">
        <w:rPr>
          <w:rFonts w:cstheme="minorHAnsi"/>
          <w:sz w:val="24"/>
          <w:szCs w:val="24"/>
        </w:rPr>
        <w:t xml:space="preserve"> (Dz. U. UE. L. z 2023/2831 z 15.12.2023).</w:t>
      </w:r>
    </w:p>
    <w:p w14:paraId="3C831632" w14:textId="3EE71391" w:rsidR="002D69D5" w:rsidRPr="002D69D5" w:rsidRDefault="002D69D5">
      <w:pPr>
        <w:pStyle w:val="Akapitzlist"/>
        <w:numPr>
          <w:ilvl w:val="0"/>
          <w:numId w:val="17"/>
        </w:numPr>
        <w:spacing w:after="0" w:line="276" w:lineRule="auto"/>
        <w:ind w:left="425" w:hanging="425"/>
        <w:contextualSpacing w:val="0"/>
        <w:rPr>
          <w:rFonts w:cstheme="minorHAnsi"/>
          <w:sz w:val="24"/>
          <w:szCs w:val="24"/>
        </w:rPr>
      </w:pPr>
      <w:r w:rsidRPr="00BB2DD4">
        <w:rPr>
          <w:rFonts w:cstheme="minorHAnsi"/>
          <w:sz w:val="24"/>
          <w:szCs w:val="24"/>
        </w:rPr>
        <w:t xml:space="preserve">Rozporządzenie Ministra Funduszy i Polityki Regionalnej z dnia 17 kwietnia 2024 r. </w:t>
      </w:r>
      <w:r w:rsidRPr="00BB2DD4">
        <w:rPr>
          <w:rFonts w:cstheme="minorHAnsi"/>
          <w:sz w:val="24"/>
          <w:szCs w:val="24"/>
        </w:rPr>
        <w:br/>
        <w:t xml:space="preserve">w sprawie udzielania pomocy de </w:t>
      </w:r>
      <w:proofErr w:type="spellStart"/>
      <w:r w:rsidRPr="00BB2DD4">
        <w:rPr>
          <w:rFonts w:cstheme="minorHAnsi"/>
          <w:sz w:val="24"/>
          <w:szCs w:val="24"/>
        </w:rPr>
        <w:t>minimis</w:t>
      </w:r>
      <w:proofErr w:type="spellEnd"/>
      <w:r w:rsidRPr="00BB2DD4">
        <w:rPr>
          <w:rFonts w:cstheme="minorHAnsi"/>
          <w:sz w:val="24"/>
          <w:szCs w:val="24"/>
        </w:rPr>
        <w:t xml:space="preserve"> w ramach regionalnych programów na lata 2021–2027 (Dz. U. z 2024 r. poz. 598).</w:t>
      </w:r>
    </w:p>
    <w:p w14:paraId="0D4DA5FA" w14:textId="63975B79" w:rsidR="00DA43A5" w:rsidRDefault="00D674B1">
      <w:pPr>
        <w:pStyle w:val="Akapitzlist"/>
        <w:numPr>
          <w:ilvl w:val="0"/>
          <w:numId w:val="17"/>
        </w:numPr>
        <w:spacing w:after="0" w:line="276" w:lineRule="auto"/>
        <w:ind w:left="426" w:hanging="426"/>
        <w:rPr>
          <w:sz w:val="24"/>
          <w:szCs w:val="24"/>
        </w:rPr>
      </w:pPr>
      <w:r>
        <w:rPr>
          <w:sz w:val="24"/>
          <w:szCs w:val="24"/>
        </w:rPr>
        <w:t xml:space="preserve">Podział </w:t>
      </w:r>
      <w:proofErr w:type="spellStart"/>
      <w:r>
        <w:rPr>
          <w:sz w:val="24"/>
          <w:szCs w:val="24"/>
        </w:rPr>
        <w:t>subregionalny</w:t>
      </w:r>
      <w:proofErr w:type="spellEnd"/>
      <w:r>
        <w:rPr>
          <w:sz w:val="24"/>
          <w:szCs w:val="24"/>
        </w:rPr>
        <w:t xml:space="preserve"> w województwie opolskim – mapa.</w:t>
      </w:r>
    </w:p>
    <w:p w14:paraId="2302C2D4" w14:textId="120370DB" w:rsidR="0068753E" w:rsidRPr="00DA43A5" w:rsidRDefault="0068753E">
      <w:pPr>
        <w:pStyle w:val="Akapitzlist"/>
        <w:numPr>
          <w:ilvl w:val="0"/>
          <w:numId w:val="17"/>
        </w:numPr>
        <w:spacing w:after="0" w:line="276" w:lineRule="auto"/>
        <w:ind w:left="426" w:hanging="426"/>
        <w:rPr>
          <w:sz w:val="24"/>
          <w:szCs w:val="24"/>
        </w:rPr>
      </w:pPr>
      <w:r>
        <w:rPr>
          <w:sz w:val="24"/>
          <w:szCs w:val="24"/>
        </w:rPr>
        <w:t xml:space="preserve">Przewodnik po Projektach Hybrydowych 2021-2027 – podstawowe informacje o łączeniu formuły PPP z Funduszami UE, opracowanie </w:t>
      </w:r>
      <w:proofErr w:type="spellStart"/>
      <w:r>
        <w:rPr>
          <w:sz w:val="24"/>
          <w:szCs w:val="24"/>
        </w:rPr>
        <w:t>MFiPR</w:t>
      </w:r>
      <w:proofErr w:type="spellEnd"/>
      <w:r>
        <w:rPr>
          <w:sz w:val="24"/>
          <w:szCs w:val="24"/>
        </w:rPr>
        <w:t>, 30.12.2025 r</w:t>
      </w:r>
    </w:p>
    <w:p w14:paraId="5EB0C0BE" w14:textId="4B73375D" w:rsidR="004F2968" w:rsidRPr="00676940" w:rsidRDefault="004F2968" w:rsidP="0068753E">
      <w:pPr>
        <w:pStyle w:val="Nagwek1"/>
        <w:numPr>
          <w:ilvl w:val="0"/>
          <w:numId w:val="1"/>
        </w:numPr>
        <w:spacing w:before="480" w:after="240" w:line="276" w:lineRule="auto"/>
        <w:ind w:left="425" w:hanging="425"/>
        <w:rPr>
          <w:rFonts w:cstheme="minorHAnsi"/>
          <w:b/>
          <w:bCs/>
        </w:rPr>
      </w:pPr>
      <w:bookmarkStart w:id="101" w:name="_Toc224647173"/>
      <w:r w:rsidRPr="00676940">
        <w:rPr>
          <w:rFonts w:asciiTheme="minorHAnsi" w:hAnsiTheme="minorHAnsi" w:cstheme="minorHAnsi"/>
          <w:b/>
          <w:color w:val="000000" w:themeColor="text1"/>
        </w:rPr>
        <w:lastRenderedPageBreak/>
        <w:t>Uwagi końcowe</w:t>
      </w:r>
      <w:bookmarkEnd w:id="101"/>
    </w:p>
    <w:p w14:paraId="3DB0C938" w14:textId="22D4095F" w:rsidR="001E640B" w:rsidRPr="00676940" w:rsidRDefault="001E640B" w:rsidP="00D04D04">
      <w:pPr>
        <w:spacing w:after="6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17A0E5E3" w14:textId="77777777" w:rsidR="00786A73" w:rsidRDefault="00786A73" w:rsidP="0051304D"/>
    <w:p w14:paraId="3D29B8AD" w14:textId="77777777" w:rsidR="001E640B" w:rsidRDefault="001E640B" w:rsidP="0051304D"/>
    <w:p w14:paraId="52E6D85F" w14:textId="77777777" w:rsidR="00786A73" w:rsidRPr="00E87344" w:rsidRDefault="00786A73" w:rsidP="0051304D"/>
    <w:sectPr w:rsidR="00786A73" w:rsidRPr="00E87344" w:rsidSect="00126CAB">
      <w:headerReference w:type="default" r:id="rId17"/>
      <w:footerReference w:type="even" r:id="rId18"/>
      <w:footerReference w:type="default" r:id="rId19"/>
      <w:headerReference w:type="first" r:id="rId20"/>
      <w:footerReference w:type="first" r:id="rId21"/>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F2EA" w14:textId="77777777" w:rsidR="00181AE4" w:rsidRDefault="00181AE4" w:rsidP="00F10DFC">
      <w:pPr>
        <w:spacing w:after="0" w:line="240" w:lineRule="auto"/>
      </w:pPr>
      <w:r>
        <w:separator/>
      </w:r>
    </w:p>
  </w:endnote>
  <w:endnote w:type="continuationSeparator" w:id="0">
    <w:p w14:paraId="5CA6A0EA" w14:textId="77777777" w:rsidR="00181AE4" w:rsidRDefault="00181AE4"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1BC4" w14:textId="77777777" w:rsidR="00181AE4" w:rsidRDefault="00181AE4" w:rsidP="00F10DFC">
      <w:pPr>
        <w:spacing w:after="0" w:line="240" w:lineRule="auto"/>
      </w:pPr>
      <w:r>
        <w:separator/>
      </w:r>
    </w:p>
  </w:footnote>
  <w:footnote w:type="continuationSeparator" w:id="0">
    <w:p w14:paraId="5EABFB24" w14:textId="77777777" w:rsidR="00181AE4" w:rsidRDefault="00181AE4" w:rsidP="00F10DFC">
      <w:pPr>
        <w:spacing w:after="0" w:line="240" w:lineRule="auto"/>
      </w:pPr>
      <w:r>
        <w:continuationSeparator/>
      </w:r>
    </w:p>
  </w:footnote>
  <w:footnote w:id="1">
    <w:p w14:paraId="33982333" w14:textId="302F2F93" w:rsidR="00A3738D" w:rsidRDefault="00A3738D">
      <w:pPr>
        <w:pStyle w:val="Tekstprzypisudolnego"/>
      </w:pPr>
      <w:r>
        <w:rPr>
          <w:rStyle w:val="Odwoanieprzypisudolnego"/>
        </w:rPr>
        <w:footnoteRef/>
      </w:r>
      <w:r>
        <w:t xml:space="preserve"> </w:t>
      </w:r>
      <w:r w:rsidRPr="00A3738D">
        <w:rPr>
          <w:rFonts w:ascii="Calibri" w:hAnsi="Calibri" w:cs="Calibri"/>
          <w:sz w:val="22"/>
          <w:szCs w:val="22"/>
        </w:rPr>
        <w:t xml:space="preserve">Poprzez budynek zabytkowy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w:t>
      </w:r>
    </w:p>
  </w:footnote>
  <w:footnote w:id="2">
    <w:p w14:paraId="268BF383" w14:textId="1A999984" w:rsidR="009E2338" w:rsidRPr="009E2338" w:rsidRDefault="009E2338">
      <w:pPr>
        <w:pStyle w:val="Tekstprzypisudolnego"/>
        <w:rPr>
          <w:sz w:val="22"/>
          <w:szCs w:val="22"/>
        </w:rPr>
      </w:pPr>
      <w:r w:rsidRPr="009E2338">
        <w:rPr>
          <w:rStyle w:val="Odwoanieprzypisudolnego"/>
          <w:sz w:val="22"/>
          <w:szCs w:val="22"/>
        </w:rPr>
        <w:footnoteRef/>
      </w:r>
      <w:r w:rsidRPr="009E2338">
        <w:rPr>
          <w:sz w:val="22"/>
          <w:szCs w:val="22"/>
        </w:rPr>
        <w:t xml:space="preserve"> </w:t>
      </w:r>
      <w:r w:rsidRPr="00927D50">
        <w:rPr>
          <w:rFonts w:ascii="Calibri" w:hAnsi="Calibri" w:cs="Calibri"/>
          <w:iCs/>
          <w:sz w:val="22"/>
          <w:szCs w:val="22"/>
        </w:rPr>
        <w:t>Należy przyjąć, że do obliczania progu 20% wydajności instalacji uwzględnia się ilość energii elektrycznej, wprowadzanej do sieci i nie zużytej lub nie rozliczonej w odniesieniu do energii pobranej z sieci w danym roku przez Wnioskodawcę.</w:t>
      </w:r>
    </w:p>
  </w:footnote>
  <w:footnote w:id="3">
    <w:p w14:paraId="0C83C2C8" w14:textId="68591B97" w:rsidR="0098073C" w:rsidRDefault="0098073C">
      <w:pPr>
        <w:pStyle w:val="Tekstprzypisudolnego"/>
      </w:pPr>
      <w:r>
        <w:rPr>
          <w:rStyle w:val="Odwoanieprzypisudolnego"/>
        </w:rPr>
        <w:footnoteRef/>
      </w:r>
      <w:r>
        <w:t xml:space="preserve"> Do </w:t>
      </w:r>
      <w:r w:rsidR="003F2936">
        <w:t>uwzględnienia</w:t>
      </w:r>
      <w:r>
        <w:t>: Załącznik nr 11 do niniejszego Regulaminu – Przewodnik po Projektach Hybrydowych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31065858" w:rsidR="009A6093" w:rsidRDefault="009A6093" w:rsidP="009F01C3">
    <w:pPr>
      <w:pStyle w:val="Nagwek"/>
    </w:pPr>
    <w:r>
      <w:t xml:space="preserve">Załącznik nr 1 do Uchwały </w:t>
    </w:r>
    <w:r w:rsidR="001E3098">
      <w:t>5019</w:t>
    </w:r>
    <w:r>
      <w:t>/202</w:t>
    </w:r>
    <w:r w:rsidR="005B479C">
      <w:t>6</w:t>
    </w:r>
  </w:p>
  <w:p w14:paraId="1CD482E1" w14:textId="77777777" w:rsidR="009A6093" w:rsidRDefault="009A6093" w:rsidP="009F01C3">
    <w:pPr>
      <w:pStyle w:val="Nagwek"/>
    </w:pPr>
    <w:r>
      <w:t xml:space="preserve">Zarządu Województwa Opolskiego </w:t>
    </w:r>
  </w:p>
  <w:p w14:paraId="1FADC463" w14:textId="01105AE5" w:rsidR="009A6093" w:rsidRDefault="009A6093" w:rsidP="009F01C3">
    <w:pPr>
      <w:pStyle w:val="Nagwek"/>
    </w:pPr>
    <w:r>
      <w:t xml:space="preserve">z </w:t>
    </w:r>
    <w:r w:rsidR="00C22734">
      <w:t xml:space="preserve">dnia </w:t>
    </w:r>
    <w:r w:rsidR="001E3098">
      <w:t xml:space="preserve">23 </w:t>
    </w:r>
    <w:r w:rsidR="005B479C">
      <w:t>marca</w:t>
    </w:r>
    <w:r w:rsidR="00845C19">
      <w:t xml:space="preserve"> </w:t>
    </w:r>
    <w:r>
      <w:t>202</w:t>
    </w:r>
    <w:r w:rsidR="005B479C">
      <w:t>6</w:t>
    </w:r>
    <w:r>
      <w:t xml:space="preserve"> r.</w:t>
    </w:r>
  </w:p>
  <w:p w14:paraId="6853CADA" w14:textId="77777777" w:rsidR="009A6093" w:rsidRDefault="009A6093" w:rsidP="00F9595B">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E3"/>
    <w:multiLevelType w:val="hybridMultilevel"/>
    <w:tmpl w:val="661E114C"/>
    <w:lvl w:ilvl="0" w:tplc="3110B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4374F7"/>
    <w:multiLevelType w:val="hybridMultilevel"/>
    <w:tmpl w:val="152C8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6B3F00"/>
    <w:multiLevelType w:val="hybridMultilevel"/>
    <w:tmpl w:val="26F29F98"/>
    <w:lvl w:ilvl="0" w:tplc="7BFE3488">
      <w:start w:val="1"/>
      <w:numFmt w:val="bullet"/>
      <w:lvlText w:val="-"/>
      <w:lvlJc w:val="left"/>
      <w:pPr>
        <w:ind w:left="720" w:hanging="360"/>
      </w:pPr>
      <w:rPr>
        <w:rFonts w:ascii="Courier New" w:hAnsi="Courier Ne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843AE"/>
    <w:multiLevelType w:val="hybridMultilevel"/>
    <w:tmpl w:val="40B257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DF0740"/>
    <w:multiLevelType w:val="hybridMultilevel"/>
    <w:tmpl w:val="8FCAD340"/>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B04CC"/>
    <w:multiLevelType w:val="hybridMultilevel"/>
    <w:tmpl w:val="137AB1D4"/>
    <w:lvl w:ilvl="0" w:tplc="A3F6B8BE">
      <w:start w:val="1"/>
      <w:numFmt w:val="decimal"/>
      <w:lvlText w:val="%1."/>
      <w:lvlJc w:val="left"/>
      <w:pPr>
        <w:ind w:left="72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86718"/>
    <w:multiLevelType w:val="hybridMultilevel"/>
    <w:tmpl w:val="A7305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4E09FB"/>
    <w:multiLevelType w:val="hybridMultilevel"/>
    <w:tmpl w:val="352A14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1A72C0"/>
    <w:multiLevelType w:val="hybridMultilevel"/>
    <w:tmpl w:val="9F8097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91A5065"/>
    <w:multiLevelType w:val="hybridMultilevel"/>
    <w:tmpl w:val="F238E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17056"/>
    <w:multiLevelType w:val="hybridMultilevel"/>
    <w:tmpl w:val="41AE2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F3BF6"/>
    <w:multiLevelType w:val="hybridMultilevel"/>
    <w:tmpl w:val="FDB6B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605C08"/>
    <w:multiLevelType w:val="hybridMultilevel"/>
    <w:tmpl w:val="D814110A"/>
    <w:lvl w:ilvl="0" w:tplc="8E1EB5BA">
      <w:start w:val="1"/>
      <w:numFmt w:val="bullet"/>
      <w:lvlText w:val=""/>
      <w:lvlJc w:val="left"/>
      <w:pPr>
        <w:ind w:left="1158" w:hanging="360"/>
      </w:pPr>
      <w:rPr>
        <w:rFonts w:ascii="Symbol" w:hAnsi="Symbol" w:hint="default"/>
      </w:rPr>
    </w:lvl>
    <w:lvl w:ilvl="1" w:tplc="04150003" w:tentative="1">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25"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C26805"/>
    <w:multiLevelType w:val="hybridMultilevel"/>
    <w:tmpl w:val="B91C1D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F02342"/>
    <w:multiLevelType w:val="hybridMultilevel"/>
    <w:tmpl w:val="84BC9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3326148">
    <w:abstractNumId w:val="4"/>
  </w:num>
  <w:num w:numId="2" w16cid:durableId="6710788">
    <w:abstractNumId w:val="1"/>
  </w:num>
  <w:num w:numId="3" w16cid:durableId="419717695">
    <w:abstractNumId w:val="31"/>
  </w:num>
  <w:num w:numId="4" w16cid:durableId="511262396">
    <w:abstractNumId w:val="16"/>
  </w:num>
  <w:num w:numId="5" w16cid:durableId="119880091">
    <w:abstractNumId w:val="21"/>
  </w:num>
  <w:num w:numId="6" w16cid:durableId="1714229058">
    <w:abstractNumId w:val="22"/>
  </w:num>
  <w:num w:numId="7" w16cid:durableId="1395660372">
    <w:abstractNumId w:val="18"/>
  </w:num>
  <w:num w:numId="8" w16cid:durableId="1647592150">
    <w:abstractNumId w:val="8"/>
  </w:num>
  <w:num w:numId="9" w16cid:durableId="429669190">
    <w:abstractNumId w:val="30"/>
  </w:num>
  <w:num w:numId="10" w16cid:durableId="1422019764">
    <w:abstractNumId w:val="13"/>
  </w:num>
  <w:num w:numId="11" w16cid:durableId="1589729469">
    <w:abstractNumId w:val="6"/>
  </w:num>
  <w:num w:numId="12" w16cid:durableId="492992399">
    <w:abstractNumId w:val="12"/>
  </w:num>
  <w:num w:numId="13" w16cid:durableId="1560243268">
    <w:abstractNumId w:val="25"/>
  </w:num>
  <w:num w:numId="14" w16cid:durableId="67119119">
    <w:abstractNumId w:val="28"/>
  </w:num>
  <w:num w:numId="15" w16cid:durableId="525869755">
    <w:abstractNumId w:val="9"/>
  </w:num>
  <w:num w:numId="16" w16cid:durableId="196625547">
    <w:abstractNumId w:val="19"/>
  </w:num>
  <w:num w:numId="17" w16cid:durableId="1052384883">
    <w:abstractNumId w:val="26"/>
  </w:num>
  <w:num w:numId="18" w16cid:durableId="1421413557">
    <w:abstractNumId w:val="24"/>
  </w:num>
  <w:num w:numId="19" w16cid:durableId="1043365547">
    <w:abstractNumId w:val="17"/>
  </w:num>
  <w:num w:numId="20" w16cid:durableId="673071793">
    <w:abstractNumId w:val="2"/>
  </w:num>
  <w:num w:numId="21" w16cid:durableId="1137988676">
    <w:abstractNumId w:val="29"/>
  </w:num>
  <w:num w:numId="22" w16cid:durableId="1065372961">
    <w:abstractNumId w:val="14"/>
  </w:num>
  <w:num w:numId="23" w16cid:durableId="1066151230">
    <w:abstractNumId w:val="27"/>
  </w:num>
  <w:num w:numId="24" w16cid:durableId="2145081647">
    <w:abstractNumId w:val="11"/>
  </w:num>
  <w:num w:numId="25" w16cid:durableId="614092581">
    <w:abstractNumId w:val="5"/>
  </w:num>
  <w:num w:numId="26" w16cid:durableId="1186476442">
    <w:abstractNumId w:val="7"/>
  </w:num>
  <w:num w:numId="27" w16cid:durableId="430249815">
    <w:abstractNumId w:val="3"/>
  </w:num>
  <w:num w:numId="28" w16cid:durableId="1130630432">
    <w:abstractNumId w:val="20"/>
  </w:num>
  <w:num w:numId="29" w16cid:durableId="2133396621">
    <w:abstractNumId w:val="10"/>
  </w:num>
  <w:num w:numId="30" w16cid:durableId="1823228620">
    <w:abstractNumId w:val="23"/>
  </w:num>
  <w:num w:numId="31" w16cid:durableId="933977691">
    <w:abstractNumId w:val="0"/>
  </w:num>
  <w:num w:numId="32" w16cid:durableId="65098517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05DB3"/>
    <w:rsid w:val="000119EF"/>
    <w:rsid w:val="000227A3"/>
    <w:rsid w:val="00024A46"/>
    <w:rsid w:val="00025ABC"/>
    <w:rsid w:val="0003259F"/>
    <w:rsid w:val="0003499F"/>
    <w:rsid w:val="00036074"/>
    <w:rsid w:val="000564D1"/>
    <w:rsid w:val="0006467A"/>
    <w:rsid w:val="000647B0"/>
    <w:rsid w:val="00065DD7"/>
    <w:rsid w:val="00072443"/>
    <w:rsid w:val="00085327"/>
    <w:rsid w:val="00086CE2"/>
    <w:rsid w:val="000A4176"/>
    <w:rsid w:val="000B0ADD"/>
    <w:rsid w:val="000E2036"/>
    <w:rsid w:val="000E72E3"/>
    <w:rsid w:val="001012A0"/>
    <w:rsid w:val="00106D4A"/>
    <w:rsid w:val="001172A3"/>
    <w:rsid w:val="00117831"/>
    <w:rsid w:val="00124D20"/>
    <w:rsid w:val="00126CAB"/>
    <w:rsid w:val="001309A5"/>
    <w:rsid w:val="0013583B"/>
    <w:rsid w:val="0014241C"/>
    <w:rsid w:val="001432DB"/>
    <w:rsid w:val="00144A40"/>
    <w:rsid w:val="001468A6"/>
    <w:rsid w:val="001472BF"/>
    <w:rsid w:val="001574CC"/>
    <w:rsid w:val="00162163"/>
    <w:rsid w:val="00163D11"/>
    <w:rsid w:val="001669CD"/>
    <w:rsid w:val="00172722"/>
    <w:rsid w:val="001761D1"/>
    <w:rsid w:val="00181AE4"/>
    <w:rsid w:val="00182FD4"/>
    <w:rsid w:val="00193F2D"/>
    <w:rsid w:val="00196062"/>
    <w:rsid w:val="001A7264"/>
    <w:rsid w:val="001B0F09"/>
    <w:rsid w:val="001C7F44"/>
    <w:rsid w:val="001E2845"/>
    <w:rsid w:val="001E3098"/>
    <w:rsid w:val="001E4D30"/>
    <w:rsid w:val="001E640B"/>
    <w:rsid w:val="001F0111"/>
    <w:rsid w:val="001F2554"/>
    <w:rsid w:val="002019DE"/>
    <w:rsid w:val="0020558E"/>
    <w:rsid w:val="002056EE"/>
    <w:rsid w:val="00230BFA"/>
    <w:rsid w:val="002332A3"/>
    <w:rsid w:val="00244690"/>
    <w:rsid w:val="00247662"/>
    <w:rsid w:val="00250009"/>
    <w:rsid w:val="002561E1"/>
    <w:rsid w:val="00263D32"/>
    <w:rsid w:val="002671D2"/>
    <w:rsid w:val="0027138D"/>
    <w:rsid w:val="0027542A"/>
    <w:rsid w:val="0027656C"/>
    <w:rsid w:val="00282915"/>
    <w:rsid w:val="0029456D"/>
    <w:rsid w:val="002A6DD3"/>
    <w:rsid w:val="002B36F8"/>
    <w:rsid w:val="002B720F"/>
    <w:rsid w:val="002C7910"/>
    <w:rsid w:val="002D00E5"/>
    <w:rsid w:val="002D39F8"/>
    <w:rsid w:val="002D69D5"/>
    <w:rsid w:val="00301F53"/>
    <w:rsid w:val="00305985"/>
    <w:rsid w:val="00305BC2"/>
    <w:rsid w:val="00335CAB"/>
    <w:rsid w:val="00335D7D"/>
    <w:rsid w:val="003414EC"/>
    <w:rsid w:val="00345EFC"/>
    <w:rsid w:val="00357B3D"/>
    <w:rsid w:val="003713F1"/>
    <w:rsid w:val="00373758"/>
    <w:rsid w:val="00373F13"/>
    <w:rsid w:val="00377B39"/>
    <w:rsid w:val="00387821"/>
    <w:rsid w:val="00391A5B"/>
    <w:rsid w:val="00392C38"/>
    <w:rsid w:val="00394F02"/>
    <w:rsid w:val="00397E47"/>
    <w:rsid w:val="003A185D"/>
    <w:rsid w:val="003A1F75"/>
    <w:rsid w:val="003A7CE9"/>
    <w:rsid w:val="003A7F99"/>
    <w:rsid w:val="003B783B"/>
    <w:rsid w:val="003C074D"/>
    <w:rsid w:val="003C7D47"/>
    <w:rsid w:val="003D024B"/>
    <w:rsid w:val="003D10CE"/>
    <w:rsid w:val="003E0B78"/>
    <w:rsid w:val="003E2308"/>
    <w:rsid w:val="003F0938"/>
    <w:rsid w:val="003F2936"/>
    <w:rsid w:val="00400AD6"/>
    <w:rsid w:val="00410165"/>
    <w:rsid w:val="004106B9"/>
    <w:rsid w:val="00410E98"/>
    <w:rsid w:val="00413083"/>
    <w:rsid w:val="004157AE"/>
    <w:rsid w:val="0042179A"/>
    <w:rsid w:val="0043025B"/>
    <w:rsid w:val="0044676C"/>
    <w:rsid w:val="00446C57"/>
    <w:rsid w:val="00455AED"/>
    <w:rsid w:val="00455E8B"/>
    <w:rsid w:val="00457BE7"/>
    <w:rsid w:val="0046266A"/>
    <w:rsid w:val="0048729F"/>
    <w:rsid w:val="00493853"/>
    <w:rsid w:val="004958E0"/>
    <w:rsid w:val="004A45BB"/>
    <w:rsid w:val="004A699C"/>
    <w:rsid w:val="004B4A79"/>
    <w:rsid w:val="004C2B09"/>
    <w:rsid w:val="004C604F"/>
    <w:rsid w:val="004D01F5"/>
    <w:rsid w:val="004D124B"/>
    <w:rsid w:val="004E355A"/>
    <w:rsid w:val="004F2968"/>
    <w:rsid w:val="00503811"/>
    <w:rsid w:val="0050572E"/>
    <w:rsid w:val="00505EDB"/>
    <w:rsid w:val="005126F0"/>
    <w:rsid w:val="0051304D"/>
    <w:rsid w:val="0051431A"/>
    <w:rsid w:val="005155E3"/>
    <w:rsid w:val="00517CFE"/>
    <w:rsid w:val="00520D9B"/>
    <w:rsid w:val="00537E46"/>
    <w:rsid w:val="005450BC"/>
    <w:rsid w:val="00545FBB"/>
    <w:rsid w:val="00555E08"/>
    <w:rsid w:val="00560D98"/>
    <w:rsid w:val="005611DD"/>
    <w:rsid w:val="005651CC"/>
    <w:rsid w:val="00566023"/>
    <w:rsid w:val="00567A85"/>
    <w:rsid w:val="00571001"/>
    <w:rsid w:val="00574843"/>
    <w:rsid w:val="00583040"/>
    <w:rsid w:val="005873BE"/>
    <w:rsid w:val="00592070"/>
    <w:rsid w:val="00596F47"/>
    <w:rsid w:val="005A3460"/>
    <w:rsid w:val="005A4984"/>
    <w:rsid w:val="005A6AB6"/>
    <w:rsid w:val="005B2EBF"/>
    <w:rsid w:val="005B479C"/>
    <w:rsid w:val="005B677C"/>
    <w:rsid w:val="005B6ABE"/>
    <w:rsid w:val="005C0E6B"/>
    <w:rsid w:val="005D036B"/>
    <w:rsid w:val="005D068D"/>
    <w:rsid w:val="005D33F1"/>
    <w:rsid w:val="005D6D87"/>
    <w:rsid w:val="005E4347"/>
    <w:rsid w:val="005E4410"/>
    <w:rsid w:val="005F62B3"/>
    <w:rsid w:val="005F6A8C"/>
    <w:rsid w:val="006059C5"/>
    <w:rsid w:val="00606432"/>
    <w:rsid w:val="006124F3"/>
    <w:rsid w:val="0061489B"/>
    <w:rsid w:val="006158F7"/>
    <w:rsid w:val="006214E5"/>
    <w:rsid w:val="00634629"/>
    <w:rsid w:val="00635B6A"/>
    <w:rsid w:val="006377DE"/>
    <w:rsid w:val="00640113"/>
    <w:rsid w:val="00640EAD"/>
    <w:rsid w:val="006414F7"/>
    <w:rsid w:val="00654200"/>
    <w:rsid w:val="00656724"/>
    <w:rsid w:val="00663D9F"/>
    <w:rsid w:val="00671D3C"/>
    <w:rsid w:val="00676940"/>
    <w:rsid w:val="0068753E"/>
    <w:rsid w:val="0069229A"/>
    <w:rsid w:val="0069253A"/>
    <w:rsid w:val="00695AEE"/>
    <w:rsid w:val="00697845"/>
    <w:rsid w:val="006A2DD1"/>
    <w:rsid w:val="006A3F7A"/>
    <w:rsid w:val="006A748F"/>
    <w:rsid w:val="006B249B"/>
    <w:rsid w:val="006B3E6F"/>
    <w:rsid w:val="006B66DD"/>
    <w:rsid w:val="006B6952"/>
    <w:rsid w:val="006D00D7"/>
    <w:rsid w:val="006D18C7"/>
    <w:rsid w:val="006D3C0A"/>
    <w:rsid w:val="006E1A05"/>
    <w:rsid w:val="006E5882"/>
    <w:rsid w:val="006E759B"/>
    <w:rsid w:val="006F2BE6"/>
    <w:rsid w:val="006F2F1B"/>
    <w:rsid w:val="006F4890"/>
    <w:rsid w:val="00714F2E"/>
    <w:rsid w:val="00724871"/>
    <w:rsid w:val="00746B29"/>
    <w:rsid w:val="0075176F"/>
    <w:rsid w:val="00752A6C"/>
    <w:rsid w:val="00761A6D"/>
    <w:rsid w:val="00773A3E"/>
    <w:rsid w:val="00773A53"/>
    <w:rsid w:val="00780CEB"/>
    <w:rsid w:val="00784B51"/>
    <w:rsid w:val="00786A73"/>
    <w:rsid w:val="00791D98"/>
    <w:rsid w:val="007A615C"/>
    <w:rsid w:val="007B2588"/>
    <w:rsid w:val="007C4077"/>
    <w:rsid w:val="007C5F5C"/>
    <w:rsid w:val="007C7B7E"/>
    <w:rsid w:val="007D346E"/>
    <w:rsid w:val="007E0722"/>
    <w:rsid w:val="007F2BAC"/>
    <w:rsid w:val="00803131"/>
    <w:rsid w:val="00804EA9"/>
    <w:rsid w:val="008105BA"/>
    <w:rsid w:val="0081259C"/>
    <w:rsid w:val="00820F3D"/>
    <w:rsid w:val="00823E60"/>
    <w:rsid w:val="00831568"/>
    <w:rsid w:val="00845C19"/>
    <w:rsid w:val="00850C7A"/>
    <w:rsid w:val="0085198A"/>
    <w:rsid w:val="00865DA4"/>
    <w:rsid w:val="00884D8B"/>
    <w:rsid w:val="008A35EC"/>
    <w:rsid w:val="008A634F"/>
    <w:rsid w:val="008A7122"/>
    <w:rsid w:val="008A7266"/>
    <w:rsid w:val="008B2CAD"/>
    <w:rsid w:val="008B45D7"/>
    <w:rsid w:val="008B7C53"/>
    <w:rsid w:val="008C1EA3"/>
    <w:rsid w:val="008C2C39"/>
    <w:rsid w:val="008C3AF4"/>
    <w:rsid w:val="008C67BD"/>
    <w:rsid w:val="008D211C"/>
    <w:rsid w:val="008D5FAB"/>
    <w:rsid w:val="008F4134"/>
    <w:rsid w:val="008F7837"/>
    <w:rsid w:val="00900171"/>
    <w:rsid w:val="00901110"/>
    <w:rsid w:val="00904EAB"/>
    <w:rsid w:val="009052E1"/>
    <w:rsid w:val="00912F53"/>
    <w:rsid w:val="00914630"/>
    <w:rsid w:val="00922168"/>
    <w:rsid w:val="00923C93"/>
    <w:rsid w:val="00927D50"/>
    <w:rsid w:val="009328E5"/>
    <w:rsid w:val="00933EEA"/>
    <w:rsid w:val="009354EA"/>
    <w:rsid w:val="0094697F"/>
    <w:rsid w:val="009615AE"/>
    <w:rsid w:val="0096663B"/>
    <w:rsid w:val="00976200"/>
    <w:rsid w:val="0098073C"/>
    <w:rsid w:val="00984211"/>
    <w:rsid w:val="00984964"/>
    <w:rsid w:val="00986908"/>
    <w:rsid w:val="00986CF4"/>
    <w:rsid w:val="00990BF6"/>
    <w:rsid w:val="00992311"/>
    <w:rsid w:val="009941D8"/>
    <w:rsid w:val="00995DC2"/>
    <w:rsid w:val="009A2088"/>
    <w:rsid w:val="009A6093"/>
    <w:rsid w:val="009B0D9F"/>
    <w:rsid w:val="009B5E7B"/>
    <w:rsid w:val="009C5A02"/>
    <w:rsid w:val="009D1615"/>
    <w:rsid w:val="009D42AE"/>
    <w:rsid w:val="009E2338"/>
    <w:rsid w:val="009E5DB1"/>
    <w:rsid w:val="009F01C3"/>
    <w:rsid w:val="00A00212"/>
    <w:rsid w:val="00A12A28"/>
    <w:rsid w:val="00A3738D"/>
    <w:rsid w:val="00A53348"/>
    <w:rsid w:val="00A544A5"/>
    <w:rsid w:val="00A6131B"/>
    <w:rsid w:val="00A63489"/>
    <w:rsid w:val="00A67B08"/>
    <w:rsid w:val="00A80880"/>
    <w:rsid w:val="00A846D1"/>
    <w:rsid w:val="00A867C8"/>
    <w:rsid w:val="00A963C0"/>
    <w:rsid w:val="00AA6646"/>
    <w:rsid w:val="00AB3CD4"/>
    <w:rsid w:val="00AB7794"/>
    <w:rsid w:val="00AC154E"/>
    <w:rsid w:val="00AC2CFE"/>
    <w:rsid w:val="00AC37F6"/>
    <w:rsid w:val="00AC636F"/>
    <w:rsid w:val="00AD427E"/>
    <w:rsid w:val="00AE6487"/>
    <w:rsid w:val="00B018A0"/>
    <w:rsid w:val="00B030D3"/>
    <w:rsid w:val="00B04EC2"/>
    <w:rsid w:val="00B06D28"/>
    <w:rsid w:val="00B17779"/>
    <w:rsid w:val="00B21A1D"/>
    <w:rsid w:val="00B22247"/>
    <w:rsid w:val="00B25234"/>
    <w:rsid w:val="00B304F1"/>
    <w:rsid w:val="00B30BEB"/>
    <w:rsid w:val="00B33EB7"/>
    <w:rsid w:val="00B376E0"/>
    <w:rsid w:val="00B37C7F"/>
    <w:rsid w:val="00B40691"/>
    <w:rsid w:val="00B40FFB"/>
    <w:rsid w:val="00B6413A"/>
    <w:rsid w:val="00B64393"/>
    <w:rsid w:val="00B676E8"/>
    <w:rsid w:val="00B74ECB"/>
    <w:rsid w:val="00B766F6"/>
    <w:rsid w:val="00B859FE"/>
    <w:rsid w:val="00B8656D"/>
    <w:rsid w:val="00B915E2"/>
    <w:rsid w:val="00BA1D2C"/>
    <w:rsid w:val="00BA25C2"/>
    <w:rsid w:val="00BA265D"/>
    <w:rsid w:val="00BA29C4"/>
    <w:rsid w:val="00BB0F51"/>
    <w:rsid w:val="00BC4803"/>
    <w:rsid w:val="00BE190D"/>
    <w:rsid w:val="00BE2992"/>
    <w:rsid w:val="00BE2BBC"/>
    <w:rsid w:val="00BE2E9C"/>
    <w:rsid w:val="00BE3508"/>
    <w:rsid w:val="00BE6E21"/>
    <w:rsid w:val="00BE7CB7"/>
    <w:rsid w:val="00BF1A41"/>
    <w:rsid w:val="00BF65E5"/>
    <w:rsid w:val="00C02EEC"/>
    <w:rsid w:val="00C0681B"/>
    <w:rsid w:val="00C10806"/>
    <w:rsid w:val="00C11D3A"/>
    <w:rsid w:val="00C13A75"/>
    <w:rsid w:val="00C21A4C"/>
    <w:rsid w:val="00C22734"/>
    <w:rsid w:val="00C265B9"/>
    <w:rsid w:val="00C3491C"/>
    <w:rsid w:val="00C353F0"/>
    <w:rsid w:val="00C413D5"/>
    <w:rsid w:val="00C53F29"/>
    <w:rsid w:val="00C64B98"/>
    <w:rsid w:val="00C75B79"/>
    <w:rsid w:val="00C81003"/>
    <w:rsid w:val="00C812C3"/>
    <w:rsid w:val="00C828FE"/>
    <w:rsid w:val="00C84300"/>
    <w:rsid w:val="00C86204"/>
    <w:rsid w:val="00CA1853"/>
    <w:rsid w:val="00CA2AD6"/>
    <w:rsid w:val="00CA599A"/>
    <w:rsid w:val="00CA7E5C"/>
    <w:rsid w:val="00CC260F"/>
    <w:rsid w:val="00CD5866"/>
    <w:rsid w:val="00CD70A0"/>
    <w:rsid w:val="00CE3E34"/>
    <w:rsid w:val="00CE4EBB"/>
    <w:rsid w:val="00CF5F1D"/>
    <w:rsid w:val="00D04D04"/>
    <w:rsid w:val="00D110D5"/>
    <w:rsid w:val="00D11C9C"/>
    <w:rsid w:val="00D150F3"/>
    <w:rsid w:val="00D31761"/>
    <w:rsid w:val="00D3367F"/>
    <w:rsid w:val="00D34411"/>
    <w:rsid w:val="00D449CC"/>
    <w:rsid w:val="00D50A98"/>
    <w:rsid w:val="00D50C6D"/>
    <w:rsid w:val="00D52254"/>
    <w:rsid w:val="00D674B1"/>
    <w:rsid w:val="00D77F68"/>
    <w:rsid w:val="00D85284"/>
    <w:rsid w:val="00D8634A"/>
    <w:rsid w:val="00D931B5"/>
    <w:rsid w:val="00D94417"/>
    <w:rsid w:val="00D9473D"/>
    <w:rsid w:val="00D96B8B"/>
    <w:rsid w:val="00D973F5"/>
    <w:rsid w:val="00DA0C58"/>
    <w:rsid w:val="00DA408B"/>
    <w:rsid w:val="00DA43A5"/>
    <w:rsid w:val="00DC065B"/>
    <w:rsid w:val="00DC4DFA"/>
    <w:rsid w:val="00DD1FA3"/>
    <w:rsid w:val="00DD33C4"/>
    <w:rsid w:val="00DD360D"/>
    <w:rsid w:val="00DD622E"/>
    <w:rsid w:val="00DD657E"/>
    <w:rsid w:val="00DE16F6"/>
    <w:rsid w:val="00DE2C1E"/>
    <w:rsid w:val="00DE4599"/>
    <w:rsid w:val="00DF0F1C"/>
    <w:rsid w:val="00E01A83"/>
    <w:rsid w:val="00E07867"/>
    <w:rsid w:val="00E17957"/>
    <w:rsid w:val="00E22DD0"/>
    <w:rsid w:val="00E23017"/>
    <w:rsid w:val="00E272AD"/>
    <w:rsid w:val="00E4122B"/>
    <w:rsid w:val="00E41C27"/>
    <w:rsid w:val="00E47B1F"/>
    <w:rsid w:val="00E56AAA"/>
    <w:rsid w:val="00E7098D"/>
    <w:rsid w:val="00E72CBC"/>
    <w:rsid w:val="00E772BB"/>
    <w:rsid w:val="00E8474C"/>
    <w:rsid w:val="00E87344"/>
    <w:rsid w:val="00EA7430"/>
    <w:rsid w:val="00EB64AD"/>
    <w:rsid w:val="00EC5D56"/>
    <w:rsid w:val="00ED0E6D"/>
    <w:rsid w:val="00ED37F0"/>
    <w:rsid w:val="00ED69F3"/>
    <w:rsid w:val="00ED723E"/>
    <w:rsid w:val="00EE1FA0"/>
    <w:rsid w:val="00EE5703"/>
    <w:rsid w:val="00EF7276"/>
    <w:rsid w:val="00EF7953"/>
    <w:rsid w:val="00F07699"/>
    <w:rsid w:val="00F10DFC"/>
    <w:rsid w:val="00F1519D"/>
    <w:rsid w:val="00F17F13"/>
    <w:rsid w:val="00F2055B"/>
    <w:rsid w:val="00F20F56"/>
    <w:rsid w:val="00F211CC"/>
    <w:rsid w:val="00F213FF"/>
    <w:rsid w:val="00F23C9F"/>
    <w:rsid w:val="00F2562D"/>
    <w:rsid w:val="00F3099E"/>
    <w:rsid w:val="00F4654C"/>
    <w:rsid w:val="00F5331F"/>
    <w:rsid w:val="00F56D76"/>
    <w:rsid w:val="00F61A0C"/>
    <w:rsid w:val="00F6412F"/>
    <w:rsid w:val="00F655B6"/>
    <w:rsid w:val="00F66881"/>
    <w:rsid w:val="00F7748D"/>
    <w:rsid w:val="00F82351"/>
    <w:rsid w:val="00F8319B"/>
    <w:rsid w:val="00F9595B"/>
    <w:rsid w:val="00F95B3E"/>
    <w:rsid w:val="00F9614F"/>
    <w:rsid w:val="00F97B78"/>
    <w:rsid w:val="00FA2B0B"/>
    <w:rsid w:val="00FA7D5C"/>
    <w:rsid w:val="00FC2770"/>
    <w:rsid w:val="00FC3F03"/>
    <w:rsid w:val="00FC4FC0"/>
    <w:rsid w:val="00FC78BF"/>
    <w:rsid w:val="00FD189A"/>
    <w:rsid w:val="00FD2088"/>
    <w:rsid w:val="00FD3903"/>
    <w:rsid w:val="00FD4287"/>
    <w:rsid w:val="00FD70AD"/>
    <w:rsid w:val="00FE1EB0"/>
    <w:rsid w:val="00FE3A60"/>
    <w:rsid w:val="00FF7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354EA"/>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character" w:styleId="UyteHipercze">
    <w:name w:val="FollowedHyperlink"/>
    <w:basedOn w:val="Domylnaczcionkaakapitu"/>
    <w:uiPriority w:val="99"/>
    <w:semiHidden/>
    <w:unhideWhenUsed/>
    <w:rsid w:val="00250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opolskie.pl/procedura-sluzaca-do-wlaczania-zapisow-konwencji-o-prawach-osob-niepelnosprawnych-kpon-do-praktyk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funduszeue.opolskie.pl/procedura-skladania-zgloszen-o-podejrzeniu-niezgodnosci-z-karta-praw-podstawowych-do-praktyk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f@opolskie.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europejskie.gov.pl" TargetMode="External"/><Relationship Id="rId5" Type="http://schemas.openxmlformats.org/officeDocument/2006/relationships/webSettings" Target="webSettings.xml"/><Relationship Id="rId15" Type="http://schemas.openxmlformats.org/officeDocument/2006/relationships/hyperlink" Target="mailto:info@opolskie.pl" TargetMode="External"/><Relationship Id="rId23" Type="http://schemas.openxmlformats.org/officeDocument/2006/relationships/theme" Target="theme/theme1.xml"/><Relationship Id="rId10" Type="http://schemas.openxmlformats.org/officeDocument/2006/relationships/hyperlink" Target="https://funduszeue.opolskie.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yperlink" Target="https://bip.brpo.gov.pl/pl/content/zlozenie-wniosku-do-rzecznika-praw-obywatelskich"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11890</Words>
  <Characters>71340</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Galla</cp:lastModifiedBy>
  <cp:revision>3</cp:revision>
  <cp:lastPrinted>2026-03-19T07:18:00Z</cp:lastPrinted>
  <dcterms:created xsi:type="dcterms:W3CDTF">2026-03-19T07:38:00Z</dcterms:created>
  <dcterms:modified xsi:type="dcterms:W3CDTF">2026-03-24T11:27:00Z</dcterms:modified>
</cp:coreProperties>
</file>