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B47B4E" w14:textId="77777777" w:rsidR="007E2797" w:rsidRPr="004B77D6" w:rsidRDefault="007E2797" w:rsidP="007E2797">
      <w:pPr>
        <w:jc w:val="right"/>
        <w:rPr>
          <w:rFonts w:ascii="Calibri" w:hAnsi="Calibri"/>
        </w:rPr>
      </w:pPr>
      <w:r w:rsidRPr="004B77D6">
        <w:rPr>
          <w:rFonts w:ascii="Calibri" w:hAnsi="Calibri"/>
          <w:noProof/>
        </w:rPr>
        <w:drawing>
          <wp:inline distT="0" distB="0" distL="0" distR="0" wp14:anchorId="4B065C22" wp14:editId="3283741B">
            <wp:extent cx="5772150" cy="587336"/>
            <wp:effectExtent l="0" t="0" r="0" b="3810"/>
            <wp:docPr id="14" name="Obraz 15" descr="Zestawienie logotypów: znak Funduszy Europejskich złożony z symbolu graficznego i nazwy Fundusze Europejskie dla Opolskiego, znak barw Rzeczypospolitej Polskiej złożony z barw RP oraz nazwy Rzeczpospolita Polska, znak Unii Europejskiej złożony z flagi UE i napisu Dofinansowane przez Unię Europejską, oficjalne logo promocyjne Województwa Opolskiego" title="Logotyp programu Fundusze Europejskie dla Opolskiego 2021-2027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Obraz 15" descr="Obraz przedstawiający ciąg znaków programu Fundusze Europejskie dla Opolskiego 2021-2027  " title="Logotyp programu Fundusze Europejskie dla Opolskiego 2021-2027  "/>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54973" cy="595764"/>
                    </a:xfrm>
                    <a:prstGeom prst="rect">
                      <a:avLst/>
                    </a:prstGeom>
                    <a:noFill/>
                    <a:ln>
                      <a:noFill/>
                    </a:ln>
                  </pic:spPr>
                </pic:pic>
              </a:graphicData>
            </a:graphic>
          </wp:inline>
        </w:drawing>
      </w:r>
    </w:p>
    <w:p w14:paraId="48EB282B" w14:textId="77777777" w:rsidR="007E2797" w:rsidRPr="004B77D6" w:rsidRDefault="007E2797" w:rsidP="007E2797">
      <w:pPr>
        <w:rPr>
          <w:rFonts w:ascii="Calibri" w:hAnsi="Calibri"/>
        </w:rPr>
      </w:pPr>
    </w:p>
    <w:p w14:paraId="0070C261" w14:textId="77777777" w:rsidR="007E2797" w:rsidRPr="004B77D6" w:rsidRDefault="007E2797" w:rsidP="007E2797">
      <w:pPr>
        <w:rPr>
          <w:rFonts w:ascii="Calibri" w:hAnsi="Calibri"/>
        </w:rPr>
      </w:pPr>
    </w:p>
    <w:p w14:paraId="00DDC508" w14:textId="77777777" w:rsidR="007E2797" w:rsidRPr="004B77D6" w:rsidRDefault="007E2797" w:rsidP="007E2797">
      <w:pPr>
        <w:rPr>
          <w:rFonts w:ascii="Calibri" w:hAnsi="Calibri"/>
        </w:rPr>
      </w:pPr>
    </w:p>
    <w:p w14:paraId="56DC6373" w14:textId="77777777" w:rsidR="007E2797" w:rsidRPr="004B77D6" w:rsidRDefault="007E2797" w:rsidP="007E2797">
      <w:pPr>
        <w:rPr>
          <w:rFonts w:ascii="Calibri" w:hAnsi="Calibri"/>
        </w:rPr>
      </w:pPr>
    </w:p>
    <w:p w14:paraId="5FE02A2C" w14:textId="77777777" w:rsidR="007E2797" w:rsidRPr="004B77D6" w:rsidRDefault="007E2797" w:rsidP="007E2797">
      <w:pPr>
        <w:rPr>
          <w:rFonts w:ascii="Calibri" w:hAnsi="Calibri"/>
          <w:sz w:val="32"/>
        </w:rPr>
      </w:pPr>
    </w:p>
    <w:p w14:paraId="35BEC116" w14:textId="77777777" w:rsidR="00A24018" w:rsidRPr="004B77D6" w:rsidRDefault="00A24018" w:rsidP="007E2797">
      <w:pPr>
        <w:rPr>
          <w:rFonts w:ascii="Calibri" w:hAnsi="Calibri"/>
          <w:sz w:val="32"/>
        </w:rPr>
      </w:pPr>
    </w:p>
    <w:p w14:paraId="7C79AB02" w14:textId="77777777" w:rsidR="00A24018" w:rsidRDefault="00A24018" w:rsidP="007E2797">
      <w:pPr>
        <w:rPr>
          <w:rFonts w:ascii="Calibri" w:hAnsi="Calibri"/>
          <w:sz w:val="32"/>
        </w:rPr>
      </w:pPr>
    </w:p>
    <w:p w14:paraId="5498375F" w14:textId="77777777" w:rsidR="00BA0645" w:rsidRPr="004B77D6" w:rsidRDefault="00BA0645" w:rsidP="007E2797">
      <w:pPr>
        <w:rPr>
          <w:rFonts w:ascii="Calibri" w:hAnsi="Calibri"/>
          <w:sz w:val="32"/>
        </w:rPr>
      </w:pPr>
    </w:p>
    <w:p w14:paraId="62A27990" w14:textId="77777777" w:rsidR="007E2797" w:rsidRPr="004B77D6" w:rsidRDefault="007E2797" w:rsidP="007E2797">
      <w:pPr>
        <w:rPr>
          <w:rFonts w:ascii="Calibri" w:hAnsi="Calibri"/>
          <w:sz w:val="32"/>
        </w:rPr>
      </w:pPr>
    </w:p>
    <w:p w14:paraId="01B9C575" w14:textId="6C00C95B" w:rsidR="00BA0645" w:rsidRDefault="00854A1A" w:rsidP="007E2797">
      <w:pPr>
        <w:rPr>
          <w:rFonts w:ascii="Calibri" w:hAnsi="Calibri"/>
          <w:b/>
          <w:sz w:val="36"/>
          <w:szCs w:val="36"/>
        </w:rPr>
      </w:pPr>
      <w:r w:rsidRPr="00757490">
        <w:rPr>
          <w:rFonts w:ascii="Calibri" w:hAnsi="Calibri"/>
          <w:b/>
          <w:sz w:val="36"/>
          <w:szCs w:val="36"/>
        </w:rPr>
        <w:t>Z</w:t>
      </w:r>
      <w:r w:rsidR="00BA0645">
        <w:rPr>
          <w:rFonts w:ascii="Calibri" w:hAnsi="Calibri"/>
          <w:b/>
          <w:sz w:val="36"/>
          <w:szCs w:val="36"/>
        </w:rPr>
        <w:t xml:space="preserve">ałącznik nr 6 </w:t>
      </w:r>
    </w:p>
    <w:p w14:paraId="6B59CC18" w14:textId="77777777" w:rsidR="00BA0645" w:rsidRDefault="00BA0645" w:rsidP="007E2797">
      <w:pPr>
        <w:rPr>
          <w:rFonts w:ascii="Calibri" w:hAnsi="Calibri"/>
          <w:b/>
          <w:sz w:val="36"/>
          <w:szCs w:val="36"/>
        </w:rPr>
      </w:pPr>
    </w:p>
    <w:p w14:paraId="1B9D1744" w14:textId="3E267EC8" w:rsidR="00C2071D" w:rsidRPr="00757490" w:rsidRDefault="00854A1A" w:rsidP="007E2797">
      <w:pPr>
        <w:rPr>
          <w:rFonts w:ascii="Calibri" w:hAnsi="Calibri"/>
          <w:b/>
          <w:sz w:val="36"/>
          <w:szCs w:val="36"/>
        </w:rPr>
      </w:pPr>
      <w:r w:rsidRPr="00757490">
        <w:rPr>
          <w:rFonts w:ascii="Calibri" w:hAnsi="Calibri"/>
          <w:b/>
          <w:sz w:val="36"/>
          <w:szCs w:val="36"/>
        </w:rPr>
        <w:t xml:space="preserve"> </w:t>
      </w:r>
    </w:p>
    <w:p w14:paraId="0E1E83AC" w14:textId="4ADB2E40" w:rsidR="007E2797" w:rsidRPr="00757490" w:rsidRDefault="00854A1A" w:rsidP="007E2797">
      <w:pPr>
        <w:rPr>
          <w:rFonts w:ascii="Calibri" w:hAnsi="Calibri"/>
          <w:b/>
          <w:sz w:val="36"/>
          <w:szCs w:val="36"/>
        </w:rPr>
      </w:pPr>
      <w:r w:rsidRPr="00757490">
        <w:rPr>
          <w:rFonts w:ascii="Calibri" w:hAnsi="Calibri"/>
          <w:b/>
          <w:sz w:val="36"/>
          <w:szCs w:val="36"/>
        </w:rPr>
        <w:t>INSTRUKCJA WYPEŁNIANIA ZAŁĄCZNIKÓW DO</w:t>
      </w:r>
      <w:r w:rsidR="002C0B1E" w:rsidRPr="00757490">
        <w:rPr>
          <w:rFonts w:ascii="Calibri" w:hAnsi="Calibri"/>
          <w:b/>
          <w:sz w:val="36"/>
          <w:szCs w:val="36"/>
        </w:rPr>
        <w:t> </w:t>
      </w:r>
      <w:r w:rsidRPr="00757490">
        <w:rPr>
          <w:rFonts w:ascii="Calibri" w:hAnsi="Calibri"/>
          <w:b/>
          <w:sz w:val="36"/>
          <w:szCs w:val="36"/>
        </w:rPr>
        <w:t xml:space="preserve">WNIOSKU </w:t>
      </w:r>
      <w:r w:rsidR="00BA0645">
        <w:rPr>
          <w:rFonts w:ascii="Calibri" w:hAnsi="Calibri"/>
          <w:b/>
          <w:sz w:val="36"/>
          <w:szCs w:val="36"/>
        </w:rPr>
        <w:br/>
      </w:r>
      <w:r w:rsidRPr="00757490">
        <w:rPr>
          <w:rFonts w:ascii="Calibri" w:hAnsi="Calibri"/>
          <w:b/>
          <w:sz w:val="36"/>
          <w:szCs w:val="36"/>
        </w:rPr>
        <w:t>O DOFINANSOWANIE PROJEKTU ZE</w:t>
      </w:r>
      <w:r w:rsidR="002C0B1E" w:rsidRPr="00757490">
        <w:rPr>
          <w:rFonts w:ascii="Calibri" w:hAnsi="Calibri"/>
          <w:b/>
          <w:sz w:val="36"/>
          <w:szCs w:val="36"/>
        </w:rPr>
        <w:t> </w:t>
      </w:r>
      <w:r w:rsidRPr="00757490">
        <w:rPr>
          <w:rFonts w:ascii="Calibri" w:hAnsi="Calibri"/>
          <w:b/>
          <w:sz w:val="36"/>
          <w:szCs w:val="36"/>
        </w:rPr>
        <w:t xml:space="preserve">ŚRODKÓW EFRR </w:t>
      </w:r>
      <w:r w:rsidR="00BA0645">
        <w:rPr>
          <w:rFonts w:ascii="Calibri" w:hAnsi="Calibri"/>
          <w:b/>
          <w:sz w:val="36"/>
          <w:szCs w:val="36"/>
        </w:rPr>
        <w:br/>
      </w:r>
      <w:r w:rsidRPr="00757490">
        <w:rPr>
          <w:rFonts w:ascii="Calibri" w:hAnsi="Calibri"/>
          <w:b/>
          <w:sz w:val="36"/>
          <w:szCs w:val="36"/>
        </w:rPr>
        <w:t>DLA POZOSTAŁYCH WNIOSKODAWCÓW</w:t>
      </w:r>
    </w:p>
    <w:p w14:paraId="43AE28B6" w14:textId="77777777" w:rsidR="007E2797" w:rsidRPr="004B77D6" w:rsidRDefault="007E2797" w:rsidP="007E2797">
      <w:pPr>
        <w:rPr>
          <w:rFonts w:ascii="Calibri" w:hAnsi="Calibri"/>
          <w:sz w:val="32"/>
          <w:szCs w:val="32"/>
        </w:rPr>
      </w:pPr>
    </w:p>
    <w:p w14:paraId="0B5CB60C" w14:textId="77777777" w:rsidR="007E2797" w:rsidRPr="004B77D6" w:rsidRDefault="007E2797" w:rsidP="006857D1">
      <w:pPr>
        <w:jc w:val="right"/>
        <w:rPr>
          <w:rFonts w:ascii="Calibri" w:hAnsi="Calibri"/>
          <w:sz w:val="32"/>
          <w:szCs w:val="32"/>
        </w:rPr>
      </w:pPr>
    </w:p>
    <w:p w14:paraId="7EC09B5C" w14:textId="77777777" w:rsidR="007E2797" w:rsidRPr="004B77D6" w:rsidRDefault="007E2797" w:rsidP="007E2797">
      <w:pPr>
        <w:rPr>
          <w:rFonts w:ascii="Calibri" w:hAnsi="Calibri"/>
          <w:sz w:val="32"/>
          <w:szCs w:val="32"/>
        </w:rPr>
      </w:pPr>
    </w:p>
    <w:p w14:paraId="3E1510AF" w14:textId="77777777" w:rsidR="007E2797" w:rsidRPr="004B77D6" w:rsidRDefault="007E2797" w:rsidP="007E2797">
      <w:pPr>
        <w:tabs>
          <w:tab w:val="left" w:pos="5160"/>
          <w:tab w:val="left" w:pos="5745"/>
        </w:tabs>
        <w:rPr>
          <w:rFonts w:ascii="Calibri" w:hAnsi="Calibri"/>
          <w:sz w:val="32"/>
          <w:szCs w:val="32"/>
        </w:rPr>
      </w:pPr>
      <w:r w:rsidRPr="004B77D6">
        <w:rPr>
          <w:rFonts w:ascii="Calibri" w:hAnsi="Calibri"/>
          <w:sz w:val="32"/>
          <w:szCs w:val="32"/>
        </w:rPr>
        <w:tab/>
      </w:r>
      <w:r w:rsidRPr="004B77D6">
        <w:rPr>
          <w:rFonts w:ascii="Calibri" w:hAnsi="Calibri"/>
          <w:sz w:val="32"/>
          <w:szCs w:val="32"/>
        </w:rPr>
        <w:tab/>
      </w:r>
    </w:p>
    <w:p w14:paraId="492DD194" w14:textId="6EEE5E68" w:rsidR="007E2797" w:rsidRPr="004B77D6" w:rsidRDefault="007E2797" w:rsidP="008706DB">
      <w:pPr>
        <w:jc w:val="right"/>
        <w:rPr>
          <w:rFonts w:ascii="Calibri" w:hAnsi="Calibri"/>
          <w:sz w:val="32"/>
          <w:szCs w:val="32"/>
        </w:rPr>
      </w:pPr>
    </w:p>
    <w:p w14:paraId="7DCE09F5" w14:textId="77777777" w:rsidR="007E2797" w:rsidRPr="004B77D6" w:rsidRDefault="007E2797" w:rsidP="007E2797">
      <w:pPr>
        <w:rPr>
          <w:rFonts w:ascii="Calibri" w:hAnsi="Calibri"/>
          <w:sz w:val="32"/>
          <w:szCs w:val="32"/>
        </w:rPr>
      </w:pPr>
    </w:p>
    <w:p w14:paraId="6460EB1F" w14:textId="77777777" w:rsidR="007E2797" w:rsidRPr="004B77D6" w:rsidRDefault="007E2797" w:rsidP="007E2797">
      <w:pPr>
        <w:rPr>
          <w:rFonts w:ascii="Calibri" w:hAnsi="Calibri"/>
          <w:sz w:val="32"/>
          <w:szCs w:val="32"/>
        </w:rPr>
      </w:pPr>
    </w:p>
    <w:p w14:paraId="7528EC7C" w14:textId="77777777" w:rsidR="007E2797" w:rsidRPr="004B77D6" w:rsidRDefault="007E2797" w:rsidP="007E2797">
      <w:pPr>
        <w:rPr>
          <w:rFonts w:ascii="Calibri" w:hAnsi="Calibri"/>
          <w:sz w:val="32"/>
          <w:szCs w:val="32"/>
        </w:rPr>
      </w:pPr>
    </w:p>
    <w:p w14:paraId="3E054449" w14:textId="77777777" w:rsidR="007E2797" w:rsidRPr="004B77D6" w:rsidRDefault="007E2797" w:rsidP="007E2797">
      <w:pPr>
        <w:rPr>
          <w:rFonts w:ascii="Calibri" w:hAnsi="Calibri"/>
          <w:sz w:val="32"/>
          <w:szCs w:val="32"/>
        </w:rPr>
      </w:pPr>
    </w:p>
    <w:p w14:paraId="6B198C71" w14:textId="77777777" w:rsidR="007E2797" w:rsidRPr="004B77D6" w:rsidRDefault="007E2797" w:rsidP="007E2797">
      <w:pPr>
        <w:rPr>
          <w:rFonts w:ascii="Calibri" w:hAnsi="Calibri"/>
          <w:sz w:val="32"/>
          <w:szCs w:val="32"/>
        </w:rPr>
      </w:pPr>
    </w:p>
    <w:p w14:paraId="4E2DC8C8" w14:textId="77777777" w:rsidR="007E2797" w:rsidRPr="004B77D6" w:rsidRDefault="007E2797" w:rsidP="007E2797">
      <w:pPr>
        <w:rPr>
          <w:rFonts w:ascii="Calibri" w:hAnsi="Calibri"/>
          <w:sz w:val="32"/>
          <w:szCs w:val="32"/>
        </w:rPr>
      </w:pPr>
    </w:p>
    <w:p w14:paraId="6DDC32E0" w14:textId="77777777" w:rsidR="002743D4" w:rsidRPr="004B77D6" w:rsidRDefault="002743D4" w:rsidP="007E2797">
      <w:pPr>
        <w:rPr>
          <w:rFonts w:ascii="Calibri" w:hAnsi="Calibri"/>
          <w:sz w:val="32"/>
          <w:szCs w:val="32"/>
        </w:rPr>
      </w:pPr>
    </w:p>
    <w:p w14:paraId="3398AA58" w14:textId="77777777" w:rsidR="002743D4" w:rsidRPr="004B77D6" w:rsidRDefault="002743D4" w:rsidP="007E2797">
      <w:pPr>
        <w:rPr>
          <w:rFonts w:ascii="Calibri" w:hAnsi="Calibri"/>
          <w:sz w:val="32"/>
          <w:szCs w:val="32"/>
        </w:rPr>
      </w:pPr>
    </w:p>
    <w:p w14:paraId="4D7C72B4" w14:textId="77777777" w:rsidR="007E2797" w:rsidRPr="004B77D6" w:rsidRDefault="007E2797" w:rsidP="007E2797">
      <w:pPr>
        <w:rPr>
          <w:rFonts w:ascii="Calibri" w:hAnsi="Calibri"/>
          <w:b/>
          <w:color w:val="000000"/>
          <w:sz w:val="32"/>
          <w:szCs w:val="32"/>
        </w:rPr>
      </w:pPr>
      <w:r w:rsidRPr="004B77D6">
        <w:rPr>
          <w:rFonts w:ascii="Calibri" w:hAnsi="Calibri"/>
          <w:b/>
          <w:color w:val="000000"/>
          <w:sz w:val="32"/>
          <w:szCs w:val="32"/>
        </w:rPr>
        <w:t>Wersja nr 1</w:t>
      </w:r>
    </w:p>
    <w:p w14:paraId="262678F6" w14:textId="35940D57" w:rsidR="008B11D1" w:rsidRPr="004B77D6" w:rsidRDefault="007E2797" w:rsidP="00FD7AA5">
      <w:pPr>
        <w:rPr>
          <w:rFonts w:ascii="Calibri" w:hAnsi="Calibri"/>
          <w:b/>
          <w:color w:val="000000"/>
          <w:sz w:val="32"/>
          <w:szCs w:val="32"/>
        </w:rPr>
      </w:pPr>
      <w:r w:rsidRPr="004B77D6">
        <w:rPr>
          <w:rFonts w:ascii="Calibri" w:hAnsi="Calibri"/>
          <w:b/>
          <w:color w:val="000000"/>
          <w:sz w:val="32"/>
          <w:szCs w:val="32"/>
        </w:rPr>
        <w:t xml:space="preserve">Opole, </w:t>
      </w:r>
      <w:r w:rsidR="007D0C7F">
        <w:rPr>
          <w:rFonts w:ascii="Calibri" w:hAnsi="Calibri"/>
          <w:b/>
          <w:sz w:val="32"/>
          <w:szCs w:val="32"/>
        </w:rPr>
        <w:t>październik</w:t>
      </w:r>
      <w:r w:rsidR="008706DB">
        <w:rPr>
          <w:rFonts w:ascii="Calibri" w:hAnsi="Calibri"/>
          <w:b/>
          <w:sz w:val="32"/>
          <w:szCs w:val="32"/>
        </w:rPr>
        <w:t xml:space="preserve"> </w:t>
      </w:r>
      <w:r w:rsidR="000155E4" w:rsidRPr="00CF5391">
        <w:rPr>
          <w:rFonts w:ascii="Calibri" w:hAnsi="Calibri"/>
          <w:b/>
          <w:color w:val="000000"/>
          <w:sz w:val="32"/>
          <w:szCs w:val="32"/>
        </w:rPr>
        <w:t>202</w:t>
      </w:r>
      <w:r w:rsidR="008706DB">
        <w:rPr>
          <w:rFonts w:ascii="Calibri" w:hAnsi="Calibri"/>
          <w:b/>
          <w:color w:val="000000"/>
          <w:sz w:val="32"/>
          <w:szCs w:val="32"/>
        </w:rPr>
        <w:t>6</w:t>
      </w:r>
      <w:r w:rsidR="000155E4" w:rsidRPr="00CF5391">
        <w:rPr>
          <w:rFonts w:ascii="Calibri" w:hAnsi="Calibri"/>
          <w:b/>
          <w:color w:val="000000"/>
          <w:sz w:val="32"/>
          <w:szCs w:val="32"/>
        </w:rPr>
        <w:t xml:space="preserve"> </w:t>
      </w:r>
      <w:r w:rsidR="00CF5391" w:rsidRPr="00CF5391">
        <w:rPr>
          <w:rFonts w:ascii="Calibri" w:hAnsi="Calibri"/>
          <w:b/>
          <w:color w:val="000000"/>
          <w:sz w:val="32"/>
          <w:szCs w:val="32"/>
        </w:rPr>
        <w:t>r.</w:t>
      </w:r>
    </w:p>
    <w:p w14:paraId="477043CD" w14:textId="77777777" w:rsidR="00385756" w:rsidRDefault="00385756" w:rsidP="0071603D">
      <w:pPr>
        <w:spacing w:after="120" w:line="276" w:lineRule="auto"/>
        <w:rPr>
          <w:rFonts w:asciiTheme="minorHAnsi" w:hAnsiTheme="minorHAnsi" w:cstheme="minorHAnsi"/>
          <w:szCs w:val="24"/>
        </w:rPr>
      </w:pPr>
    </w:p>
    <w:p w14:paraId="771DB2C6" w14:textId="77777777" w:rsidR="00385756" w:rsidRDefault="00385756" w:rsidP="0071603D">
      <w:pPr>
        <w:spacing w:after="120" w:line="276" w:lineRule="auto"/>
        <w:rPr>
          <w:rFonts w:asciiTheme="minorHAnsi" w:hAnsiTheme="minorHAnsi" w:cstheme="minorHAnsi"/>
          <w:szCs w:val="24"/>
        </w:rPr>
      </w:pPr>
    </w:p>
    <w:p w14:paraId="2CFB42FF" w14:textId="7E83120D" w:rsidR="00BC0C85" w:rsidRPr="004B77D6" w:rsidRDefault="00A06439" w:rsidP="0071603D">
      <w:pPr>
        <w:spacing w:after="120" w:line="276" w:lineRule="auto"/>
        <w:rPr>
          <w:rFonts w:asciiTheme="minorHAnsi" w:hAnsiTheme="minorHAnsi" w:cstheme="minorHAnsi"/>
          <w:szCs w:val="24"/>
        </w:rPr>
      </w:pPr>
      <w:r w:rsidRPr="004B77D6">
        <w:rPr>
          <w:rFonts w:asciiTheme="minorHAnsi" w:hAnsiTheme="minorHAnsi" w:cstheme="minorHAnsi"/>
          <w:szCs w:val="24"/>
        </w:rPr>
        <w:lastRenderedPageBreak/>
        <w:t xml:space="preserve">Integralną częścią wniosku o dofinansowanie realizacji projektu ze środków </w:t>
      </w:r>
      <w:r w:rsidR="009C07F8" w:rsidRPr="004B77D6">
        <w:rPr>
          <w:rFonts w:asciiTheme="minorHAnsi" w:hAnsiTheme="minorHAnsi" w:cstheme="minorHAnsi"/>
          <w:szCs w:val="24"/>
        </w:rPr>
        <w:t>EFRR w</w:t>
      </w:r>
      <w:r w:rsidRPr="004B77D6">
        <w:rPr>
          <w:rFonts w:asciiTheme="minorHAnsi" w:hAnsiTheme="minorHAnsi" w:cstheme="minorHAnsi"/>
          <w:szCs w:val="24"/>
        </w:rPr>
        <w:t xml:space="preserve"> ramach </w:t>
      </w:r>
      <w:r w:rsidR="00664D5C" w:rsidRPr="004B77D6">
        <w:rPr>
          <w:rFonts w:asciiTheme="minorHAnsi" w:hAnsiTheme="minorHAnsi" w:cstheme="minorHAnsi"/>
          <w:szCs w:val="24"/>
        </w:rPr>
        <w:t>FEO 2021-2027</w:t>
      </w:r>
      <w:r w:rsidRPr="004B77D6">
        <w:rPr>
          <w:rFonts w:asciiTheme="minorHAnsi" w:hAnsiTheme="minorHAnsi" w:cstheme="minorHAnsi"/>
          <w:szCs w:val="24"/>
        </w:rPr>
        <w:t xml:space="preserve"> są załączniki, które służą do uzupełniania, u</w:t>
      </w:r>
      <w:r w:rsidR="00664D5C" w:rsidRPr="004B77D6">
        <w:rPr>
          <w:rFonts w:asciiTheme="minorHAnsi" w:hAnsiTheme="minorHAnsi" w:cstheme="minorHAnsi"/>
          <w:szCs w:val="24"/>
        </w:rPr>
        <w:t xml:space="preserve">wiarygodniania bądź weryfikacji </w:t>
      </w:r>
      <w:r w:rsidRPr="004B77D6">
        <w:rPr>
          <w:rFonts w:asciiTheme="minorHAnsi" w:hAnsiTheme="minorHAnsi" w:cstheme="minorHAnsi"/>
          <w:szCs w:val="24"/>
        </w:rPr>
        <w:t>danych opisywanych we wniosku</w:t>
      </w:r>
      <w:r w:rsidR="007F2699" w:rsidRPr="004B77D6">
        <w:rPr>
          <w:rFonts w:asciiTheme="minorHAnsi" w:hAnsiTheme="minorHAnsi" w:cstheme="minorHAnsi"/>
          <w:szCs w:val="24"/>
        </w:rPr>
        <w:t xml:space="preserve"> o dofinansowanie</w:t>
      </w:r>
      <w:r w:rsidRPr="004B77D6">
        <w:rPr>
          <w:rFonts w:asciiTheme="minorHAnsi" w:hAnsiTheme="minorHAnsi" w:cstheme="minorHAnsi"/>
          <w:szCs w:val="24"/>
        </w:rPr>
        <w:t>.</w:t>
      </w:r>
    </w:p>
    <w:tbl>
      <w:tblPr>
        <w:tblStyle w:val="Tabela-Siatka"/>
        <w:tblW w:w="0" w:type="auto"/>
        <w:tblLook w:val="04A0" w:firstRow="1" w:lastRow="0" w:firstColumn="1" w:lastColumn="0" w:noHBand="0" w:noVBand="1"/>
      </w:tblPr>
      <w:tblGrid>
        <w:gridCol w:w="9040"/>
      </w:tblGrid>
      <w:tr w:rsidR="00CF5A4B" w14:paraId="74C0E3B0" w14:textId="77777777" w:rsidTr="00CF5A4B">
        <w:tc>
          <w:tcPr>
            <w:tcW w:w="9060" w:type="dxa"/>
            <w:tcBorders>
              <w:top w:val="single" w:sz="12" w:space="0" w:color="FF0000"/>
              <w:left w:val="single" w:sz="12" w:space="0" w:color="FF0000"/>
              <w:bottom w:val="single" w:sz="12" w:space="0" w:color="FF0000"/>
              <w:right w:val="single" w:sz="12" w:space="0" w:color="FF0000"/>
            </w:tcBorders>
          </w:tcPr>
          <w:p w14:paraId="44386F07" w14:textId="21A7DEA6" w:rsidR="00CF5A4B" w:rsidRDefault="00CF5A4B" w:rsidP="00385756">
            <w:pPr>
              <w:spacing w:line="276" w:lineRule="auto"/>
              <w:rPr>
                <w:rFonts w:asciiTheme="minorHAnsi" w:hAnsiTheme="minorHAnsi" w:cstheme="minorHAnsi"/>
                <w:b/>
                <w:bCs/>
                <w:szCs w:val="24"/>
              </w:rPr>
            </w:pPr>
            <w:r>
              <w:rPr>
                <w:rFonts w:asciiTheme="minorHAnsi" w:hAnsiTheme="minorHAnsi" w:cstheme="minorHAnsi"/>
                <w:b/>
                <w:bCs/>
                <w:szCs w:val="24"/>
              </w:rPr>
              <w:t>U</w:t>
            </w:r>
            <w:r w:rsidR="006C31C3">
              <w:rPr>
                <w:rFonts w:asciiTheme="minorHAnsi" w:hAnsiTheme="minorHAnsi" w:cstheme="minorHAnsi"/>
                <w:b/>
                <w:bCs/>
                <w:szCs w:val="24"/>
              </w:rPr>
              <w:t>WAGA</w:t>
            </w:r>
            <w:r>
              <w:rPr>
                <w:rFonts w:asciiTheme="minorHAnsi" w:hAnsiTheme="minorHAnsi" w:cstheme="minorHAnsi"/>
                <w:b/>
                <w:bCs/>
                <w:szCs w:val="24"/>
              </w:rPr>
              <w:t>!</w:t>
            </w:r>
          </w:p>
          <w:p w14:paraId="66E4DB60" w14:textId="42547552" w:rsidR="00CF5A4B" w:rsidRDefault="00CF5A4B" w:rsidP="00385756">
            <w:pPr>
              <w:spacing w:line="276" w:lineRule="auto"/>
              <w:rPr>
                <w:rFonts w:asciiTheme="minorHAnsi" w:hAnsiTheme="minorHAnsi" w:cstheme="minorHAnsi"/>
                <w:szCs w:val="24"/>
              </w:rPr>
            </w:pPr>
            <w:r w:rsidRPr="001317D3">
              <w:rPr>
                <w:rFonts w:asciiTheme="minorHAnsi" w:hAnsiTheme="minorHAnsi" w:cstheme="minorHAnsi"/>
                <w:b/>
                <w:bCs/>
                <w:szCs w:val="24"/>
              </w:rPr>
              <w:t>Każdy załącznik do wniosku</w:t>
            </w:r>
            <w:r>
              <w:rPr>
                <w:rFonts w:asciiTheme="minorHAnsi" w:hAnsiTheme="minorHAnsi" w:cstheme="minorHAnsi"/>
                <w:b/>
                <w:bCs/>
                <w:szCs w:val="24"/>
              </w:rPr>
              <w:t xml:space="preserve"> o dofinansowanie</w:t>
            </w:r>
            <w:r w:rsidRPr="001317D3">
              <w:rPr>
                <w:rFonts w:asciiTheme="minorHAnsi" w:hAnsiTheme="minorHAnsi" w:cstheme="minorHAnsi"/>
                <w:b/>
                <w:bCs/>
                <w:szCs w:val="24"/>
              </w:rPr>
              <w:t xml:space="preserve"> powinien być złożony w systemie jako oddzielny plik. </w:t>
            </w:r>
            <w:r w:rsidR="006D19EE" w:rsidRPr="006D19EE">
              <w:rPr>
                <w:rFonts w:asciiTheme="minorHAnsi" w:hAnsiTheme="minorHAnsi" w:cstheme="minorHAnsi"/>
                <w:b/>
                <w:bCs/>
                <w:szCs w:val="24"/>
              </w:rPr>
              <w:t>Niedopuszczalne jest składanie kilku różnych załączników w jednym, spakowanym pliku</w:t>
            </w:r>
            <w:r w:rsidRPr="001317D3">
              <w:rPr>
                <w:rFonts w:asciiTheme="minorHAnsi" w:hAnsiTheme="minorHAnsi" w:cstheme="minorHAnsi"/>
                <w:b/>
                <w:bCs/>
                <w:szCs w:val="24"/>
              </w:rPr>
              <w:t xml:space="preserve">. Przy nazywaniu plików należy kierować się nazewnictwem </w:t>
            </w:r>
            <w:r>
              <w:rPr>
                <w:rFonts w:asciiTheme="minorHAnsi" w:hAnsiTheme="minorHAnsi" w:cstheme="minorHAnsi"/>
                <w:b/>
                <w:bCs/>
                <w:szCs w:val="24"/>
              </w:rPr>
              <w:t>z</w:t>
            </w:r>
            <w:r w:rsidR="00A87A37">
              <w:rPr>
                <w:rFonts w:asciiTheme="minorHAnsi" w:hAnsiTheme="minorHAnsi" w:cstheme="minorHAnsi"/>
                <w:b/>
                <w:bCs/>
                <w:szCs w:val="24"/>
              </w:rPr>
              <w:t> </w:t>
            </w:r>
            <w:r w:rsidRPr="001317D3">
              <w:rPr>
                <w:rFonts w:asciiTheme="minorHAnsi" w:hAnsiTheme="minorHAnsi" w:cstheme="minorHAnsi"/>
                <w:b/>
                <w:bCs/>
                <w:szCs w:val="24"/>
              </w:rPr>
              <w:t>poniższej instrukcji.</w:t>
            </w:r>
            <w:r w:rsidR="00B175F7">
              <w:rPr>
                <w:rFonts w:asciiTheme="minorHAnsi" w:hAnsiTheme="minorHAnsi" w:cstheme="minorHAnsi"/>
                <w:b/>
                <w:bCs/>
                <w:szCs w:val="24"/>
              </w:rPr>
              <w:t xml:space="preserve"> Nazwy załączników nie powinny zawierać kropek. </w:t>
            </w:r>
          </w:p>
        </w:tc>
      </w:tr>
    </w:tbl>
    <w:p w14:paraId="3E45EB02" w14:textId="75881D59" w:rsidR="00A06439" w:rsidRPr="004B77D6" w:rsidRDefault="00A06439" w:rsidP="00385756">
      <w:pPr>
        <w:spacing w:before="120" w:after="120" w:line="276" w:lineRule="auto"/>
        <w:rPr>
          <w:rFonts w:asciiTheme="minorHAnsi" w:hAnsiTheme="minorHAnsi" w:cstheme="minorHAnsi"/>
          <w:b/>
          <w:szCs w:val="24"/>
        </w:rPr>
      </w:pPr>
      <w:r w:rsidRPr="004B77D6">
        <w:rPr>
          <w:rFonts w:asciiTheme="minorHAnsi" w:hAnsiTheme="minorHAnsi" w:cstheme="minorHAnsi"/>
          <w:szCs w:val="24"/>
        </w:rPr>
        <w:t xml:space="preserve">Wymaganymi załącznikami do wniosku </w:t>
      </w:r>
      <w:r w:rsidR="0001709E" w:rsidRPr="004B77D6">
        <w:rPr>
          <w:rFonts w:asciiTheme="minorHAnsi" w:hAnsiTheme="minorHAnsi" w:cstheme="minorHAnsi"/>
          <w:szCs w:val="24"/>
        </w:rPr>
        <w:t xml:space="preserve">o dofinansowanie </w:t>
      </w:r>
      <w:r w:rsidR="00551455" w:rsidRPr="004B77D6">
        <w:rPr>
          <w:rFonts w:asciiTheme="minorHAnsi" w:hAnsiTheme="minorHAnsi" w:cstheme="minorHAnsi"/>
          <w:szCs w:val="24"/>
        </w:rPr>
        <w:t xml:space="preserve">w ramach działania </w:t>
      </w:r>
      <w:r w:rsidR="00187F1C">
        <w:rPr>
          <w:rFonts w:asciiTheme="minorHAnsi" w:hAnsiTheme="minorHAnsi" w:cstheme="minorHAnsi"/>
          <w:szCs w:val="24"/>
        </w:rPr>
        <w:br/>
      </w:r>
      <w:r w:rsidR="002961A3">
        <w:rPr>
          <w:rFonts w:asciiTheme="minorHAnsi" w:hAnsiTheme="minorHAnsi" w:cstheme="minorHAnsi"/>
          <w:iCs/>
          <w:szCs w:val="24"/>
          <w:lang w:eastAsia="en-US"/>
        </w:rPr>
        <w:t>2</w:t>
      </w:r>
      <w:r w:rsidR="00FE5AE4">
        <w:rPr>
          <w:rFonts w:asciiTheme="minorHAnsi" w:hAnsiTheme="minorHAnsi" w:cstheme="minorHAnsi"/>
          <w:iCs/>
          <w:szCs w:val="24"/>
          <w:lang w:eastAsia="en-US"/>
        </w:rPr>
        <w:t>.</w:t>
      </w:r>
      <w:r w:rsidR="002961A3">
        <w:rPr>
          <w:rFonts w:asciiTheme="minorHAnsi" w:hAnsiTheme="minorHAnsi" w:cstheme="minorHAnsi"/>
          <w:iCs/>
          <w:szCs w:val="24"/>
          <w:lang w:eastAsia="en-US"/>
        </w:rPr>
        <w:t>5</w:t>
      </w:r>
      <w:r w:rsidR="00FE5AE4">
        <w:rPr>
          <w:rFonts w:asciiTheme="minorHAnsi" w:hAnsiTheme="minorHAnsi" w:cstheme="minorHAnsi"/>
          <w:iCs/>
          <w:szCs w:val="24"/>
          <w:lang w:eastAsia="en-US"/>
        </w:rPr>
        <w:t xml:space="preserve"> </w:t>
      </w:r>
      <w:r w:rsidR="002961A3">
        <w:rPr>
          <w:rFonts w:asciiTheme="minorHAnsi" w:hAnsiTheme="minorHAnsi" w:cstheme="minorHAnsi"/>
          <w:iCs/>
          <w:szCs w:val="24"/>
          <w:lang w:eastAsia="en-US"/>
        </w:rPr>
        <w:t>Odpady i gospodarka o obiegu zamkniętym</w:t>
      </w:r>
      <w:r w:rsidR="00187F1C" w:rsidRPr="00EC036A">
        <w:rPr>
          <w:rFonts w:asciiTheme="minorHAnsi" w:hAnsiTheme="minorHAnsi" w:cstheme="minorHAnsi"/>
          <w:iCs/>
          <w:szCs w:val="24"/>
          <w:lang w:eastAsia="en-US"/>
        </w:rPr>
        <w:t xml:space="preserve"> FEO 2021</w:t>
      </w:r>
      <w:r w:rsidR="00EC036A" w:rsidRPr="00EC036A">
        <w:rPr>
          <w:rFonts w:asciiTheme="minorHAnsi" w:hAnsiTheme="minorHAnsi" w:cstheme="minorHAnsi"/>
          <w:iCs/>
          <w:szCs w:val="24"/>
          <w:lang w:eastAsia="en-US"/>
        </w:rPr>
        <w:t>-</w:t>
      </w:r>
      <w:r w:rsidR="00187F1C" w:rsidRPr="00EC036A">
        <w:rPr>
          <w:rFonts w:asciiTheme="minorHAnsi" w:hAnsiTheme="minorHAnsi" w:cstheme="minorHAnsi"/>
          <w:iCs/>
          <w:szCs w:val="24"/>
          <w:lang w:eastAsia="en-US"/>
        </w:rPr>
        <w:t>2027</w:t>
      </w:r>
      <w:r w:rsidR="00187F1C" w:rsidRPr="003C01E6">
        <w:rPr>
          <w:iCs/>
          <w:szCs w:val="24"/>
        </w:rPr>
        <w:t xml:space="preserve"> </w:t>
      </w:r>
      <w:r w:rsidRPr="004B77D6">
        <w:rPr>
          <w:rFonts w:asciiTheme="minorHAnsi" w:hAnsiTheme="minorHAnsi" w:cstheme="minorHAnsi"/>
          <w:szCs w:val="24"/>
        </w:rPr>
        <w:t>są:</w:t>
      </w:r>
    </w:p>
    <w:bookmarkStart w:id="0" w:name="_Hlk191973244"/>
    <w:p w14:paraId="7D441448" w14:textId="4469CB28" w:rsidR="00840C83" w:rsidRPr="00840C83" w:rsidRDefault="00A06439">
      <w:pPr>
        <w:pStyle w:val="Spistreci3"/>
        <w:rPr>
          <w:rFonts w:asciiTheme="minorHAnsi" w:eastAsiaTheme="minorEastAsia" w:hAnsiTheme="minorHAnsi" w:cstheme="minorHAnsi"/>
          <w:b w:val="0"/>
          <w:kern w:val="2"/>
          <w:szCs w:val="24"/>
          <w14:ligatures w14:val="standardContextual"/>
        </w:rPr>
      </w:pPr>
      <w:r w:rsidRPr="00840C83">
        <w:rPr>
          <w:rFonts w:asciiTheme="minorHAnsi" w:hAnsiTheme="minorHAnsi" w:cstheme="minorHAnsi"/>
          <w:szCs w:val="24"/>
        </w:rPr>
        <w:fldChar w:fldCharType="begin"/>
      </w:r>
      <w:r w:rsidRPr="00840C83">
        <w:rPr>
          <w:rFonts w:asciiTheme="minorHAnsi" w:hAnsiTheme="minorHAnsi" w:cstheme="minorHAnsi"/>
          <w:szCs w:val="24"/>
        </w:rPr>
        <w:instrText xml:space="preserve"> TOC \o "1-3" \h \z \u </w:instrText>
      </w:r>
      <w:r w:rsidRPr="00840C83">
        <w:rPr>
          <w:rFonts w:asciiTheme="minorHAnsi" w:hAnsiTheme="minorHAnsi" w:cstheme="minorHAnsi"/>
          <w:szCs w:val="24"/>
        </w:rPr>
        <w:fldChar w:fldCharType="separate"/>
      </w:r>
      <w:hyperlink w:anchor="_Toc241839696" w:history="1">
        <w:r w:rsidR="00840C83" w:rsidRPr="00840C83">
          <w:rPr>
            <w:rStyle w:val="Hipercze"/>
            <w:rFonts w:asciiTheme="minorHAnsi" w:hAnsiTheme="minorHAnsi" w:cstheme="minorHAnsi"/>
          </w:rPr>
          <w:t>1.1 INSTRUKCJA PRZYGOTOWANIA STUDIUM WYKONALNOŚCI INWESTYCJI  TJ. ZAŁĄCZNIKA 1A DO WNIOSKU O DOFINANSOWANIE - dla projektów, których całkowity koszt kwalifikowalny w momencie złożenia wniosku  o dofinansowanie jest równy bądź wyższy od 50 mln zł</w:t>
        </w:r>
        <w:r w:rsidR="00840C83" w:rsidRPr="00840C83">
          <w:rPr>
            <w:rFonts w:asciiTheme="minorHAnsi" w:hAnsiTheme="minorHAnsi" w:cstheme="minorHAnsi"/>
            <w:webHidden/>
          </w:rPr>
          <w:tab/>
        </w:r>
        <w:r w:rsidR="00840C83" w:rsidRPr="00840C83">
          <w:rPr>
            <w:rFonts w:asciiTheme="minorHAnsi" w:hAnsiTheme="minorHAnsi" w:cstheme="minorHAnsi"/>
            <w:webHidden/>
          </w:rPr>
          <w:fldChar w:fldCharType="begin"/>
        </w:r>
        <w:r w:rsidR="00840C83" w:rsidRPr="00840C83">
          <w:rPr>
            <w:rFonts w:asciiTheme="minorHAnsi" w:hAnsiTheme="minorHAnsi" w:cstheme="minorHAnsi"/>
            <w:webHidden/>
          </w:rPr>
          <w:instrText xml:space="preserve"> PAGEREF _Toc241839696 \h </w:instrText>
        </w:r>
        <w:r w:rsidR="00840C83" w:rsidRPr="00840C83">
          <w:rPr>
            <w:rFonts w:asciiTheme="minorHAnsi" w:hAnsiTheme="minorHAnsi" w:cstheme="minorHAnsi"/>
            <w:webHidden/>
          </w:rPr>
        </w:r>
        <w:r w:rsidR="00840C83" w:rsidRPr="00840C83">
          <w:rPr>
            <w:rFonts w:asciiTheme="minorHAnsi" w:hAnsiTheme="minorHAnsi" w:cstheme="minorHAnsi"/>
            <w:webHidden/>
          </w:rPr>
          <w:fldChar w:fldCharType="separate"/>
        </w:r>
        <w:r w:rsidR="009F7062">
          <w:rPr>
            <w:rFonts w:asciiTheme="minorHAnsi" w:hAnsiTheme="minorHAnsi" w:cstheme="minorHAnsi"/>
            <w:webHidden/>
          </w:rPr>
          <w:t>5</w:t>
        </w:r>
        <w:r w:rsidR="00840C83" w:rsidRPr="00840C83">
          <w:rPr>
            <w:rFonts w:asciiTheme="minorHAnsi" w:hAnsiTheme="minorHAnsi" w:cstheme="minorHAnsi"/>
            <w:webHidden/>
          </w:rPr>
          <w:fldChar w:fldCharType="end"/>
        </w:r>
      </w:hyperlink>
    </w:p>
    <w:p w14:paraId="37CB15DA" w14:textId="7ED1528D" w:rsidR="00840C83" w:rsidRPr="00840C83" w:rsidRDefault="00840C83">
      <w:pPr>
        <w:pStyle w:val="Spistreci1"/>
        <w:rPr>
          <w:rFonts w:asciiTheme="minorHAnsi" w:eastAsiaTheme="minorEastAsia" w:hAnsiTheme="minorHAnsi" w:cstheme="minorHAnsi"/>
          <w:noProof/>
          <w:kern w:val="2"/>
          <w:szCs w:val="24"/>
          <w14:ligatures w14:val="standardContextual"/>
        </w:rPr>
      </w:pPr>
      <w:hyperlink w:anchor="_Toc241839697" w:history="1">
        <w:r w:rsidRPr="00840C83">
          <w:rPr>
            <w:rStyle w:val="Hipercze"/>
            <w:rFonts w:asciiTheme="minorHAnsi" w:hAnsiTheme="minorHAnsi" w:cstheme="minorHAnsi"/>
            <w:noProof/>
          </w:rPr>
          <w:t>1.1.1.</w:t>
        </w:r>
        <w:r w:rsidRPr="00840C83">
          <w:rPr>
            <w:rFonts w:asciiTheme="minorHAnsi" w:eastAsiaTheme="minorEastAsia" w:hAnsiTheme="minorHAnsi" w:cstheme="minorHAnsi"/>
            <w:noProof/>
            <w:kern w:val="2"/>
            <w:szCs w:val="24"/>
            <w14:ligatures w14:val="standardContextual"/>
          </w:rPr>
          <w:tab/>
        </w:r>
        <w:r w:rsidRPr="00840C83">
          <w:rPr>
            <w:rStyle w:val="Hipercze"/>
            <w:rFonts w:asciiTheme="minorHAnsi" w:hAnsiTheme="minorHAnsi" w:cstheme="minorHAnsi"/>
            <w:noProof/>
          </w:rPr>
          <w:t>SŁOWNIK POJĘĆ</w:t>
        </w:r>
        <w:r w:rsidRPr="00840C83">
          <w:rPr>
            <w:rFonts w:asciiTheme="minorHAnsi" w:hAnsiTheme="minorHAnsi" w:cstheme="minorHAnsi"/>
            <w:noProof/>
            <w:webHidden/>
          </w:rPr>
          <w:tab/>
        </w:r>
        <w:r w:rsidRPr="00840C83">
          <w:rPr>
            <w:rFonts w:asciiTheme="minorHAnsi" w:hAnsiTheme="minorHAnsi" w:cstheme="minorHAnsi"/>
            <w:noProof/>
            <w:webHidden/>
          </w:rPr>
          <w:fldChar w:fldCharType="begin"/>
        </w:r>
        <w:r w:rsidRPr="00840C83">
          <w:rPr>
            <w:rFonts w:asciiTheme="minorHAnsi" w:hAnsiTheme="minorHAnsi" w:cstheme="minorHAnsi"/>
            <w:noProof/>
            <w:webHidden/>
          </w:rPr>
          <w:instrText xml:space="preserve"> PAGEREF _Toc241839697 \h </w:instrText>
        </w:r>
        <w:r w:rsidRPr="00840C83">
          <w:rPr>
            <w:rFonts w:asciiTheme="minorHAnsi" w:hAnsiTheme="minorHAnsi" w:cstheme="minorHAnsi"/>
            <w:noProof/>
            <w:webHidden/>
          </w:rPr>
        </w:r>
        <w:r w:rsidRPr="00840C83">
          <w:rPr>
            <w:rFonts w:asciiTheme="minorHAnsi" w:hAnsiTheme="minorHAnsi" w:cstheme="minorHAnsi"/>
            <w:noProof/>
            <w:webHidden/>
          </w:rPr>
          <w:fldChar w:fldCharType="separate"/>
        </w:r>
        <w:r w:rsidR="009F7062">
          <w:rPr>
            <w:rFonts w:asciiTheme="minorHAnsi" w:hAnsiTheme="minorHAnsi" w:cstheme="minorHAnsi"/>
            <w:noProof/>
            <w:webHidden/>
          </w:rPr>
          <w:t>5</w:t>
        </w:r>
        <w:r w:rsidRPr="00840C83">
          <w:rPr>
            <w:rFonts w:asciiTheme="minorHAnsi" w:hAnsiTheme="minorHAnsi" w:cstheme="minorHAnsi"/>
            <w:noProof/>
            <w:webHidden/>
          </w:rPr>
          <w:fldChar w:fldCharType="end"/>
        </w:r>
      </w:hyperlink>
    </w:p>
    <w:p w14:paraId="0512243D" w14:textId="4F471D9F" w:rsidR="00840C83" w:rsidRPr="00840C83" w:rsidRDefault="00840C83">
      <w:pPr>
        <w:pStyle w:val="Spistreci1"/>
        <w:rPr>
          <w:rFonts w:asciiTheme="minorHAnsi" w:eastAsiaTheme="minorEastAsia" w:hAnsiTheme="minorHAnsi" w:cstheme="minorHAnsi"/>
          <w:noProof/>
          <w:kern w:val="2"/>
          <w:szCs w:val="24"/>
          <w14:ligatures w14:val="standardContextual"/>
        </w:rPr>
      </w:pPr>
      <w:hyperlink w:anchor="_Toc241839698" w:history="1">
        <w:r w:rsidRPr="00840C83">
          <w:rPr>
            <w:rStyle w:val="Hipercze"/>
            <w:rFonts w:asciiTheme="minorHAnsi" w:hAnsiTheme="minorHAnsi" w:cstheme="minorHAnsi"/>
            <w:noProof/>
          </w:rPr>
          <w:t>1.1.2.</w:t>
        </w:r>
        <w:r w:rsidRPr="00840C83">
          <w:rPr>
            <w:rFonts w:asciiTheme="minorHAnsi" w:eastAsiaTheme="minorEastAsia" w:hAnsiTheme="minorHAnsi" w:cstheme="minorHAnsi"/>
            <w:noProof/>
            <w:kern w:val="2"/>
            <w:szCs w:val="24"/>
            <w14:ligatures w14:val="standardContextual"/>
          </w:rPr>
          <w:tab/>
        </w:r>
        <w:r w:rsidRPr="00840C83">
          <w:rPr>
            <w:rStyle w:val="Hipercze"/>
            <w:rFonts w:asciiTheme="minorHAnsi" w:hAnsiTheme="minorHAnsi" w:cstheme="minorHAnsi"/>
            <w:noProof/>
          </w:rPr>
          <w:t>WSTĘP</w:t>
        </w:r>
        <w:r w:rsidRPr="00840C83">
          <w:rPr>
            <w:rFonts w:asciiTheme="minorHAnsi" w:hAnsiTheme="minorHAnsi" w:cstheme="minorHAnsi"/>
            <w:noProof/>
            <w:webHidden/>
          </w:rPr>
          <w:tab/>
        </w:r>
        <w:r w:rsidRPr="00840C83">
          <w:rPr>
            <w:rFonts w:asciiTheme="minorHAnsi" w:hAnsiTheme="minorHAnsi" w:cstheme="minorHAnsi"/>
            <w:noProof/>
            <w:webHidden/>
          </w:rPr>
          <w:fldChar w:fldCharType="begin"/>
        </w:r>
        <w:r w:rsidRPr="00840C83">
          <w:rPr>
            <w:rFonts w:asciiTheme="minorHAnsi" w:hAnsiTheme="minorHAnsi" w:cstheme="minorHAnsi"/>
            <w:noProof/>
            <w:webHidden/>
          </w:rPr>
          <w:instrText xml:space="preserve"> PAGEREF _Toc241839698 \h </w:instrText>
        </w:r>
        <w:r w:rsidRPr="00840C83">
          <w:rPr>
            <w:rFonts w:asciiTheme="minorHAnsi" w:hAnsiTheme="minorHAnsi" w:cstheme="minorHAnsi"/>
            <w:noProof/>
            <w:webHidden/>
          </w:rPr>
        </w:r>
        <w:r w:rsidRPr="00840C83">
          <w:rPr>
            <w:rFonts w:asciiTheme="minorHAnsi" w:hAnsiTheme="minorHAnsi" w:cstheme="minorHAnsi"/>
            <w:noProof/>
            <w:webHidden/>
          </w:rPr>
          <w:fldChar w:fldCharType="separate"/>
        </w:r>
        <w:r w:rsidR="009F7062">
          <w:rPr>
            <w:rFonts w:asciiTheme="minorHAnsi" w:hAnsiTheme="minorHAnsi" w:cstheme="minorHAnsi"/>
            <w:noProof/>
            <w:webHidden/>
          </w:rPr>
          <w:t>15</w:t>
        </w:r>
        <w:r w:rsidRPr="00840C83">
          <w:rPr>
            <w:rFonts w:asciiTheme="minorHAnsi" w:hAnsiTheme="minorHAnsi" w:cstheme="minorHAnsi"/>
            <w:noProof/>
            <w:webHidden/>
          </w:rPr>
          <w:fldChar w:fldCharType="end"/>
        </w:r>
      </w:hyperlink>
    </w:p>
    <w:p w14:paraId="2404FC0C" w14:textId="4E4C021F" w:rsidR="00840C83" w:rsidRPr="00840C83" w:rsidRDefault="00840C83">
      <w:pPr>
        <w:pStyle w:val="Spistreci1"/>
        <w:rPr>
          <w:rFonts w:asciiTheme="minorHAnsi" w:eastAsiaTheme="minorEastAsia" w:hAnsiTheme="minorHAnsi" w:cstheme="minorHAnsi"/>
          <w:noProof/>
          <w:kern w:val="2"/>
          <w:szCs w:val="24"/>
          <w14:ligatures w14:val="standardContextual"/>
        </w:rPr>
      </w:pPr>
      <w:hyperlink w:anchor="_Toc241839699" w:history="1">
        <w:r w:rsidRPr="00840C83">
          <w:rPr>
            <w:rStyle w:val="Hipercze"/>
            <w:rFonts w:asciiTheme="minorHAnsi" w:hAnsiTheme="minorHAnsi" w:cstheme="minorHAnsi"/>
            <w:noProof/>
          </w:rPr>
          <w:t>1.1.3.</w:t>
        </w:r>
        <w:r w:rsidRPr="00840C83">
          <w:rPr>
            <w:rFonts w:asciiTheme="minorHAnsi" w:eastAsiaTheme="minorEastAsia" w:hAnsiTheme="minorHAnsi" w:cstheme="minorHAnsi"/>
            <w:noProof/>
            <w:kern w:val="2"/>
            <w:szCs w:val="24"/>
            <w14:ligatures w14:val="standardContextual"/>
          </w:rPr>
          <w:tab/>
        </w:r>
        <w:r w:rsidRPr="00840C83">
          <w:rPr>
            <w:rStyle w:val="Hipercze"/>
            <w:rFonts w:asciiTheme="minorHAnsi" w:hAnsiTheme="minorHAnsi" w:cstheme="minorHAnsi"/>
            <w:noProof/>
          </w:rPr>
          <w:t>IDENTYFIKACJA PROJEKTU</w:t>
        </w:r>
        <w:r w:rsidRPr="00840C83">
          <w:rPr>
            <w:rFonts w:asciiTheme="minorHAnsi" w:hAnsiTheme="minorHAnsi" w:cstheme="minorHAnsi"/>
            <w:noProof/>
            <w:webHidden/>
          </w:rPr>
          <w:tab/>
        </w:r>
        <w:r w:rsidRPr="00840C83">
          <w:rPr>
            <w:rFonts w:asciiTheme="minorHAnsi" w:hAnsiTheme="minorHAnsi" w:cstheme="minorHAnsi"/>
            <w:noProof/>
            <w:webHidden/>
          </w:rPr>
          <w:fldChar w:fldCharType="begin"/>
        </w:r>
        <w:r w:rsidRPr="00840C83">
          <w:rPr>
            <w:rFonts w:asciiTheme="minorHAnsi" w:hAnsiTheme="minorHAnsi" w:cstheme="minorHAnsi"/>
            <w:noProof/>
            <w:webHidden/>
          </w:rPr>
          <w:instrText xml:space="preserve"> PAGEREF _Toc241839699 \h </w:instrText>
        </w:r>
        <w:r w:rsidRPr="00840C83">
          <w:rPr>
            <w:rFonts w:asciiTheme="minorHAnsi" w:hAnsiTheme="minorHAnsi" w:cstheme="minorHAnsi"/>
            <w:noProof/>
            <w:webHidden/>
          </w:rPr>
        </w:r>
        <w:r w:rsidRPr="00840C83">
          <w:rPr>
            <w:rFonts w:asciiTheme="minorHAnsi" w:hAnsiTheme="minorHAnsi" w:cstheme="minorHAnsi"/>
            <w:noProof/>
            <w:webHidden/>
          </w:rPr>
          <w:fldChar w:fldCharType="separate"/>
        </w:r>
        <w:r w:rsidR="009F7062">
          <w:rPr>
            <w:rFonts w:asciiTheme="minorHAnsi" w:hAnsiTheme="minorHAnsi" w:cstheme="minorHAnsi"/>
            <w:noProof/>
            <w:webHidden/>
          </w:rPr>
          <w:t>16</w:t>
        </w:r>
        <w:r w:rsidRPr="00840C83">
          <w:rPr>
            <w:rFonts w:asciiTheme="minorHAnsi" w:hAnsiTheme="minorHAnsi" w:cstheme="minorHAnsi"/>
            <w:noProof/>
            <w:webHidden/>
          </w:rPr>
          <w:fldChar w:fldCharType="end"/>
        </w:r>
      </w:hyperlink>
    </w:p>
    <w:p w14:paraId="6E462190" w14:textId="1F64A0FF" w:rsidR="00840C83" w:rsidRPr="00840C83" w:rsidRDefault="00840C83">
      <w:pPr>
        <w:pStyle w:val="Spistreci1"/>
        <w:rPr>
          <w:rFonts w:asciiTheme="minorHAnsi" w:eastAsiaTheme="minorEastAsia" w:hAnsiTheme="minorHAnsi" w:cstheme="minorHAnsi"/>
          <w:noProof/>
          <w:kern w:val="2"/>
          <w:szCs w:val="24"/>
          <w14:ligatures w14:val="standardContextual"/>
        </w:rPr>
      </w:pPr>
      <w:hyperlink w:anchor="_Toc241839700" w:history="1">
        <w:r w:rsidRPr="00840C83">
          <w:rPr>
            <w:rStyle w:val="Hipercze"/>
            <w:rFonts w:asciiTheme="minorHAnsi" w:hAnsiTheme="minorHAnsi" w:cstheme="minorHAnsi"/>
            <w:noProof/>
          </w:rPr>
          <w:t>1.1.4.</w:t>
        </w:r>
        <w:r w:rsidRPr="00840C83">
          <w:rPr>
            <w:rFonts w:asciiTheme="minorHAnsi" w:eastAsiaTheme="minorEastAsia" w:hAnsiTheme="minorHAnsi" w:cstheme="minorHAnsi"/>
            <w:noProof/>
            <w:kern w:val="2"/>
            <w:szCs w:val="24"/>
            <w14:ligatures w14:val="standardContextual"/>
          </w:rPr>
          <w:tab/>
        </w:r>
        <w:r w:rsidRPr="00840C83">
          <w:rPr>
            <w:rStyle w:val="Hipercze"/>
            <w:rFonts w:asciiTheme="minorHAnsi" w:hAnsiTheme="minorHAnsi" w:cstheme="minorHAnsi"/>
            <w:noProof/>
          </w:rPr>
          <w:t>DEFINICJA CELÓW PROJEKTU</w:t>
        </w:r>
        <w:r w:rsidRPr="00840C83">
          <w:rPr>
            <w:rFonts w:asciiTheme="minorHAnsi" w:hAnsiTheme="minorHAnsi" w:cstheme="minorHAnsi"/>
            <w:noProof/>
            <w:webHidden/>
          </w:rPr>
          <w:tab/>
        </w:r>
        <w:r w:rsidRPr="00840C83">
          <w:rPr>
            <w:rFonts w:asciiTheme="minorHAnsi" w:hAnsiTheme="minorHAnsi" w:cstheme="minorHAnsi"/>
            <w:noProof/>
            <w:webHidden/>
          </w:rPr>
          <w:fldChar w:fldCharType="begin"/>
        </w:r>
        <w:r w:rsidRPr="00840C83">
          <w:rPr>
            <w:rFonts w:asciiTheme="minorHAnsi" w:hAnsiTheme="minorHAnsi" w:cstheme="minorHAnsi"/>
            <w:noProof/>
            <w:webHidden/>
          </w:rPr>
          <w:instrText xml:space="preserve"> PAGEREF _Toc241839700 \h </w:instrText>
        </w:r>
        <w:r w:rsidRPr="00840C83">
          <w:rPr>
            <w:rFonts w:asciiTheme="minorHAnsi" w:hAnsiTheme="minorHAnsi" w:cstheme="minorHAnsi"/>
            <w:noProof/>
            <w:webHidden/>
          </w:rPr>
        </w:r>
        <w:r w:rsidRPr="00840C83">
          <w:rPr>
            <w:rFonts w:asciiTheme="minorHAnsi" w:hAnsiTheme="minorHAnsi" w:cstheme="minorHAnsi"/>
            <w:noProof/>
            <w:webHidden/>
          </w:rPr>
          <w:fldChar w:fldCharType="separate"/>
        </w:r>
        <w:r w:rsidR="009F7062">
          <w:rPr>
            <w:rFonts w:asciiTheme="minorHAnsi" w:hAnsiTheme="minorHAnsi" w:cstheme="minorHAnsi"/>
            <w:noProof/>
            <w:webHidden/>
          </w:rPr>
          <w:t>16</w:t>
        </w:r>
        <w:r w:rsidRPr="00840C83">
          <w:rPr>
            <w:rFonts w:asciiTheme="minorHAnsi" w:hAnsiTheme="minorHAnsi" w:cstheme="minorHAnsi"/>
            <w:noProof/>
            <w:webHidden/>
          </w:rPr>
          <w:fldChar w:fldCharType="end"/>
        </w:r>
      </w:hyperlink>
    </w:p>
    <w:p w14:paraId="13827CEA" w14:textId="5FBD9A8B" w:rsidR="00840C83" w:rsidRPr="00840C83" w:rsidRDefault="00840C83">
      <w:pPr>
        <w:pStyle w:val="Spistreci1"/>
        <w:rPr>
          <w:rFonts w:asciiTheme="minorHAnsi" w:eastAsiaTheme="minorEastAsia" w:hAnsiTheme="minorHAnsi" w:cstheme="minorHAnsi"/>
          <w:noProof/>
          <w:kern w:val="2"/>
          <w:szCs w:val="24"/>
          <w14:ligatures w14:val="standardContextual"/>
        </w:rPr>
      </w:pPr>
      <w:hyperlink w:anchor="_Toc241839701" w:history="1">
        <w:r w:rsidRPr="00840C83">
          <w:rPr>
            <w:rStyle w:val="Hipercze"/>
            <w:rFonts w:asciiTheme="minorHAnsi" w:hAnsiTheme="minorHAnsi" w:cstheme="minorHAnsi"/>
            <w:noProof/>
          </w:rPr>
          <w:t>1.1.5.</w:t>
        </w:r>
        <w:r w:rsidRPr="00840C83">
          <w:rPr>
            <w:rFonts w:asciiTheme="minorHAnsi" w:eastAsiaTheme="minorEastAsia" w:hAnsiTheme="minorHAnsi" w:cstheme="minorHAnsi"/>
            <w:noProof/>
            <w:kern w:val="2"/>
            <w:szCs w:val="24"/>
            <w14:ligatures w14:val="standardContextual"/>
          </w:rPr>
          <w:tab/>
        </w:r>
        <w:r w:rsidRPr="00840C83">
          <w:rPr>
            <w:rStyle w:val="Hipercze"/>
            <w:rFonts w:asciiTheme="minorHAnsi" w:hAnsiTheme="minorHAnsi" w:cstheme="minorHAnsi"/>
            <w:noProof/>
          </w:rPr>
          <w:t>ANALIZA INSTYTUCJONALNA I WYKONALNOŚCI PROJEKTU</w:t>
        </w:r>
        <w:r w:rsidRPr="00840C83">
          <w:rPr>
            <w:rFonts w:asciiTheme="minorHAnsi" w:hAnsiTheme="minorHAnsi" w:cstheme="minorHAnsi"/>
            <w:noProof/>
            <w:webHidden/>
          </w:rPr>
          <w:tab/>
        </w:r>
        <w:r w:rsidRPr="00840C83">
          <w:rPr>
            <w:rFonts w:asciiTheme="minorHAnsi" w:hAnsiTheme="minorHAnsi" w:cstheme="minorHAnsi"/>
            <w:noProof/>
            <w:webHidden/>
          </w:rPr>
          <w:fldChar w:fldCharType="begin"/>
        </w:r>
        <w:r w:rsidRPr="00840C83">
          <w:rPr>
            <w:rFonts w:asciiTheme="minorHAnsi" w:hAnsiTheme="minorHAnsi" w:cstheme="minorHAnsi"/>
            <w:noProof/>
            <w:webHidden/>
          </w:rPr>
          <w:instrText xml:space="preserve"> PAGEREF _Toc241839701 \h </w:instrText>
        </w:r>
        <w:r w:rsidRPr="00840C83">
          <w:rPr>
            <w:rFonts w:asciiTheme="minorHAnsi" w:hAnsiTheme="minorHAnsi" w:cstheme="minorHAnsi"/>
            <w:noProof/>
            <w:webHidden/>
          </w:rPr>
        </w:r>
        <w:r w:rsidRPr="00840C83">
          <w:rPr>
            <w:rFonts w:asciiTheme="minorHAnsi" w:hAnsiTheme="minorHAnsi" w:cstheme="minorHAnsi"/>
            <w:noProof/>
            <w:webHidden/>
          </w:rPr>
          <w:fldChar w:fldCharType="separate"/>
        </w:r>
        <w:r w:rsidR="009F7062">
          <w:rPr>
            <w:rFonts w:asciiTheme="minorHAnsi" w:hAnsiTheme="minorHAnsi" w:cstheme="minorHAnsi"/>
            <w:noProof/>
            <w:webHidden/>
          </w:rPr>
          <w:t>16</w:t>
        </w:r>
        <w:r w:rsidRPr="00840C83">
          <w:rPr>
            <w:rFonts w:asciiTheme="minorHAnsi" w:hAnsiTheme="minorHAnsi" w:cstheme="minorHAnsi"/>
            <w:noProof/>
            <w:webHidden/>
          </w:rPr>
          <w:fldChar w:fldCharType="end"/>
        </w:r>
      </w:hyperlink>
    </w:p>
    <w:p w14:paraId="0FFECA31" w14:textId="06FE23C6" w:rsidR="00840C83" w:rsidRPr="00840C83" w:rsidRDefault="00840C83">
      <w:pPr>
        <w:pStyle w:val="Spistreci1"/>
        <w:rPr>
          <w:rFonts w:asciiTheme="minorHAnsi" w:eastAsiaTheme="minorEastAsia" w:hAnsiTheme="minorHAnsi" w:cstheme="minorHAnsi"/>
          <w:noProof/>
          <w:kern w:val="2"/>
          <w:szCs w:val="24"/>
          <w14:ligatures w14:val="standardContextual"/>
        </w:rPr>
      </w:pPr>
      <w:hyperlink w:anchor="_Toc241839702" w:history="1">
        <w:r w:rsidRPr="00840C83">
          <w:rPr>
            <w:rStyle w:val="Hipercze"/>
            <w:rFonts w:asciiTheme="minorHAnsi" w:hAnsiTheme="minorHAnsi" w:cstheme="minorHAnsi"/>
            <w:noProof/>
          </w:rPr>
          <w:t>1.1.6.</w:t>
        </w:r>
        <w:r w:rsidRPr="00840C83">
          <w:rPr>
            <w:rFonts w:asciiTheme="minorHAnsi" w:eastAsiaTheme="minorEastAsia" w:hAnsiTheme="minorHAnsi" w:cstheme="minorHAnsi"/>
            <w:noProof/>
            <w:kern w:val="2"/>
            <w:szCs w:val="24"/>
            <w14:ligatures w14:val="standardContextual"/>
          </w:rPr>
          <w:tab/>
        </w:r>
        <w:r w:rsidRPr="00840C83">
          <w:rPr>
            <w:rStyle w:val="Hipercze"/>
            <w:rFonts w:asciiTheme="minorHAnsi" w:hAnsiTheme="minorHAnsi" w:cstheme="minorHAnsi"/>
            <w:noProof/>
          </w:rPr>
          <w:t>ANALIZA POPYTU ORAZ OPCJI</w:t>
        </w:r>
        <w:r w:rsidRPr="00840C83">
          <w:rPr>
            <w:rFonts w:asciiTheme="minorHAnsi" w:hAnsiTheme="minorHAnsi" w:cstheme="minorHAnsi"/>
            <w:noProof/>
            <w:webHidden/>
          </w:rPr>
          <w:tab/>
        </w:r>
        <w:r w:rsidRPr="00840C83">
          <w:rPr>
            <w:rFonts w:asciiTheme="minorHAnsi" w:hAnsiTheme="minorHAnsi" w:cstheme="minorHAnsi"/>
            <w:noProof/>
            <w:webHidden/>
          </w:rPr>
          <w:fldChar w:fldCharType="begin"/>
        </w:r>
        <w:r w:rsidRPr="00840C83">
          <w:rPr>
            <w:rFonts w:asciiTheme="minorHAnsi" w:hAnsiTheme="minorHAnsi" w:cstheme="minorHAnsi"/>
            <w:noProof/>
            <w:webHidden/>
          </w:rPr>
          <w:instrText xml:space="preserve"> PAGEREF _Toc241839702 \h </w:instrText>
        </w:r>
        <w:r w:rsidRPr="00840C83">
          <w:rPr>
            <w:rFonts w:asciiTheme="minorHAnsi" w:hAnsiTheme="minorHAnsi" w:cstheme="minorHAnsi"/>
            <w:noProof/>
            <w:webHidden/>
          </w:rPr>
        </w:r>
        <w:r w:rsidRPr="00840C83">
          <w:rPr>
            <w:rFonts w:asciiTheme="minorHAnsi" w:hAnsiTheme="minorHAnsi" w:cstheme="minorHAnsi"/>
            <w:noProof/>
            <w:webHidden/>
          </w:rPr>
          <w:fldChar w:fldCharType="separate"/>
        </w:r>
        <w:r w:rsidR="009F7062">
          <w:rPr>
            <w:rFonts w:asciiTheme="minorHAnsi" w:hAnsiTheme="minorHAnsi" w:cstheme="minorHAnsi"/>
            <w:noProof/>
            <w:webHidden/>
          </w:rPr>
          <w:t>17</w:t>
        </w:r>
        <w:r w:rsidRPr="00840C83">
          <w:rPr>
            <w:rFonts w:asciiTheme="minorHAnsi" w:hAnsiTheme="minorHAnsi" w:cstheme="minorHAnsi"/>
            <w:noProof/>
            <w:webHidden/>
          </w:rPr>
          <w:fldChar w:fldCharType="end"/>
        </w:r>
      </w:hyperlink>
    </w:p>
    <w:p w14:paraId="3C9F8195" w14:textId="7EF29A54" w:rsidR="00840C83" w:rsidRPr="00840C83" w:rsidRDefault="00840C83">
      <w:pPr>
        <w:pStyle w:val="Spistreci1"/>
        <w:rPr>
          <w:rFonts w:asciiTheme="minorHAnsi" w:eastAsiaTheme="minorEastAsia" w:hAnsiTheme="minorHAnsi" w:cstheme="minorHAnsi"/>
          <w:noProof/>
          <w:kern w:val="2"/>
          <w:szCs w:val="24"/>
          <w14:ligatures w14:val="standardContextual"/>
        </w:rPr>
      </w:pPr>
      <w:hyperlink w:anchor="_Toc241839703" w:history="1">
        <w:r w:rsidRPr="00840C83">
          <w:rPr>
            <w:rStyle w:val="Hipercze"/>
            <w:rFonts w:asciiTheme="minorHAnsi" w:hAnsiTheme="minorHAnsi" w:cstheme="minorHAnsi"/>
            <w:noProof/>
          </w:rPr>
          <w:t>1.1.7.</w:t>
        </w:r>
        <w:r w:rsidRPr="00840C83">
          <w:rPr>
            <w:rFonts w:asciiTheme="minorHAnsi" w:eastAsiaTheme="minorEastAsia" w:hAnsiTheme="minorHAnsi" w:cstheme="minorHAnsi"/>
            <w:noProof/>
            <w:kern w:val="2"/>
            <w:szCs w:val="24"/>
            <w14:ligatures w14:val="standardContextual"/>
          </w:rPr>
          <w:tab/>
        </w:r>
        <w:r w:rsidRPr="00840C83">
          <w:rPr>
            <w:rStyle w:val="Hipercze"/>
            <w:rFonts w:asciiTheme="minorHAnsi" w:hAnsiTheme="minorHAnsi" w:cstheme="minorHAnsi"/>
            <w:noProof/>
          </w:rPr>
          <w:t>FINANSOWA TRWAŁOŚĆ PROJEKTU</w:t>
        </w:r>
        <w:r w:rsidRPr="00840C83">
          <w:rPr>
            <w:rFonts w:asciiTheme="minorHAnsi" w:hAnsiTheme="minorHAnsi" w:cstheme="minorHAnsi"/>
            <w:noProof/>
            <w:webHidden/>
          </w:rPr>
          <w:tab/>
        </w:r>
        <w:r w:rsidRPr="00840C83">
          <w:rPr>
            <w:rFonts w:asciiTheme="minorHAnsi" w:hAnsiTheme="minorHAnsi" w:cstheme="minorHAnsi"/>
            <w:noProof/>
            <w:webHidden/>
          </w:rPr>
          <w:fldChar w:fldCharType="begin"/>
        </w:r>
        <w:r w:rsidRPr="00840C83">
          <w:rPr>
            <w:rFonts w:asciiTheme="minorHAnsi" w:hAnsiTheme="minorHAnsi" w:cstheme="minorHAnsi"/>
            <w:noProof/>
            <w:webHidden/>
          </w:rPr>
          <w:instrText xml:space="preserve"> PAGEREF _Toc241839703 \h </w:instrText>
        </w:r>
        <w:r w:rsidRPr="00840C83">
          <w:rPr>
            <w:rFonts w:asciiTheme="minorHAnsi" w:hAnsiTheme="minorHAnsi" w:cstheme="minorHAnsi"/>
            <w:noProof/>
            <w:webHidden/>
          </w:rPr>
        </w:r>
        <w:r w:rsidRPr="00840C83">
          <w:rPr>
            <w:rFonts w:asciiTheme="minorHAnsi" w:hAnsiTheme="minorHAnsi" w:cstheme="minorHAnsi"/>
            <w:noProof/>
            <w:webHidden/>
          </w:rPr>
          <w:fldChar w:fldCharType="separate"/>
        </w:r>
        <w:r w:rsidR="009F7062">
          <w:rPr>
            <w:rFonts w:asciiTheme="minorHAnsi" w:hAnsiTheme="minorHAnsi" w:cstheme="minorHAnsi"/>
            <w:noProof/>
            <w:webHidden/>
          </w:rPr>
          <w:t>18</w:t>
        </w:r>
        <w:r w:rsidRPr="00840C83">
          <w:rPr>
            <w:rFonts w:asciiTheme="minorHAnsi" w:hAnsiTheme="minorHAnsi" w:cstheme="minorHAnsi"/>
            <w:noProof/>
            <w:webHidden/>
          </w:rPr>
          <w:fldChar w:fldCharType="end"/>
        </w:r>
      </w:hyperlink>
    </w:p>
    <w:p w14:paraId="4E3B0B6B" w14:textId="6C74DD24" w:rsidR="00840C83" w:rsidRPr="00840C83" w:rsidRDefault="00840C83">
      <w:pPr>
        <w:pStyle w:val="Spistreci1"/>
        <w:rPr>
          <w:rFonts w:asciiTheme="minorHAnsi" w:eastAsiaTheme="minorEastAsia" w:hAnsiTheme="minorHAnsi" w:cstheme="minorHAnsi"/>
          <w:noProof/>
          <w:kern w:val="2"/>
          <w:szCs w:val="24"/>
          <w14:ligatures w14:val="standardContextual"/>
        </w:rPr>
      </w:pPr>
      <w:hyperlink w:anchor="_Toc241839704" w:history="1">
        <w:r w:rsidRPr="00840C83">
          <w:rPr>
            <w:rStyle w:val="Hipercze"/>
            <w:rFonts w:asciiTheme="minorHAnsi" w:hAnsiTheme="minorHAnsi" w:cstheme="minorHAnsi"/>
            <w:noProof/>
          </w:rPr>
          <w:t>1.1.8.</w:t>
        </w:r>
        <w:r w:rsidRPr="00840C83">
          <w:rPr>
            <w:rFonts w:asciiTheme="minorHAnsi" w:eastAsiaTheme="minorEastAsia" w:hAnsiTheme="minorHAnsi" w:cstheme="minorHAnsi"/>
            <w:noProof/>
            <w:kern w:val="2"/>
            <w:szCs w:val="24"/>
            <w14:ligatures w14:val="standardContextual"/>
          </w:rPr>
          <w:tab/>
        </w:r>
        <w:r w:rsidRPr="00840C83">
          <w:rPr>
            <w:rStyle w:val="Hipercze"/>
            <w:rFonts w:asciiTheme="minorHAnsi" w:hAnsiTheme="minorHAnsi" w:cstheme="minorHAnsi"/>
            <w:noProof/>
          </w:rPr>
          <w:t>ZGODNOŚĆ Z POLITYKĄ KONKURENCJI (POMOC PUBLICZNA)</w:t>
        </w:r>
        <w:r w:rsidRPr="00840C83">
          <w:rPr>
            <w:rFonts w:asciiTheme="minorHAnsi" w:hAnsiTheme="minorHAnsi" w:cstheme="minorHAnsi"/>
            <w:noProof/>
            <w:webHidden/>
          </w:rPr>
          <w:tab/>
        </w:r>
        <w:r w:rsidRPr="00840C83">
          <w:rPr>
            <w:rFonts w:asciiTheme="minorHAnsi" w:hAnsiTheme="minorHAnsi" w:cstheme="minorHAnsi"/>
            <w:noProof/>
            <w:webHidden/>
          </w:rPr>
          <w:fldChar w:fldCharType="begin"/>
        </w:r>
        <w:r w:rsidRPr="00840C83">
          <w:rPr>
            <w:rFonts w:asciiTheme="minorHAnsi" w:hAnsiTheme="minorHAnsi" w:cstheme="minorHAnsi"/>
            <w:noProof/>
            <w:webHidden/>
          </w:rPr>
          <w:instrText xml:space="preserve"> PAGEREF _Toc241839704 \h </w:instrText>
        </w:r>
        <w:r w:rsidRPr="00840C83">
          <w:rPr>
            <w:rFonts w:asciiTheme="minorHAnsi" w:hAnsiTheme="minorHAnsi" w:cstheme="minorHAnsi"/>
            <w:noProof/>
            <w:webHidden/>
          </w:rPr>
        </w:r>
        <w:r w:rsidRPr="00840C83">
          <w:rPr>
            <w:rFonts w:asciiTheme="minorHAnsi" w:hAnsiTheme="minorHAnsi" w:cstheme="minorHAnsi"/>
            <w:noProof/>
            <w:webHidden/>
          </w:rPr>
          <w:fldChar w:fldCharType="separate"/>
        </w:r>
        <w:r w:rsidR="009F7062">
          <w:rPr>
            <w:rFonts w:asciiTheme="minorHAnsi" w:hAnsiTheme="minorHAnsi" w:cstheme="minorHAnsi"/>
            <w:noProof/>
            <w:webHidden/>
          </w:rPr>
          <w:t>18</w:t>
        </w:r>
        <w:r w:rsidRPr="00840C83">
          <w:rPr>
            <w:rFonts w:asciiTheme="minorHAnsi" w:hAnsiTheme="minorHAnsi" w:cstheme="minorHAnsi"/>
            <w:noProof/>
            <w:webHidden/>
          </w:rPr>
          <w:fldChar w:fldCharType="end"/>
        </w:r>
      </w:hyperlink>
    </w:p>
    <w:p w14:paraId="4A31DCFD" w14:textId="7D38F747" w:rsidR="00840C83" w:rsidRPr="00840C83" w:rsidRDefault="00840C83">
      <w:pPr>
        <w:pStyle w:val="Spistreci1"/>
        <w:rPr>
          <w:rFonts w:asciiTheme="minorHAnsi" w:eastAsiaTheme="minorEastAsia" w:hAnsiTheme="minorHAnsi" w:cstheme="minorHAnsi"/>
          <w:noProof/>
          <w:kern w:val="2"/>
          <w:szCs w:val="24"/>
          <w14:ligatures w14:val="standardContextual"/>
        </w:rPr>
      </w:pPr>
      <w:hyperlink w:anchor="_Toc241839705" w:history="1">
        <w:r w:rsidRPr="00840C83">
          <w:rPr>
            <w:rStyle w:val="Hipercze"/>
            <w:rFonts w:asciiTheme="minorHAnsi" w:eastAsia="Calibri" w:hAnsiTheme="minorHAnsi" w:cstheme="minorHAnsi"/>
            <w:noProof/>
            <w:lang w:eastAsia="en-US"/>
          </w:rPr>
          <w:t xml:space="preserve">1.1.9 </w:t>
        </w:r>
        <w:r w:rsidRPr="00840C83">
          <w:rPr>
            <w:rStyle w:val="Hipercze"/>
            <w:rFonts w:asciiTheme="minorHAnsi" w:hAnsiTheme="minorHAnsi" w:cstheme="minorHAnsi"/>
            <w:noProof/>
          </w:rPr>
          <w:t>ZASTOSOWANE UPROSZCZONE METODY ROZLICZANIA WYDATKÓW</w:t>
        </w:r>
        <w:r w:rsidRPr="00840C83">
          <w:rPr>
            <w:rFonts w:asciiTheme="minorHAnsi" w:hAnsiTheme="minorHAnsi" w:cstheme="minorHAnsi"/>
            <w:noProof/>
            <w:webHidden/>
          </w:rPr>
          <w:tab/>
        </w:r>
        <w:r w:rsidRPr="00840C83">
          <w:rPr>
            <w:rFonts w:asciiTheme="minorHAnsi" w:hAnsiTheme="minorHAnsi" w:cstheme="minorHAnsi"/>
            <w:noProof/>
            <w:webHidden/>
          </w:rPr>
          <w:fldChar w:fldCharType="begin"/>
        </w:r>
        <w:r w:rsidRPr="00840C83">
          <w:rPr>
            <w:rFonts w:asciiTheme="minorHAnsi" w:hAnsiTheme="minorHAnsi" w:cstheme="minorHAnsi"/>
            <w:noProof/>
            <w:webHidden/>
          </w:rPr>
          <w:instrText xml:space="preserve"> PAGEREF _Toc241839705 \h </w:instrText>
        </w:r>
        <w:r w:rsidRPr="00840C83">
          <w:rPr>
            <w:rFonts w:asciiTheme="minorHAnsi" w:hAnsiTheme="minorHAnsi" w:cstheme="minorHAnsi"/>
            <w:noProof/>
            <w:webHidden/>
          </w:rPr>
        </w:r>
        <w:r w:rsidRPr="00840C83">
          <w:rPr>
            <w:rFonts w:asciiTheme="minorHAnsi" w:hAnsiTheme="minorHAnsi" w:cstheme="minorHAnsi"/>
            <w:noProof/>
            <w:webHidden/>
          </w:rPr>
          <w:fldChar w:fldCharType="separate"/>
        </w:r>
        <w:r w:rsidR="009F7062">
          <w:rPr>
            <w:rFonts w:asciiTheme="minorHAnsi" w:hAnsiTheme="minorHAnsi" w:cstheme="minorHAnsi"/>
            <w:noProof/>
            <w:webHidden/>
          </w:rPr>
          <w:t>21</w:t>
        </w:r>
        <w:r w:rsidRPr="00840C83">
          <w:rPr>
            <w:rFonts w:asciiTheme="minorHAnsi" w:hAnsiTheme="minorHAnsi" w:cstheme="minorHAnsi"/>
            <w:noProof/>
            <w:webHidden/>
          </w:rPr>
          <w:fldChar w:fldCharType="end"/>
        </w:r>
      </w:hyperlink>
    </w:p>
    <w:p w14:paraId="75F7BCEF" w14:textId="1CA8DEA0" w:rsidR="00840C83" w:rsidRPr="00840C83" w:rsidRDefault="00840C83">
      <w:pPr>
        <w:pStyle w:val="Spistreci1"/>
        <w:rPr>
          <w:rFonts w:asciiTheme="minorHAnsi" w:eastAsiaTheme="minorEastAsia" w:hAnsiTheme="minorHAnsi" w:cstheme="minorHAnsi"/>
          <w:noProof/>
          <w:kern w:val="2"/>
          <w:szCs w:val="24"/>
          <w14:ligatures w14:val="standardContextual"/>
        </w:rPr>
      </w:pPr>
      <w:hyperlink w:anchor="_Toc241839706" w:history="1">
        <w:r w:rsidRPr="00840C83">
          <w:rPr>
            <w:rStyle w:val="Hipercze"/>
            <w:rFonts w:asciiTheme="minorHAnsi" w:eastAsia="Calibri" w:hAnsiTheme="minorHAnsi" w:cstheme="minorHAnsi"/>
            <w:noProof/>
            <w:lang w:eastAsia="en-US"/>
          </w:rPr>
          <w:t xml:space="preserve">1.1.10 </w:t>
        </w:r>
        <w:r w:rsidRPr="00840C83">
          <w:rPr>
            <w:rStyle w:val="Hipercze"/>
            <w:rFonts w:asciiTheme="minorHAnsi" w:hAnsiTheme="minorHAnsi" w:cstheme="minorHAnsi"/>
            <w:noProof/>
          </w:rPr>
          <w:t>ANALIZA FINANSOWA</w:t>
        </w:r>
        <w:r w:rsidRPr="00840C83">
          <w:rPr>
            <w:rFonts w:asciiTheme="minorHAnsi" w:hAnsiTheme="minorHAnsi" w:cstheme="minorHAnsi"/>
            <w:noProof/>
            <w:webHidden/>
          </w:rPr>
          <w:tab/>
        </w:r>
        <w:r w:rsidRPr="00840C83">
          <w:rPr>
            <w:rFonts w:asciiTheme="minorHAnsi" w:hAnsiTheme="minorHAnsi" w:cstheme="minorHAnsi"/>
            <w:noProof/>
            <w:webHidden/>
          </w:rPr>
          <w:fldChar w:fldCharType="begin"/>
        </w:r>
        <w:r w:rsidRPr="00840C83">
          <w:rPr>
            <w:rFonts w:asciiTheme="minorHAnsi" w:hAnsiTheme="minorHAnsi" w:cstheme="minorHAnsi"/>
            <w:noProof/>
            <w:webHidden/>
          </w:rPr>
          <w:instrText xml:space="preserve"> PAGEREF _Toc241839706 \h </w:instrText>
        </w:r>
        <w:r w:rsidRPr="00840C83">
          <w:rPr>
            <w:rFonts w:asciiTheme="minorHAnsi" w:hAnsiTheme="minorHAnsi" w:cstheme="minorHAnsi"/>
            <w:noProof/>
            <w:webHidden/>
          </w:rPr>
        </w:r>
        <w:r w:rsidRPr="00840C83">
          <w:rPr>
            <w:rFonts w:asciiTheme="minorHAnsi" w:hAnsiTheme="minorHAnsi" w:cstheme="minorHAnsi"/>
            <w:noProof/>
            <w:webHidden/>
          </w:rPr>
          <w:fldChar w:fldCharType="separate"/>
        </w:r>
        <w:r w:rsidR="009F7062">
          <w:rPr>
            <w:rFonts w:asciiTheme="minorHAnsi" w:hAnsiTheme="minorHAnsi" w:cstheme="minorHAnsi"/>
            <w:noProof/>
            <w:webHidden/>
          </w:rPr>
          <w:t>21</w:t>
        </w:r>
        <w:r w:rsidRPr="00840C83">
          <w:rPr>
            <w:rFonts w:asciiTheme="minorHAnsi" w:hAnsiTheme="minorHAnsi" w:cstheme="minorHAnsi"/>
            <w:noProof/>
            <w:webHidden/>
          </w:rPr>
          <w:fldChar w:fldCharType="end"/>
        </w:r>
      </w:hyperlink>
    </w:p>
    <w:p w14:paraId="3C1813A9" w14:textId="3C1BF904" w:rsidR="00840C83" w:rsidRPr="00840C83" w:rsidRDefault="00840C83">
      <w:pPr>
        <w:pStyle w:val="Spistreci1"/>
        <w:rPr>
          <w:rFonts w:asciiTheme="minorHAnsi" w:eastAsiaTheme="minorEastAsia" w:hAnsiTheme="minorHAnsi" w:cstheme="minorHAnsi"/>
          <w:noProof/>
          <w:kern w:val="2"/>
          <w:szCs w:val="24"/>
          <w14:ligatures w14:val="standardContextual"/>
        </w:rPr>
      </w:pPr>
      <w:hyperlink w:anchor="_Toc241839707" w:history="1">
        <w:r w:rsidRPr="00840C83">
          <w:rPr>
            <w:rStyle w:val="Hipercze"/>
            <w:rFonts w:asciiTheme="minorHAnsi" w:eastAsia="Calibri" w:hAnsiTheme="minorHAnsi" w:cstheme="minorHAnsi"/>
            <w:noProof/>
            <w:lang w:eastAsia="en-US"/>
          </w:rPr>
          <w:t xml:space="preserve">1.1.11 </w:t>
        </w:r>
        <w:r w:rsidRPr="00840C83">
          <w:rPr>
            <w:rStyle w:val="Hipercze"/>
            <w:rFonts w:asciiTheme="minorHAnsi" w:hAnsiTheme="minorHAnsi" w:cstheme="minorHAnsi"/>
            <w:noProof/>
          </w:rPr>
          <w:t>ANALIZA KOSZTÓW I KORZYŚCI</w:t>
        </w:r>
        <w:r w:rsidRPr="00840C83">
          <w:rPr>
            <w:rFonts w:asciiTheme="minorHAnsi" w:hAnsiTheme="minorHAnsi" w:cstheme="minorHAnsi"/>
            <w:noProof/>
            <w:webHidden/>
          </w:rPr>
          <w:tab/>
        </w:r>
        <w:r w:rsidRPr="00840C83">
          <w:rPr>
            <w:rFonts w:asciiTheme="minorHAnsi" w:hAnsiTheme="minorHAnsi" w:cstheme="minorHAnsi"/>
            <w:noProof/>
            <w:webHidden/>
          </w:rPr>
          <w:fldChar w:fldCharType="begin"/>
        </w:r>
        <w:r w:rsidRPr="00840C83">
          <w:rPr>
            <w:rFonts w:asciiTheme="minorHAnsi" w:hAnsiTheme="minorHAnsi" w:cstheme="minorHAnsi"/>
            <w:noProof/>
            <w:webHidden/>
          </w:rPr>
          <w:instrText xml:space="preserve"> PAGEREF _Toc241839707 \h </w:instrText>
        </w:r>
        <w:r w:rsidRPr="00840C83">
          <w:rPr>
            <w:rFonts w:asciiTheme="minorHAnsi" w:hAnsiTheme="minorHAnsi" w:cstheme="minorHAnsi"/>
            <w:noProof/>
            <w:webHidden/>
          </w:rPr>
        </w:r>
        <w:r w:rsidRPr="00840C83">
          <w:rPr>
            <w:rFonts w:asciiTheme="minorHAnsi" w:hAnsiTheme="minorHAnsi" w:cstheme="minorHAnsi"/>
            <w:noProof/>
            <w:webHidden/>
          </w:rPr>
          <w:fldChar w:fldCharType="separate"/>
        </w:r>
        <w:r w:rsidR="009F7062">
          <w:rPr>
            <w:rFonts w:asciiTheme="minorHAnsi" w:hAnsiTheme="minorHAnsi" w:cstheme="minorHAnsi"/>
            <w:noProof/>
            <w:webHidden/>
          </w:rPr>
          <w:t>34</w:t>
        </w:r>
        <w:r w:rsidRPr="00840C83">
          <w:rPr>
            <w:rFonts w:asciiTheme="minorHAnsi" w:hAnsiTheme="minorHAnsi" w:cstheme="minorHAnsi"/>
            <w:noProof/>
            <w:webHidden/>
          </w:rPr>
          <w:fldChar w:fldCharType="end"/>
        </w:r>
      </w:hyperlink>
    </w:p>
    <w:p w14:paraId="02B71789" w14:textId="0E932E84" w:rsidR="00840C83" w:rsidRPr="00840C83" w:rsidRDefault="00840C83">
      <w:pPr>
        <w:pStyle w:val="Spistreci1"/>
        <w:rPr>
          <w:rFonts w:asciiTheme="minorHAnsi" w:eastAsiaTheme="minorEastAsia" w:hAnsiTheme="minorHAnsi" w:cstheme="minorHAnsi"/>
          <w:noProof/>
          <w:kern w:val="2"/>
          <w:szCs w:val="24"/>
          <w14:ligatures w14:val="standardContextual"/>
        </w:rPr>
      </w:pPr>
      <w:hyperlink w:anchor="_Toc241839708" w:history="1">
        <w:r w:rsidRPr="00840C83">
          <w:rPr>
            <w:rStyle w:val="Hipercze"/>
            <w:rFonts w:asciiTheme="minorHAnsi" w:eastAsia="Calibri" w:hAnsiTheme="minorHAnsi" w:cstheme="minorHAnsi"/>
            <w:noProof/>
            <w:lang w:eastAsia="en-US"/>
          </w:rPr>
          <w:t xml:space="preserve">1.1.12 </w:t>
        </w:r>
        <w:r w:rsidRPr="00840C83">
          <w:rPr>
            <w:rStyle w:val="Hipercze"/>
            <w:rFonts w:asciiTheme="minorHAnsi" w:hAnsiTheme="minorHAnsi" w:cstheme="minorHAnsi"/>
            <w:noProof/>
          </w:rPr>
          <w:t>ANALIZA RYZYKA I WRAŻLIWOŚCI</w:t>
        </w:r>
        <w:r w:rsidRPr="00840C83">
          <w:rPr>
            <w:rFonts w:asciiTheme="minorHAnsi" w:hAnsiTheme="minorHAnsi" w:cstheme="minorHAnsi"/>
            <w:noProof/>
            <w:webHidden/>
          </w:rPr>
          <w:tab/>
        </w:r>
        <w:r w:rsidRPr="00840C83">
          <w:rPr>
            <w:rFonts w:asciiTheme="minorHAnsi" w:hAnsiTheme="minorHAnsi" w:cstheme="minorHAnsi"/>
            <w:noProof/>
            <w:webHidden/>
          </w:rPr>
          <w:fldChar w:fldCharType="begin"/>
        </w:r>
        <w:r w:rsidRPr="00840C83">
          <w:rPr>
            <w:rFonts w:asciiTheme="minorHAnsi" w:hAnsiTheme="minorHAnsi" w:cstheme="minorHAnsi"/>
            <w:noProof/>
            <w:webHidden/>
          </w:rPr>
          <w:instrText xml:space="preserve"> PAGEREF _Toc241839708 \h </w:instrText>
        </w:r>
        <w:r w:rsidRPr="00840C83">
          <w:rPr>
            <w:rFonts w:asciiTheme="minorHAnsi" w:hAnsiTheme="minorHAnsi" w:cstheme="minorHAnsi"/>
            <w:noProof/>
            <w:webHidden/>
          </w:rPr>
        </w:r>
        <w:r w:rsidRPr="00840C83">
          <w:rPr>
            <w:rFonts w:asciiTheme="minorHAnsi" w:hAnsiTheme="minorHAnsi" w:cstheme="minorHAnsi"/>
            <w:noProof/>
            <w:webHidden/>
          </w:rPr>
          <w:fldChar w:fldCharType="separate"/>
        </w:r>
        <w:r w:rsidR="009F7062">
          <w:rPr>
            <w:rFonts w:asciiTheme="minorHAnsi" w:hAnsiTheme="minorHAnsi" w:cstheme="minorHAnsi"/>
            <w:noProof/>
            <w:webHidden/>
          </w:rPr>
          <w:t>37</w:t>
        </w:r>
        <w:r w:rsidRPr="00840C83">
          <w:rPr>
            <w:rFonts w:asciiTheme="minorHAnsi" w:hAnsiTheme="minorHAnsi" w:cstheme="minorHAnsi"/>
            <w:noProof/>
            <w:webHidden/>
          </w:rPr>
          <w:fldChar w:fldCharType="end"/>
        </w:r>
      </w:hyperlink>
    </w:p>
    <w:p w14:paraId="450E8DC7" w14:textId="34B9BA3F" w:rsidR="00840C83" w:rsidRPr="00840C83" w:rsidRDefault="00840C83">
      <w:pPr>
        <w:pStyle w:val="Spistreci1"/>
        <w:rPr>
          <w:rFonts w:asciiTheme="minorHAnsi" w:eastAsiaTheme="minorEastAsia" w:hAnsiTheme="minorHAnsi" w:cstheme="minorHAnsi"/>
          <w:noProof/>
          <w:kern w:val="2"/>
          <w:szCs w:val="24"/>
          <w14:ligatures w14:val="standardContextual"/>
        </w:rPr>
      </w:pPr>
      <w:hyperlink w:anchor="_Toc241839709" w:history="1">
        <w:r w:rsidRPr="00840C83">
          <w:rPr>
            <w:rStyle w:val="Hipercze"/>
            <w:rFonts w:asciiTheme="minorHAnsi" w:hAnsiTheme="minorHAnsi" w:cstheme="minorHAnsi"/>
            <w:noProof/>
          </w:rPr>
          <w:t>1.1.13 STOSOWANIE PODEJŚCIA SZCZEGÓŁOWEGO</w:t>
        </w:r>
        <w:r w:rsidRPr="00840C83">
          <w:rPr>
            <w:rFonts w:asciiTheme="minorHAnsi" w:hAnsiTheme="minorHAnsi" w:cstheme="minorHAnsi"/>
            <w:noProof/>
            <w:webHidden/>
          </w:rPr>
          <w:tab/>
        </w:r>
        <w:r w:rsidRPr="00840C83">
          <w:rPr>
            <w:rFonts w:asciiTheme="minorHAnsi" w:hAnsiTheme="minorHAnsi" w:cstheme="minorHAnsi"/>
            <w:noProof/>
            <w:webHidden/>
          </w:rPr>
          <w:fldChar w:fldCharType="begin"/>
        </w:r>
        <w:r w:rsidRPr="00840C83">
          <w:rPr>
            <w:rFonts w:asciiTheme="minorHAnsi" w:hAnsiTheme="minorHAnsi" w:cstheme="minorHAnsi"/>
            <w:noProof/>
            <w:webHidden/>
          </w:rPr>
          <w:instrText xml:space="preserve"> PAGEREF _Toc241839709 \h </w:instrText>
        </w:r>
        <w:r w:rsidRPr="00840C83">
          <w:rPr>
            <w:rFonts w:asciiTheme="minorHAnsi" w:hAnsiTheme="minorHAnsi" w:cstheme="minorHAnsi"/>
            <w:noProof/>
            <w:webHidden/>
          </w:rPr>
        </w:r>
        <w:r w:rsidRPr="00840C83">
          <w:rPr>
            <w:rFonts w:asciiTheme="minorHAnsi" w:hAnsiTheme="minorHAnsi" w:cstheme="minorHAnsi"/>
            <w:noProof/>
            <w:webHidden/>
          </w:rPr>
          <w:fldChar w:fldCharType="separate"/>
        </w:r>
        <w:r w:rsidR="009F7062">
          <w:rPr>
            <w:rFonts w:asciiTheme="minorHAnsi" w:hAnsiTheme="minorHAnsi" w:cstheme="minorHAnsi"/>
            <w:noProof/>
            <w:webHidden/>
          </w:rPr>
          <w:t>39</w:t>
        </w:r>
        <w:r w:rsidRPr="00840C83">
          <w:rPr>
            <w:rFonts w:asciiTheme="minorHAnsi" w:hAnsiTheme="minorHAnsi" w:cstheme="minorHAnsi"/>
            <w:noProof/>
            <w:webHidden/>
          </w:rPr>
          <w:fldChar w:fldCharType="end"/>
        </w:r>
      </w:hyperlink>
    </w:p>
    <w:p w14:paraId="5A61EF2C" w14:textId="0977135C" w:rsidR="00840C83" w:rsidRPr="00840C83" w:rsidRDefault="00840C83">
      <w:pPr>
        <w:pStyle w:val="Spistreci1"/>
        <w:rPr>
          <w:rFonts w:asciiTheme="minorHAnsi" w:eastAsiaTheme="minorEastAsia" w:hAnsiTheme="minorHAnsi" w:cstheme="minorHAnsi"/>
          <w:noProof/>
          <w:kern w:val="2"/>
          <w:szCs w:val="24"/>
          <w14:ligatures w14:val="standardContextual"/>
        </w:rPr>
      </w:pPr>
      <w:hyperlink w:anchor="_Toc241839710" w:history="1">
        <w:r w:rsidRPr="00840C83">
          <w:rPr>
            <w:rStyle w:val="Hipercze"/>
            <w:rFonts w:asciiTheme="minorHAnsi" w:eastAsia="Calibri" w:hAnsiTheme="minorHAnsi" w:cstheme="minorHAnsi"/>
            <w:noProof/>
            <w:lang w:eastAsia="en-US"/>
          </w:rPr>
          <w:t xml:space="preserve">1.1.14 </w:t>
        </w:r>
        <w:r w:rsidRPr="00840C83">
          <w:rPr>
            <w:rStyle w:val="Hipercze"/>
            <w:rFonts w:asciiTheme="minorHAnsi" w:hAnsiTheme="minorHAnsi" w:cstheme="minorHAnsi"/>
            <w:noProof/>
          </w:rPr>
          <w:t>SPECYFICZNE ANALIZY DLA DANEGO RODZAJU PROJEKTU/SEKTORA</w:t>
        </w:r>
        <w:r w:rsidRPr="00840C83">
          <w:rPr>
            <w:rFonts w:asciiTheme="minorHAnsi" w:hAnsiTheme="minorHAnsi" w:cstheme="minorHAnsi"/>
            <w:noProof/>
            <w:webHidden/>
          </w:rPr>
          <w:tab/>
        </w:r>
        <w:r w:rsidRPr="00840C83">
          <w:rPr>
            <w:rFonts w:asciiTheme="minorHAnsi" w:hAnsiTheme="minorHAnsi" w:cstheme="minorHAnsi"/>
            <w:noProof/>
            <w:webHidden/>
          </w:rPr>
          <w:fldChar w:fldCharType="begin"/>
        </w:r>
        <w:r w:rsidRPr="00840C83">
          <w:rPr>
            <w:rFonts w:asciiTheme="minorHAnsi" w:hAnsiTheme="minorHAnsi" w:cstheme="minorHAnsi"/>
            <w:noProof/>
            <w:webHidden/>
          </w:rPr>
          <w:instrText xml:space="preserve"> PAGEREF _Toc241839710 \h </w:instrText>
        </w:r>
        <w:r w:rsidRPr="00840C83">
          <w:rPr>
            <w:rFonts w:asciiTheme="minorHAnsi" w:hAnsiTheme="minorHAnsi" w:cstheme="minorHAnsi"/>
            <w:noProof/>
            <w:webHidden/>
          </w:rPr>
        </w:r>
        <w:r w:rsidRPr="00840C83">
          <w:rPr>
            <w:rFonts w:asciiTheme="minorHAnsi" w:hAnsiTheme="minorHAnsi" w:cstheme="minorHAnsi"/>
            <w:noProof/>
            <w:webHidden/>
          </w:rPr>
          <w:fldChar w:fldCharType="separate"/>
        </w:r>
        <w:r w:rsidR="009F7062">
          <w:rPr>
            <w:rFonts w:asciiTheme="minorHAnsi" w:hAnsiTheme="minorHAnsi" w:cstheme="minorHAnsi"/>
            <w:noProof/>
            <w:webHidden/>
          </w:rPr>
          <w:t>39</w:t>
        </w:r>
        <w:r w:rsidRPr="00840C83">
          <w:rPr>
            <w:rFonts w:asciiTheme="minorHAnsi" w:hAnsiTheme="minorHAnsi" w:cstheme="minorHAnsi"/>
            <w:noProof/>
            <w:webHidden/>
          </w:rPr>
          <w:fldChar w:fldCharType="end"/>
        </w:r>
      </w:hyperlink>
    </w:p>
    <w:p w14:paraId="7A2160B2" w14:textId="68C9488F" w:rsidR="00840C83" w:rsidRPr="00840C83" w:rsidRDefault="00840C83">
      <w:pPr>
        <w:pStyle w:val="Spistreci1"/>
        <w:rPr>
          <w:rFonts w:asciiTheme="minorHAnsi" w:eastAsiaTheme="minorEastAsia" w:hAnsiTheme="minorHAnsi" w:cstheme="minorHAnsi"/>
          <w:noProof/>
          <w:kern w:val="2"/>
          <w:szCs w:val="24"/>
          <w14:ligatures w14:val="standardContextual"/>
        </w:rPr>
      </w:pPr>
      <w:hyperlink w:anchor="_Toc241839711" w:history="1">
        <w:r w:rsidRPr="00840C83">
          <w:rPr>
            <w:rStyle w:val="Hipercze"/>
            <w:rFonts w:asciiTheme="minorHAnsi" w:eastAsia="Calibri" w:hAnsiTheme="minorHAnsi" w:cstheme="minorHAnsi"/>
            <w:noProof/>
            <w:lang w:eastAsia="en-US"/>
          </w:rPr>
          <w:t xml:space="preserve">1.1.15 </w:t>
        </w:r>
        <w:r w:rsidRPr="00840C83">
          <w:rPr>
            <w:rStyle w:val="Hipercze"/>
            <w:rFonts w:asciiTheme="minorHAnsi" w:hAnsiTheme="minorHAnsi" w:cstheme="minorHAnsi"/>
            <w:noProof/>
          </w:rPr>
          <w:t>ODNIESIENIE DO KRYTERIÓW WYBORU PROJEKTÓW</w:t>
        </w:r>
        <w:r w:rsidRPr="00840C83">
          <w:rPr>
            <w:rFonts w:asciiTheme="minorHAnsi" w:hAnsiTheme="minorHAnsi" w:cstheme="minorHAnsi"/>
            <w:noProof/>
            <w:webHidden/>
          </w:rPr>
          <w:tab/>
        </w:r>
        <w:r w:rsidRPr="00840C83">
          <w:rPr>
            <w:rFonts w:asciiTheme="minorHAnsi" w:hAnsiTheme="minorHAnsi" w:cstheme="minorHAnsi"/>
            <w:noProof/>
            <w:webHidden/>
          </w:rPr>
          <w:fldChar w:fldCharType="begin"/>
        </w:r>
        <w:r w:rsidRPr="00840C83">
          <w:rPr>
            <w:rFonts w:asciiTheme="minorHAnsi" w:hAnsiTheme="minorHAnsi" w:cstheme="minorHAnsi"/>
            <w:noProof/>
            <w:webHidden/>
          </w:rPr>
          <w:instrText xml:space="preserve"> PAGEREF _Toc241839711 \h </w:instrText>
        </w:r>
        <w:r w:rsidRPr="00840C83">
          <w:rPr>
            <w:rFonts w:asciiTheme="minorHAnsi" w:hAnsiTheme="minorHAnsi" w:cstheme="minorHAnsi"/>
            <w:noProof/>
            <w:webHidden/>
          </w:rPr>
        </w:r>
        <w:r w:rsidRPr="00840C83">
          <w:rPr>
            <w:rFonts w:asciiTheme="minorHAnsi" w:hAnsiTheme="minorHAnsi" w:cstheme="minorHAnsi"/>
            <w:noProof/>
            <w:webHidden/>
          </w:rPr>
          <w:fldChar w:fldCharType="separate"/>
        </w:r>
        <w:r w:rsidR="009F7062">
          <w:rPr>
            <w:rFonts w:asciiTheme="minorHAnsi" w:hAnsiTheme="minorHAnsi" w:cstheme="minorHAnsi"/>
            <w:noProof/>
            <w:webHidden/>
          </w:rPr>
          <w:t>39</w:t>
        </w:r>
        <w:r w:rsidRPr="00840C83">
          <w:rPr>
            <w:rFonts w:asciiTheme="minorHAnsi" w:hAnsiTheme="minorHAnsi" w:cstheme="minorHAnsi"/>
            <w:noProof/>
            <w:webHidden/>
          </w:rPr>
          <w:fldChar w:fldCharType="end"/>
        </w:r>
      </w:hyperlink>
    </w:p>
    <w:p w14:paraId="6D877436" w14:textId="27403433" w:rsidR="00840C83" w:rsidRPr="00840C83" w:rsidRDefault="00840C83">
      <w:pPr>
        <w:pStyle w:val="Spistreci3"/>
        <w:rPr>
          <w:rFonts w:asciiTheme="minorHAnsi" w:eastAsiaTheme="minorEastAsia" w:hAnsiTheme="minorHAnsi" w:cstheme="minorHAnsi"/>
          <w:b w:val="0"/>
          <w:kern w:val="2"/>
          <w:szCs w:val="24"/>
          <w14:ligatures w14:val="standardContextual"/>
        </w:rPr>
      </w:pPr>
      <w:hyperlink w:anchor="_Toc241839712" w:history="1">
        <w:r w:rsidRPr="00840C83">
          <w:rPr>
            <w:rStyle w:val="Hipercze"/>
            <w:rFonts w:asciiTheme="minorHAnsi" w:hAnsiTheme="minorHAnsi" w:cstheme="minorHAnsi"/>
          </w:rPr>
          <w:t>1.2 INSTRUKCJA PRZYGOTOWANIA STUDIUM WYKONALNOŚCI INWESTYCJI  TJ. ZAŁĄCZNIKA 1B DO WNIOSKU O DOFINANSOWANIE - dla projektów, których całkowity koszt kwalifikowalny w momencie złożenia wniosku  o dofinansowanie jest niższy od 50 mln zł</w:t>
        </w:r>
        <w:r w:rsidRPr="00840C83">
          <w:rPr>
            <w:rFonts w:asciiTheme="minorHAnsi" w:hAnsiTheme="minorHAnsi" w:cstheme="minorHAnsi"/>
            <w:webHidden/>
          </w:rPr>
          <w:tab/>
        </w:r>
        <w:r w:rsidRPr="00840C83">
          <w:rPr>
            <w:rFonts w:asciiTheme="minorHAnsi" w:hAnsiTheme="minorHAnsi" w:cstheme="minorHAnsi"/>
            <w:webHidden/>
          </w:rPr>
          <w:fldChar w:fldCharType="begin"/>
        </w:r>
        <w:r w:rsidRPr="00840C83">
          <w:rPr>
            <w:rFonts w:asciiTheme="minorHAnsi" w:hAnsiTheme="minorHAnsi" w:cstheme="minorHAnsi"/>
            <w:webHidden/>
          </w:rPr>
          <w:instrText xml:space="preserve"> PAGEREF _Toc241839712 \h </w:instrText>
        </w:r>
        <w:r w:rsidRPr="00840C83">
          <w:rPr>
            <w:rFonts w:asciiTheme="minorHAnsi" w:hAnsiTheme="minorHAnsi" w:cstheme="minorHAnsi"/>
            <w:webHidden/>
          </w:rPr>
        </w:r>
        <w:r w:rsidRPr="00840C83">
          <w:rPr>
            <w:rFonts w:asciiTheme="minorHAnsi" w:hAnsiTheme="minorHAnsi" w:cstheme="minorHAnsi"/>
            <w:webHidden/>
          </w:rPr>
          <w:fldChar w:fldCharType="separate"/>
        </w:r>
        <w:r w:rsidR="009F7062">
          <w:rPr>
            <w:rFonts w:asciiTheme="minorHAnsi" w:hAnsiTheme="minorHAnsi" w:cstheme="minorHAnsi"/>
            <w:webHidden/>
          </w:rPr>
          <w:t>39</w:t>
        </w:r>
        <w:r w:rsidRPr="00840C83">
          <w:rPr>
            <w:rFonts w:asciiTheme="minorHAnsi" w:hAnsiTheme="minorHAnsi" w:cstheme="minorHAnsi"/>
            <w:webHidden/>
          </w:rPr>
          <w:fldChar w:fldCharType="end"/>
        </w:r>
      </w:hyperlink>
    </w:p>
    <w:p w14:paraId="00823D06" w14:textId="7F192CCF" w:rsidR="00840C83" w:rsidRPr="00840C83" w:rsidRDefault="00840C83">
      <w:pPr>
        <w:pStyle w:val="Spistreci1"/>
        <w:rPr>
          <w:rFonts w:asciiTheme="minorHAnsi" w:eastAsiaTheme="minorEastAsia" w:hAnsiTheme="minorHAnsi" w:cstheme="minorHAnsi"/>
          <w:noProof/>
          <w:kern w:val="2"/>
          <w:szCs w:val="24"/>
          <w14:ligatures w14:val="standardContextual"/>
        </w:rPr>
      </w:pPr>
      <w:hyperlink w:anchor="_Toc241839713" w:history="1">
        <w:r w:rsidRPr="00840C83">
          <w:rPr>
            <w:rStyle w:val="Hipercze"/>
            <w:rFonts w:asciiTheme="minorHAnsi" w:hAnsiTheme="minorHAnsi" w:cstheme="minorHAnsi"/>
            <w:noProof/>
          </w:rPr>
          <w:t>1.2.1</w:t>
        </w:r>
        <w:r w:rsidRPr="00840C83">
          <w:rPr>
            <w:rFonts w:asciiTheme="minorHAnsi" w:eastAsiaTheme="minorEastAsia" w:hAnsiTheme="minorHAnsi" w:cstheme="minorHAnsi"/>
            <w:noProof/>
            <w:kern w:val="2"/>
            <w:szCs w:val="24"/>
            <w14:ligatures w14:val="standardContextual"/>
          </w:rPr>
          <w:tab/>
        </w:r>
        <w:r w:rsidRPr="00840C83">
          <w:rPr>
            <w:rStyle w:val="Hipercze"/>
            <w:rFonts w:asciiTheme="minorHAnsi" w:hAnsiTheme="minorHAnsi" w:cstheme="minorHAnsi"/>
            <w:noProof/>
          </w:rPr>
          <w:t>SŁOWNIK POJĘĆ</w:t>
        </w:r>
        <w:r w:rsidRPr="00840C83">
          <w:rPr>
            <w:rFonts w:asciiTheme="minorHAnsi" w:hAnsiTheme="minorHAnsi" w:cstheme="minorHAnsi"/>
            <w:noProof/>
            <w:webHidden/>
          </w:rPr>
          <w:tab/>
        </w:r>
        <w:r w:rsidRPr="00840C83">
          <w:rPr>
            <w:rFonts w:asciiTheme="minorHAnsi" w:hAnsiTheme="minorHAnsi" w:cstheme="minorHAnsi"/>
            <w:noProof/>
            <w:webHidden/>
          </w:rPr>
          <w:fldChar w:fldCharType="begin"/>
        </w:r>
        <w:r w:rsidRPr="00840C83">
          <w:rPr>
            <w:rFonts w:asciiTheme="minorHAnsi" w:hAnsiTheme="minorHAnsi" w:cstheme="minorHAnsi"/>
            <w:noProof/>
            <w:webHidden/>
          </w:rPr>
          <w:instrText xml:space="preserve"> PAGEREF _Toc241839713 \h </w:instrText>
        </w:r>
        <w:r w:rsidRPr="00840C83">
          <w:rPr>
            <w:rFonts w:asciiTheme="minorHAnsi" w:hAnsiTheme="minorHAnsi" w:cstheme="minorHAnsi"/>
            <w:noProof/>
            <w:webHidden/>
          </w:rPr>
        </w:r>
        <w:r w:rsidRPr="00840C83">
          <w:rPr>
            <w:rFonts w:asciiTheme="minorHAnsi" w:hAnsiTheme="minorHAnsi" w:cstheme="minorHAnsi"/>
            <w:noProof/>
            <w:webHidden/>
          </w:rPr>
          <w:fldChar w:fldCharType="separate"/>
        </w:r>
        <w:r w:rsidR="009F7062">
          <w:rPr>
            <w:rFonts w:asciiTheme="minorHAnsi" w:hAnsiTheme="minorHAnsi" w:cstheme="minorHAnsi"/>
            <w:noProof/>
            <w:webHidden/>
          </w:rPr>
          <w:t>40</w:t>
        </w:r>
        <w:r w:rsidRPr="00840C83">
          <w:rPr>
            <w:rFonts w:asciiTheme="minorHAnsi" w:hAnsiTheme="minorHAnsi" w:cstheme="minorHAnsi"/>
            <w:noProof/>
            <w:webHidden/>
          </w:rPr>
          <w:fldChar w:fldCharType="end"/>
        </w:r>
      </w:hyperlink>
    </w:p>
    <w:p w14:paraId="1F6BB6F8" w14:textId="37C6F634" w:rsidR="00840C83" w:rsidRPr="00840C83" w:rsidRDefault="00840C83">
      <w:pPr>
        <w:pStyle w:val="Spistreci1"/>
        <w:rPr>
          <w:rFonts w:asciiTheme="minorHAnsi" w:eastAsiaTheme="minorEastAsia" w:hAnsiTheme="minorHAnsi" w:cstheme="minorHAnsi"/>
          <w:noProof/>
          <w:kern w:val="2"/>
          <w:szCs w:val="24"/>
          <w14:ligatures w14:val="standardContextual"/>
        </w:rPr>
      </w:pPr>
      <w:hyperlink w:anchor="_Toc241839714" w:history="1">
        <w:r w:rsidRPr="00840C83">
          <w:rPr>
            <w:rStyle w:val="Hipercze"/>
            <w:rFonts w:asciiTheme="minorHAnsi" w:hAnsiTheme="minorHAnsi" w:cstheme="minorHAnsi"/>
            <w:noProof/>
          </w:rPr>
          <w:t>1.2.2</w:t>
        </w:r>
        <w:r w:rsidRPr="00840C83">
          <w:rPr>
            <w:rFonts w:asciiTheme="minorHAnsi" w:eastAsiaTheme="minorEastAsia" w:hAnsiTheme="minorHAnsi" w:cstheme="minorHAnsi"/>
            <w:noProof/>
            <w:kern w:val="2"/>
            <w:szCs w:val="24"/>
            <w14:ligatures w14:val="standardContextual"/>
          </w:rPr>
          <w:tab/>
        </w:r>
        <w:r w:rsidRPr="00840C83">
          <w:rPr>
            <w:rStyle w:val="Hipercze"/>
            <w:rFonts w:asciiTheme="minorHAnsi" w:hAnsiTheme="minorHAnsi" w:cstheme="minorHAnsi"/>
            <w:noProof/>
          </w:rPr>
          <w:t>WSTĘP</w:t>
        </w:r>
        <w:r w:rsidRPr="00840C83">
          <w:rPr>
            <w:rFonts w:asciiTheme="minorHAnsi" w:hAnsiTheme="minorHAnsi" w:cstheme="minorHAnsi"/>
            <w:noProof/>
            <w:webHidden/>
          </w:rPr>
          <w:tab/>
        </w:r>
        <w:r w:rsidRPr="00840C83">
          <w:rPr>
            <w:rFonts w:asciiTheme="minorHAnsi" w:hAnsiTheme="minorHAnsi" w:cstheme="minorHAnsi"/>
            <w:noProof/>
            <w:webHidden/>
          </w:rPr>
          <w:fldChar w:fldCharType="begin"/>
        </w:r>
        <w:r w:rsidRPr="00840C83">
          <w:rPr>
            <w:rFonts w:asciiTheme="minorHAnsi" w:hAnsiTheme="minorHAnsi" w:cstheme="minorHAnsi"/>
            <w:noProof/>
            <w:webHidden/>
          </w:rPr>
          <w:instrText xml:space="preserve"> PAGEREF _Toc241839714 \h </w:instrText>
        </w:r>
        <w:r w:rsidRPr="00840C83">
          <w:rPr>
            <w:rFonts w:asciiTheme="minorHAnsi" w:hAnsiTheme="minorHAnsi" w:cstheme="minorHAnsi"/>
            <w:noProof/>
            <w:webHidden/>
          </w:rPr>
        </w:r>
        <w:r w:rsidRPr="00840C83">
          <w:rPr>
            <w:rFonts w:asciiTheme="minorHAnsi" w:hAnsiTheme="minorHAnsi" w:cstheme="minorHAnsi"/>
            <w:noProof/>
            <w:webHidden/>
          </w:rPr>
          <w:fldChar w:fldCharType="separate"/>
        </w:r>
        <w:r w:rsidR="009F7062">
          <w:rPr>
            <w:rFonts w:asciiTheme="minorHAnsi" w:hAnsiTheme="minorHAnsi" w:cstheme="minorHAnsi"/>
            <w:noProof/>
            <w:webHidden/>
          </w:rPr>
          <w:t>41</w:t>
        </w:r>
        <w:r w:rsidRPr="00840C83">
          <w:rPr>
            <w:rFonts w:asciiTheme="minorHAnsi" w:hAnsiTheme="minorHAnsi" w:cstheme="minorHAnsi"/>
            <w:noProof/>
            <w:webHidden/>
          </w:rPr>
          <w:fldChar w:fldCharType="end"/>
        </w:r>
      </w:hyperlink>
    </w:p>
    <w:p w14:paraId="02570CE2" w14:textId="3796D6FB" w:rsidR="00840C83" w:rsidRPr="00840C83" w:rsidRDefault="00840C83">
      <w:pPr>
        <w:pStyle w:val="Spistreci1"/>
        <w:rPr>
          <w:rFonts w:asciiTheme="minorHAnsi" w:eastAsiaTheme="minorEastAsia" w:hAnsiTheme="minorHAnsi" w:cstheme="minorHAnsi"/>
          <w:noProof/>
          <w:kern w:val="2"/>
          <w:szCs w:val="24"/>
          <w14:ligatures w14:val="standardContextual"/>
        </w:rPr>
      </w:pPr>
      <w:hyperlink w:anchor="_Toc241839715" w:history="1">
        <w:r w:rsidRPr="00840C83">
          <w:rPr>
            <w:rStyle w:val="Hipercze"/>
            <w:rFonts w:asciiTheme="minorHAnsi" w:hAnsiTheme="minorHAnsi" w:cstheme="minorHAnsi"/>
            <w:noProof/>
          </w:rPr>
          <w:t>1.2.3</w:t>
        </w:r>
        <w:r w:rsidRPr="00840C83">
          <w:rPr>
            <w:rFonts w:asciiTheme="minorHAnsi" w:eastAsiaTheme="minorEastAsia" w:hAnsiTheme="minorHAnsi" w:cstheme="minorHAnsi"/>
            <w:noProof/>
            <w:kern w:val="2"/>
            <w:szCs w:val="24"/>
            <w14:ligatures w14:val="standardContextual"/>
          </w:rPr>
          <w:tab/>
        </w:r>
        <w:r w:rsidRPr="00840C83">
          <w:rPr>
            <w:rStyle w:val="Hipercze"/>
            <w:rFonts w:asciiTheme="minorHAnsi" w:hAnsiTheme="minorHAnsi" w:cstheme="minorHAnsi"/>
            <w:noProof/>
          </w:rPr>
          <w:t>IDENTYFIKACJA PROJEKTU</w:t>
        </w:r>
        <w:r w:rsidRPr="00840C83">
          <w:rPr>
            <w:rFonts w:asciiTheme="minorHAnsi" w:hAnsiTheme="minorHAnsi" w:cstheme="minorHAnsi"/>
            <w:noProof/>
            <w:webHidden/>
          </w:rPr>
          <w:tab/>
        </w:r>
        <w:r w:rsidRPr="00840C83">
          <w:rPr>
            <w:rFonts w:asciiTheme="minorHAnsi" w:hAnsiTheme="minorHAnsi" w:cstheme="minorHAnsi"/>
            <w:noProof/>
            <w:webHidden/>
          </w:rPr>
          <w:fldChar w:fldCharType="begin"/>
        </w:r>
        <w:r w:rsidRPr="00840C83">
          <w:rPr>
            <w:rFonts w:asciiTheme="minorHAnsi" w:hAnsiTheme="minorHAnsi" w:cstheme="minorHAnsi"/>
            <w:noProof/>
            <w:webHidden/>
          </w:rPr>
          <w:instrText xml:space="preserve"> PAGEREF _Toc241839715 \h </w:instrText>
        </w:r>
        <w:r w:rsidRPr="00840C83">
          <w:rPr>
            <w:rFonts w:asciiTheme="minorHAnsi" w:hAnsiTheme="minorHAnsi" w:cstheme="minorHAnsi"/>
            <w:noProof/>
            <w:webHidden/>
          </w:rPr>
        </w:r>
        <w:r w:rsidRPr="00840C83">
          <w:rPr>
            <w:rFonts w:asciiTheme="minorHAnsi" w:hAnsiTheme="minorHAnsi" w:cstheme="minorHAnsi"/>
            <w:noProof/>
            <w:webHidden/>
          </w:rPr>
          <w:fldChar w:fldCharType="separate"/>
        </w:r>
        <w:r w:rsidR="009F7062">
          <w:rPr>
            <w:rFonts w:asciiTheme="minorHAnsi" w:hAnsiTheme="minorHAnsi" w:cstheme="minorHAnsi"/>
            <w:noProof/>
            <w:webHidden/>
          </w:rPr>
          <w:t>42</w:t>
        </w:r>
        <w:r w:rsidRPr="00840C83">
          <w:rPr>
            <w:rFonts w:asciiTheme="minorHAnsi" w:hAnsiTheme="minorHAnsi" w:cstheme="minorHAnsi"/>
            <w:noProof/>
            <w:webHidden/>
          </w:rPr>
          <w:fldChar w:fldCharType="end"/>
        </w:r>
      </w:hyperlink>
    </w:p>
    <w:p w14:paraId="6095EF56" w14:textId="25A9D6A8" w:rsidR="00840C83" w:rsidRPr="00840C83" w:rsidRDefault="00840C83">
      <w:pPr>
        <w:pStyle w:val="Spistreci1"/>
        <w:rPr>
          <w:rFonts w:asciiTheme="minorHAnsi" w:eastAsiaTheme="minorEastAsia" w:hAnsiTheme="minorHAnsi" w:cstheme="minorHAnsi"/>
          <w:noProof/>
          <w:kern w:val="2"/>
          <w:szCs w:val="24"/>
          <w14:ligatures w14:val="standardContextual"/>
        </w:rPr>
      </w:pPr>
      <w:hyperlink w:anchor="_Toc241839716" w:history="1">
        <w:r w:rsidRPr="00840C83">
          <w:rPr>
            <w:rStyle w:val="Hipercze"/>
            <w:rFonts w:asciiTheme="minorHAnsi" w:hAnsiTheme="minorHAnsi" w:cstheme="minorHAnsi"/>
            <w:noProof/>
          </w:rPr>
          <w:t>1.2.4</w:t>
        </w:r>
        <w:r w:rsidRPr="00840C83">
          <w:rPr>
            <w:rFonts w:asciiTheme="minorHAnsi" w:eastAsiaTheme="minorEastAsia" w:hAnsiTheme="minorHAnsi" w:cstheme="minorHAnsi"/>
            <w:noProof/>
            <w:kern w:val="2"/>
            <w:szCs w:val="24"/>
            <w14:ligatures w14:val="standardContextual"/>
          </w:rPr>
          <w:tab/>
        </w:r>
        <w:r w:rsidRPr="00840C83">
          <w:rPr>
            <w:rStyle w:val="Hipercze"/>
            <w:rFonts w:asciiTheme="minorHAnsi" w:hAnsiTheme="minorHAnsi" w:cstheme="minorHAnsi"/>
            <w:noProof/>
          </w:rPr>
          <w:t>DEFINICJA CELÓW PROJEKTU</w:t>
        </w:r>
        <w:r w:rsidRPr="00840C83">
          <w:rPr>
            <w:rFonts w:asciiTheme="minorHAnsi" w:hAnsiTheme="minorHAnsi" w:cstheme="minorHAnsi"/>
            <w:noProof/>
            <w:webHidden/>
          </w:rPr>
          <w:tab/>
        </w:r>
        <w:r w:rsidRPr="00840C83">
          <w:rPr>
            <w:rFonts w:asciiTheme="minorHAnsi" w:hAnsiTheme="minorHAnsi" w:cstheme="minorHAnsi"/>
            <w:noProof/>
            <w:webHidden/>
          </w:rPr>
          <w:fldChar w:fldCharType="begin"/>
        </w:r>
        <w:r w:rsidRPr="00840C83">
          <w:rPr>
            <w:rFonts w:asciiTheme="minorHAnsi" w:hAnsiTheme="minorHAnsi" w:cstheme="minorHAnsi"/>
            <w:noProof/>
            <w:webHidden/>
          </w:rPr>
          <w:instrText xml:space="preserve"> PAGEREF _Toc241839716 \h </w:instrText>
        </w:r>
        <w:r w:rsidRPr="00840C83">
          <w:rPr>
            <w:rFonts w:asciiTheme="minorHAnsi" w:hAnsiTheme="minorHAnsi" w:cstheme="minorHAnsi"/>
            <w:noProof/>
            <w:webHidden/>
          </w:rPr>
        </w:r>
        <w:r w:rsidRPr="00840C83">
          <w:rPr>
            <w:rFonts w:asciiTheme="minorHAnsi" w:hAnsiTheme="minorHAnsi" w:cstheme="minorHAnsi"/>
            <w:noProof/>
            <w:webHidden/>
          </w:rPr>
          <w:fldChar w:fldCharType="separate"/>
        </w:r>
        <w:r w:rsidR="009F7062">
          <w:rPr>
            <w:rFonts w:asciiTheme="minorHAnsi" w:hAnsiTheme="minorHAnsi" w:cstheme="minorHAnsi"/>
            <w:noProof/>
            <w:webHidden/>
          </w:rPr>
          <w:t>42</w:t>
        </w:r>
        <w:r w:rsidRPr="00840C83">
          <w:rPr>
            <w:rFonts w:asciiTheme="minorHAnsi" w:hAnsiTheme="minorHAnsi" w:cstheme="minorHAnsi"/>
            <w:noProof/>
            <w:webHidden/>
          </w:rPr>
          <w:fldChar w:fldCharType="end"/>
        </w:r>
      </w:hyperlink>
    </w:p>
    <w:p w14:paraId="730BA566" w14:textId="3768482A" w:rsidR="00840C83" w:rsidRPr="00840C83" w:rsidRDefault="00840C83">
      <w:pPr>
        <w:pStyle w:val="Spistreci1"/>
        <w:rPr>
          <w:rFonts w:asciiTheme="minorHAnsi" w:eastAsiaTheme="minorEastAsia" w:hAnsiTheme="minorHAnsi" w:cstheme="minorHAnsi"/>
          <w:noProof/>
          <w:kern w:val="2"/>
          <w:szCs w:val="24"/>
          <w14:ligatures w14:val="standardContextual"/>
        </w:rPr>
      </w:pPr>
      <w:hyperlink w:anchor="_Toc241839717" w:history="1">
        <w:r w:rsidRPr="00840C83">
          <w:rPr>
            <w:rStyle w:val="Hipercze"/>
            <w:rFonts w:asciiTheme="minorHAnsi" w:hAnsiTheme="minorHAnsi" w:cstheme="minorHAnsi"/>
            <w:noProof/>
          </w:rPr>
          <w:t>1.2.5</w:t>
        </w:r>
        <w:r w:rsidRPr="00840C83">
          <w:rPr>
            <w:rFonts w:asciiTheme="minorHAnsi" w:eastAsiaTheme="minorEastAsia" w:hAnsiTheme="minorHAnsi" w:cstheme="minorHAnsi"/>
            <w:noProof/>
            <w:kern w:val="2"/>
            <w:szCs w:val="24"/>
            <w14:ligatures w14:val="standardContextual"/>
          </w:rPr>
          <w:tab/>
        </w:r>
        <w:r w:rsidRPr="00840C83">
          <w:rPr>
            <w:rStyle w:val="Hipercze"/>
            <w:rFonts w:asciiTheme="minorHAnsi" w:hAnsiTheme="minorHAnsi" w:cstheme="minorHAnsi"/>
            <w:noProof/>
          </w:rPr>
          <w:t>ANALIZA INSTYTUCJONALNA I WYKONALNOŚCI PROJEKTU</w:t>
        </w:r>
        <w:r w:rsidRPr="00840C83">
          <w:rPr>
            <w:rFonts w:asciiTheme="minorHAnsi" w:hAnsiTheme="minorHAnsi" w:cstheme="minorHAnsi"/>
            <w:noProof/>
            <w:webHidden/>
          </w:rPr>
          <w:tab/>
        </w:r>
        <w:r w:rsidRPr="00840C83">
          <w:rPr>
            <w:rFonts w:asciiTheme="minorHAnsi" w:hAnsiTheme="minorHAnsi" w:cstheme="minorHAnsi"/>
            <w:noProof/>
            <w:webHidden/>
          </w:rPr>
          <w:fldChar w:fldCharType="begin"/>
        </w:r>
        <w:r w:rsidRPr="00840C83">
          <w:rPr>
            <w:rFonts w:asciiTheme="minorHAnsi" w:hAnsiTheme="minorHAnsi" w:cstheme="minorHAnsi"/>
            <w:noProof/>
            <w:webHidden/>
          </w:rPr>
          <w:instrText xml:space="preserve"> PAGEREF _Toc241839717 \h </w:instrText>
        </w:r>
        <w:r w:rsidRPr="00840C83">
          <w:rPr>
            <w:rFonts w:asciiTheme="minorHAnsi" w:hAnsiTheme="minorHAnsi" w:cstheme="minorHAnsi"/>
            <w:noProof/>
            <w:webHidden/>
          </w:rPr>
        </w:r>
        <w:r w:rsidRPr="00840C83">
          <w:rPr>
            <w:rFonts w:asciiTheme="minorHAnsi" w:hAnsiTheme="minorHAnsi" w:cstheme="minorHAnsi"/>
            <w:noProof/>
            <w:webHidden/>
          </w:rPr>
          <w:fldChar w:fldCharType="separate"/>
        </w:r>
        <w:r w:rsidR="009F7062">
          <w:rPr>
            <w:rFonts w:asciiTheme="minorHAnsi" w:hAnsiTheme="minorHAnsi" w:cstheme="minorHAnsi"/>
            <w:noProof/>
            <w:webHidden/>
          </w:rPr>
          <w:t>43</w:t>
        </w:r>
        <w:r w:rsidRPr="00840C83">
          <w:rPr>
            <w:rFonts w:asciiTheme="minorHAnsi" w:hAnsiTheme="minorHAnsi" w:cstheme="minorHAnsi"/>
            <w:noProof/>
            <w:webHidden/>
          </w:rPr>
          <w:fldChar w:fldCharType="end"/>
        </w:r>
      </w:hyperlink>
    </w:p>
    <w:p w14:paraId="20D5297A" w14:textId="7EF8C4D6" w:rsidR="00840C83" w:rsidRPr="00840C83" w:rsidRDefault="00840C83">
      <w:pPr>
        <w:pStyle w:val="Spistreci1"/>
        <w:rPr>
          <w:rFonts w:asciiTheme="minorHAnsi" w:eastAsiaTheme="minorEastAsia" w:hAnsiTheme="minorHAnsi" w:cstheme="minorHAnsi"/>
          <w:noProof/>
          <w:kern w:val="2"/>
          <w:szCs w:val="24"/>
          <w14:ligatures w14:val="standardContextual"/>
        </w:rPr>
      </w:pPr>
      <w:hyperlink w:anchor="_Toc241839718" w:history="1">
        <w:r w:rsidRPr="00840C83">
          <w:rPr>
            <w:rStyle w:val="Hipercze"/>
            <w:rFonts w:asciiTheme="minorHAnsi" w:hAnsiTheme="minorHAnsi" w:cstheme="minorHAnsi"/>
            <w:noProof/>
          </w:rPr>
          <w:t>1.2.6</w:t>
        </w:r>
        <w:r w:rsidRPr="00840C83">
          <w:rPr>
            <w:rFonts w:asciiTheme="minorHAnsi" w:eastAsiaTheme="minorEastAsia" w:hAnsiTheme="minorHAnsi" w:cstheme="minorHAnsi"/>
            <w:noProof/>
            <w:kern w:val="2"/>
            <w:szCs w:val="24"/>
            <w14:ligatures w14:val="standardContextual"/>
          </w:rPr>
          <w:tab/>
        </w:r>
        <w:r w:rsidRPr="00840C83">
          <w:rPr>
            <w:rStyle w:val="Hipercze"/>
            <w:rFonts w:asciiTheme="minorHAnsi" w:hAnsiTheme="minorHAnsi" w:cstheme="minorHAnsi"/>
            <w:noProof/>
          </w:rPr>
          <w:t>ANALIZA OPCJI</w:t>
        </w:r>
        <w:r w:rsidRPr="00840C83">
          <w:rPr>
            <w:rFonts w:asciiTheme="minorHAnsi" w:hAnsiTheme="minorHAnsi" w:cstheme="minorHAnsi"/>
            <w:noProof/>
            <w:webHidden/>
          </w:rPr>
          <w:tab/>
        </w:r>
        <w:r w:rsidRPr="00840C83">
          <w:rPr>
            <w:rFonts w:asciiTheme="minorHAnsi" w:hAnsiTheme="minorHAnsi" w:cstheme="minorHAnsi"/>
            <w:noProof/>
            <w:webHidden/>
          </w:rPr>
          <w:fldChar w:fldCharType="begin"/>
        </w:r>
        <w:r w:rsidRPr="00840C83">
          <w:rPr>
            <w:rFonts w:asciiTheme="minorHAnsi" w:hAnsiTheme="minorHAnsi" w:cstheme="minorHAnsi"/>
            <w:noProof/>
            <w:webHidden/>
          </w:rPr>
          <w:instrText xml:space="preserve"> PAGEREF _Toc241839718 \h </w:instrText>
        </w:r>
        <w:r w:rsidRPr="00840C83">
          <w:rPr>
            <w:rFonts w:asciiTheme="minorHAnsi" w:hAnsiTheme="minorHAnsi" w:cstheme="minorHAnsi"/>
            <w:noProof/>
            <w:webHidden/>
          </w:rPr>
        </w:r>
        <w:r w:rsidRPr="00840C83">
          <w:rPr>
            <w:rFonts w:asciiTheme="minorHAnsi" w:hAnsiTheme="minorHAnsi" w:cstheme="minorHAnsi"/>
            <w:noProof/>
            <w:webHidden/>
          </w:rPr>
          <w:fldChar w:fldCharType="separate"/>
        </w:r>
        <w:r w:rsidR="009F7062">
          <w:rPr>
            <w:rFonts w:asciiTheme="minorHAnsi" w:hAnsiTheme="minorHAnsi" w:cstheme="minorHAnsi"/>
            <w:noProof/>
            <w:webHidden/>
          </w:rPr>
          <w:t>44</w:t>
        </w:r>
        <w:r w:rsidRPr="00840C83">
          <w:rPr>
            <w:rFonts w:asciiTheme="minorHAnsi" w:hAnsiTheme="minorHAnsi" w:cstheme="minorHAnsi"/>
            <w:noProof/>
            <w:webHidden/>
          </w:rPr>
          <w:fldChar w:fldCharType="end"/>
        </w:r>
      </w:hyperlink>
    </w:p>
    <w:p w14:paraId="2CA4E4B2" w14:textId="40922CDE" w:rsidR="00840C83" w:rsidRPr="00840C83" w:rsidRDefault="00840C83">
      <w:pPr>
        <w:pStyle w:val="Spistreci1"/>
        <w:rPr>
          <w:rFonts w:asciiTheme="minorHAnsi" w:eastAsiaTheme="minorEastAsia" w:hAnsiTheme="minorHAnsi" w:cstheme="minorHAnsi"/>
          <w:noProof/>
          <w:kern w:val="2"/>
          <w:szCs w:val="24"/>
          <w14:ligatures w14:val="standardContextual"/>
        </w:rPr>
      </w:pPr>
      <w:hyperlink w:anchor="_Toc241839719" w:history="1">
        <w:r w:rsidRPr="00840C83">
          <w:rPr>
            <w:rStyle w:val="Hipercze"/>
            <w:rFonts w:asciiTheme="minorHAnsi" w:hAnsiTheme="minorHAnsi" w:cstheme="minorHAnsi"/>
            <w:noProof/>
          </w:rPr>
          <w:t>1.2.7</w:t>
        </w:r>
        <w:r w:rsidRPr="00840C83">
          <w:rPr>
            <w:rFonts w:asciiTheme="minorHAnsi" w:eastAsiaTheme="minorEastAsia" w:hAnsiTheme="minorHAnsi" w:cstheme="minorHAnsi"/>
            <w:noProof/>
            <w:kern w:val="2"/>
            <w:szCs w:val="24"/>
            <w14:ligatures w14:val="standardContextual"/>
          </w:rPr>
          <w:tab/>
        </w:r>
        <w:r w:rsidRPr="00840C83">
          <w:rPr>
            <w:rStyle w:val="Hipercze"/>
            <w:rFonts w:asciiTheme="minorHAnsi" w:hAnsiTheme="minorHAnsi" w:cstheme="minorHAnsi"/>
            <w:noProof/>
          </w:rPr>
          <w:t>FINANSOWA TRWAŁOŚĆ PROJEKTU</w:t>
        </w:r>
        <w:r w:rsidRPr="00840C83">
          <w:rPr>
            <w:rFonts w:asciiTheme="minorHAnsi" w:hAnsiTheme="minorHAnsi" w:cstheme="minorHAnsi"/>
            <w:noProof/>
            <w:webHidden/>
          </w:rPr>
          <w:tab/>
        </w:r>
        <w:r w:rsidRPr="00840C83">
          <w:rPr>
            <w:rFonts w:asciiTheme="minorHAnsi" w:hAnsiTheme="minorHAnsi" w:cstheme="minorHAnsi"/>
            <w:noProof/>
            <w:webHidden/>
          </w:rPr>
          <w:fldChar w:fldCharType="begin"/>
        </w:r>
        <w:r w:rsidRPr="00840C83">
          <w:rPr>
            <w:rFonts w:asciiTheme="minorHAnsi" w:hAnsiTheme="minorHAnsi" w:cstheme="minorHAnsi"/>
            <w:noProof/>
            <w:webHidden/>
          </w:rPr>
          <w:instrText xml:space="preserve"> PAGEREF _Toc241839719 \h </w:instrText>
        </w:r>
        <w:r w:rsidRPr="00840C83">
          <w:rPr>
            <w:rFonts w:asciiTheme="minorHAnsi" w:hAnsiTheme="minorHAnsi" w:cstheme="minorHAnsi"/>
            <w:noProof/>
            <w:webHidden/>
          </w:rPr>
        </w:r>
        <w:r w:rsidRPr="00840C83">
          <w:rPr>
            <w:rFonts w:asciiTheme="minorHAnsi" w:hAnsiTheme="minorHAnsi" w:cstheme="minorHAnsi"/>
            <w:noProof/>
            <w:webHidden/>
          </w:rPr>
          <w:fldChar w:fldCharType="separate"/>
        </w:r>
        <w:r w:rsidR="009F7062">
          <w:rPr>
            <w:rFonts w:asciiTheme="minorHAnsi" w:hAnsiTheme="minorHAnsi" w:cstheme="minorHAnsi"/>
            <w:noProof/>
            <w:webHidden/>
          </w:rPr>
          <w:t>44</w:t>
        </w:r>
        <w:r w:rsidRPr="00840C83">
          <w:rPr>
            <w:rFonts w:asciiTheme="minorHAnsi" w:hAnsiTheme="minorHAnsi" w:cstheme="minorHAnsi"/>
            <w:noProof/>
            <w:webHidden/>
          </w:rPr>
          <w:fldChar w:fldCharType="end"/>
        </w:r>
      </w:hyperlink>
    </w:p>
    <w:p w14:paraId="4CE63D0E" w14:textId="4675097C" w:rsidR="00840C83" w:rsidRPr="00840C83" w:rsidRDefault="00840C83">
      <w:pPr>
        <w:pStyle w:val="Spistreci1"/>
        <w:rPr>
          <w:rFonts w:asciiTheme="minorHAnsi" w:eastAsiaTheme="minorEastAsia" w:hAnsiTheme="minorHAnsi" w:cstheme="minorHAnsi"/>
          <w:noProof/>
          <w:kern w:val="2"/>
          <w:szCs w:val="24"/>
          <w14:ligatures w14:val="standardContextual"/>
        </w:rPr>
      </w:pPr>
      <w:hyperlink w:anchor="_Toc241839720" w:history="1">
        <w:r w:rsidRPr="00840C83">
          <w:rPr>
            <w:rStyle w:val="Hipercze"/>
            <w:rFonts w:asciiTheme="minorHAnsi" w:hAnsiTheme="minorHAnsi" w:cstheme="minorHAnsi"/>
            <w:noProof/>
          </w:rPr>
          <w:t>1.2.8</w:t>
        </w:r>
        <w:r w:rsidRPr="00840C83">
          <w:rPr>
            <w:rFonts w:asciiTheme="minorHAnsi" w:eastAsiaTheme="minorEastAsia" w:hAnsiTheme="minorHAnsi" w:cstheme="minorHAnsi"/>
            <w:noProof/>
            <w:kern w:val="2"/>
            <w:szCs w:val="24"/>
            <w14:ligatures w14:val="standardContextual"/>
          </w:rPr>
          <w:tab/>
        </w:r>
        <w:r w:rsidRPr="00840C83">
          <w:rPr>
            <w:rStyle w:val="Hipercze"/>
            <w:rFonts w:asciiTheme="minorHAnsi" w:hAnsiTheme="minorHAnsi" w:cstheme="minorHAnsi"/>
            <w:noProof/>
          </w:rPr>
          <w:t>ZGODNOŚĆ Z POLITYKĄ KONKURENCJI (POMOC PUBLICZNA)</w:t>
        </w:r>
        <w:r w:rsidRPr="00840C83">
          <w:rPr>
            <w:rFonts w:asciiTheme="minorHAnsi" w:hAnsiTheme="minorHAnsi" w:cstheme="minorHAnsi"/>
            <w:noProof/>
            <w:webHidden/>
          </w:rPr>
          <w:tab/>
        </w:r>
        <w:r w:rsidRPr="00840C83">
          <w:rPr>
            <w:rFonts w:asciiTheme="minorHAnsi" w:hAnsiTheme="minorHAnsi" w:cstheme="minorHAnsi"/>
            <w:noProof/>
            <w:webHidden/>
          </w:rPr>
          <w:fldChar w:fldCharType="begin"/>
        </w:r>
        <w:r w:rsidRPr="00840C83">
          <w:rPr>
            <w:rFonts w:asciiTheme="minorHAnsi" w:hAnsiTheme="minorHAnsi" w:cstheme="minorHAnsi"/>
            <w:noProof/>
            <w:webHidden/>
          </w:rPr>
          <w:instrText xml:space="preserve"> PAGEREF _Toc241839720 \h </w:instrText>
        </w:r>
        <w:r w:rsidRPr="00840C83">
          <w:rPr>
            <w:rFonts w:asciiTheme="minorHAnsi" w:hAnsiTheme="minorHAnsi" w:cstheme="minorHAnsi"/>
            <w:noProof/>
            <w:webHidden/>
          </w:rPr>
        </w:r>
        <w:r w:rsidRPr="00840C83">
          <w:rPr>
            <w:rFonts w:asciiTheme="minorHAnsi" w:hAnsiTheme="minorHAnsi" w:cstheme="minorHAnsi"/>
            <w:noProof/>
            <w:webHidden/>
          </w:rPr>
          <w:fldChar w:fldCharType="separate"/>
        </w:r>
        <w:r w:rsidR="009F7062">
          <w:rPr>
            <w:rFonts w:asciiTheme="minorHAnsi" w:hAnsiTheme="minorHAnsi" w:cstheme="minorHAnsi"/>
            <w:noProof/>
            <w:webHidden/>
          </w:rPr>
          <w:t>45</w:t>
        </w:r>
        <w:r w:rsidRPr="00840C83">
          <w:rPr>
            <w:rFonts w:asciiTheme="minorHAnsi" w:hAnsiTheme="minorHAnsi" w:cstheme="minorHAnsi"/>
            <w:noProof/>
            <w:webHidden/>
          </w:rPr>
          <w:fldChar w:fldCharType="end"/>
        </w:r>
      </w:hyperlink>
    </w:p>
    <w:p w14:paraId="37C12B5C" w14:textId="10BEB9E8" w:rsidR="00840C83" w:rsidRPr="00840C83" w:rsidRDefault="00840C83">
      <w:pPr>
        <w:pStyle w:val="Spistreci1"/>
        <w:rPr>
          <w:rFonts w:asciiTheme="minorHAnsi" w:eastAsiaTheme="minorEastAsia" w:hAnsiTheme="minorHAnsi" w:cstheme="minorHAnsi"/>
          <w:noProof/>
          <w:kern w:val="2"/>
          <w:szCs w:val="24"/>
          <w14:ligatures w14:val="standardContextual"/>
        </w:rPr>
      </w:pPr>
      <w:hyperlink w:anchor="_Toc241839721" w:history="1">
        <w:r w:rsidRPr="00840C83">
          <w:rPr>
            <w:rStyle w:val="Hipercze"/>
            <w:rFonts w:asciiTheme="minorHAnsi" w:hAnsiTheme="minorHAnsi" w:cstheme="minorHAnsi"/>
            <w:noProof/>
          </w:rPr>
          <w:t>1.2.9</w:t>
        </w:r>
        <w:r w:rsidRPr="00840C83">
          <w:rPr>
            <w:rFonts w:asciiTheme="minorHAnsi" w:eastAsiaTheme="minorEastAsia" w:hAnsiTheme="minorHAnsi" w:cstheme="minorHAnsi"/>
            <w:noProof/>
            <w:kern w:val="2"/>
            <w:szCs w:val="24"/>
            <w14:ligatures w14:val="standardContextual"/>
          </w:rPr>
          <w:tab/>
        </w:r>
        <w:r w:rsidRPr="00840C83">
          <w:rPr>
            <w:rStyle w:val="Hipercze"/>
            <w:rFonts w:asciiTheme="minorHAnsi" w:hAnsiTheme="minorHAnsi" w:cstheme="minorHAnsi"/>
            <w:noProof/>
          </w:rPr>
          <w:t>ZASTOSOWANE UPROSZCZONE METODY ROZLICZANIA WYDATKÓW</w:t>
        </w:r>
        <w:r w:rsidRPr="00840C83">
          <w:rPr>
            <w:rFonts w:asciiTheme="minorHAnsi" w:hAnsiTheme="minorHAnsi" w:cstheme="minorHAnsi"/>
            <w:noProof/>
            <w:webHidden/>
          </w:rPr>
          <w:tab/>
        </w:r>
        <w:r w:rsidRPr="00840C83">
          <w:rPr>
            <w:rFonts w:asciiTheme="minorHAnsi" w:hAnsiTheme="minorHAnsi" w:cstheme="minorHAnsi"/>
            <w:noProof/>
            <w:webHidden/>
          </w:rPr>
          <w:fldChar w:fldCharType="begin"/>
        </w:r>
        <w:r w:rsidRPr="00840C83">
          <w:rPr>
            <w:rFonts w:asciiTheme="minorHAnsi" w:hAnsiTheme="minorHAnsi" w:cstheme="minorHAnsi"/>
            <w:noProof/>
            <w:webHidden/>
          </w:rPr>
          <w:instrText xml:space="preserve"> PAGEREF _Toc241839721 \h </w:instrText>
        </w:r>
        <w:r w:rsidRPr="00840C83">
          <w:rPr>
            <w:rFonts w:asciiTheme="minorHAnsi" w:hAnsiTheme="minorHAnsi" w:cstheme="minorHAnsi"/>
            <w:noProof/>
            <w:webHidden/>
          </w:rPr>
        </w:r>
        <w:r w:rsidRPr="00840C83">
          <w:rPr>
            <w:rFonts w:asciiTheme="minorHAnsi" w:hAnsiTheme="minorHAnsi" w:cstheme="minorHAnsi"/>
            <w:noProof/>
            <w:webHidden/>
          </w:rPr>
          <w:fldChar w:fldCharType="separate"/>
        </w:r>
        <w:r w:rsidR="009F7062">
          <w:rPr>
            <w:rFonts w:asciiTheme="minorHAnsi" w:hAnsiTheme="minorHAnsi" w:cstheme="minorHAnsi"/>
            <w:noProof/>
            <w:webHidden/>
          </w:rPr>
          <w:t>47</w:t>
        </w:r>
        <w:r w:rsidRPr="00840C83">
          <w:rPr>
            <w:rFonts w:asciiTheme="minorHAnsi" w:hAnsiTheme="minorHAnsi" w:cstheme="minorHAnsi"/>
            <w:noProof/>
            <w:webHidden/>
          </w:rPr>
          <w:fldChar w:fldCharType="end"/>
        </w:r>
      </w:hyperlink>
    </w:p>
    <w:p w14:paraId="08A94A22" w14:textId="0423EC1B" w:rsidR="00840C83" w:rsidRPr="00840C83" w:rsidRDefault="00840C83">
      <w:pPr>
        <w:pStyle w:val="Spistreci1"/>
        <w:rPr>
          <w:rFonts w:asciiTheme="minorHAnsi" w:eastAsiaTheme="minorEastAsia" w:hAnsiTheme="minorHAnsi" w:cstheme="minorHAnsi"/>
          <w:noProof/>
          <w:kern w:val="2"/>
          <w:szCs w:val="24"/>
          <w14:ligatures w14:val="standardContextual"/>
        </w:rPr>
      </w:pPr>
      <w:hyperlink w:anchor="_Toc241839722" w:history="1">
        <w:r w:rsidRPr="00840C83">
          <w:rPr>
            <w:rStyle w:val="Hipercze"/>
            <w:rFonts w:asciiTheme="minorHAnsi" w:hAnsiTheme="minorHAnsi" w:cstheme="minorHAnsi"/>
            <w:noProof/>
          </w:rPr>
          <w:t>1.2.9. SPECYFICZNE ANALIZY DLA DANEGO RODZAJU PROJEKTU/SEKTORA</w:t>
        </w:r>
        <w:r w:rsidRPr="00840C83">
          <w:rPr>
            <w:rFonts w:asciiTheme="minorHAnsi" w:hAnsiTheme="minorHAnsi" w:cstheme="minorHAnsi"/>
            <w:noProof/>
            <w:webHidden/>
          </w:rPr>
          <w:tab/>
        </w:r>
        <w:r w:rsidRPr="00840C83">
          <w:rPr>
            <w:rFonts w:asciiTheme="minorHAnsi" w:hAnsiTheme="minorHAnsi" w:cstheme="minorHAnsi"/>
            <w:noProof/>
            <w:webHidden/>
          </w:rPr>
          <w:fldChar w:fldCharType="begin"/>
        </w:r>
        <w:r w:rsidRPr="00840C83">
          <w:rPr>
            <w:rFonts w:asciiTheme="minorHAnsi" w:hAnsiTheme="minorHAnsi" w:cstheme="minorHAnsi"/>
            <w:noProof/>
            <w:webHidden/>
          </w:rPr>
          <w:instrText xml:space="preserve"> PAGEREF _Toc241839722 \h </w:instrText>
        </w:r>
        <w:r w:rsidRPr="00840C83">
          <w:rPr>
            <w:rFonts w:asciiTheme="minorHAnsi" w:hAnsiTheme="minorHAnsi" w:cstheme="minorHAnsi"/>
            <w:noProof/>
            <w:webHidden/>
          </w:rPr>
        </w:r>
        <w:r w:rsidRPr="00840C83">
          <w:rPr>
            <w:rFonts w:asciiTheme="minorHAnsi" w:hAnsiTheme="minorHAnsi" w:cstheme="minorHAnsi"/>
            <w:noProof/>
            <w:webHidden/>
          </w:rPr>
          <w:fldChar w:fldCharType="separate"/>
        </w:r>
        <w:r w:rsidR="009F7062">
          <w:rPr>
            <w:rFonts w:asciiTheme="minorHAnsi" w:hAnsiTheme="minorHAnsi" w:cstheme="minorHAnsi"/>
            <w:noProof/>
            <w:webHidden/>
          </w:rPr>
          <w:t>47</w:t>
        </w:r>
        <w:r w:rsidRPr="00840C83">
          <w:rPr>
            <w:rFonts w:asciiTheme="minorHAnsi" w:hAnsiTheme="minorHAnsi" w:cstheme="minorHAnsi"/>
            <w:noProof/>
            <w:webHidden/>
          </w:rPr>
          <w:fldChar w:fldCharType="end"/>
        </w:r>
      </w:hyperlink>
    </w:p>
    <w:p w14:paraId="618DA86E" w14:textId="47EB9AB0" w:rsidR="00840C83" w:rsidRPr="00840C83" w:rsidRDefault="00840C83">
      <w:pPr>
        <w:pStyle w:val="Spistreci1"/>
        <w:rPr>
          <w:rFonts w:asciiTheme="minorHAnsi" w:eastAsiaTheme="minorEastAsia" w:hAnsiTheme="minorHAnsi" w:cstheme="minorHAnsi"/>
          <w:noProof/>
          <w:kern w:val="2"/>
          <w:szCs w:val="24"/>
          <w14:ligatures w14:val="standardContextual"/>
        </w:rPr>
      </w:pPr>
      <w:hyperlink w:anchor="_Toc241839723" w:history="1">
        <w:r w:rsidRPr="00840C83">
          <w:rPr>
            <w:rStyle w:val="Hipercze"/>
            <w:rFonts w:asciiTheme="minorHAnsi" w:hAnsiTheme="minorHAnsi" w:cstheme="minorHAnsi"/>
            <w:noProof/>
          </w:rPr>
          <w:t>1.2.10. ODNIESIENIE DO KRYTERIÓW WYBORU PROJEKTU</w:t>
        </w:r>
        <w:r w:rsidRPr="00840C83">
          <w:rPr>
            <w:rFonts w:asciiTheme="minorHAnsi" w:hAnsiTheme="minorHAnsi" w:cstheme="minorHAnsi"/>
            <w:noProof/>
            <w:webHidden/>
          </w:rPr>
          <w:tab/>
        </w:r>
        <w:r w:rsidRPr="00840C83">
          <w:rPr>
            <w:rFonts w:asciiTheme="minorHAnsi" w:hAnsiTheme="minorHAnsi" w:cstheme="minorHAnsi"/>
            <w:noProof/>
            <w:webHidden/>
          </w:rPr>
          <w:fldChar w:fldCharType="begin"/>
        </w:r>
        <w:r w:rsidRPr="00840C83">
          <w:rPr>
            <w:rFonts w:asciiTheme="minorHAnsi" w:hAnsiTheme="minorHAnsi" w:cstheme="minorHAnsi"/>
            <w:noProof/>
            <w:webHidden/>
          </w:rPr>
          <w:instrText xml:space="preserve"> PAGEREF _Toc241839723 \h </w:instrText>
        </w:r>
        <w:r w:rsidRPr="00840C83">
          <w:rPr>
            <w:rFonts w:asciiTheme="minorHAnsi" w:hAnsiTheme="minorHAnsi" w:cstheme="minorHAnsi"/>
            <w:noProof/>
            <w:webHidden/>
          </w:rPr>
        </w:r>
        <w:r w:rsidRPr="00840C83">
          <w:rPr>
            <w:rFonts w:asciiTheme="minorHAnsi" w:hAnsiTheme="minorHAnsi" w:cstheme="minorHAnsi"/>
            <w:noProof/>
            <w:webHidden/>
          </w:rPr>
          <w:fldChar w:fldCharType="separate"/>
        </w:r>
        <w:r w:rsidR="009F7062">
          <w:rPr>
            <w:rFonts w:asciiTheme="minorHAnsi" w:hAnsiTheme="minorHAnsi" w:cstheme="minorHAnsi"/>
            <w:noProof/>
            <w:webHidden/>
          </w:rPr>
          <w:t>47</w:t>
        </w:r>
        <w:r w:rsidRPr="00840C83">
          <w:rPr>
            <w:rFonts w:asciiTheme="minorHAnsi" w:hAnsiTheme="minorHAnsi" w:cstheme="minorHAnsi"/>
            <w:noProof/>
            <w:webHidden/>
          </w:rPr>
          <w:fldChar w:fldCharType="end"/>
        </w:r>
      </w:hyperlink>
    </w:p>
    <w:p w14:paraId="12837901" w14:textId="1B432F4F" w:rsidR="00840C83" w:rsidRPr="00840C83" w:rsidRDefault="00840C83">
      <w:pPr>
        <w:pStyle w:val="Spistreci3"/>
        <w:rPr>
          <w:rFonts w:asciiTheme="minorHAnsi" w:eastAsiaTheme="minorEastAsia" w:hAnsiTheme="minorHAnsi" w:cstheme="minorHAnsi"/>
          <w:b w:val="0"/>
          <w:kern w:val="2"/>
          <w:szCs w:val="24"/>
          <w14:ligatures w14:val="standardContextual"/>
        </w:rPr>
      </w:pPr>
      <w:hyperlink w:anchor="_Toc241839724" w:history="1">
        <w:r w:rsidRPr="00840C83">
          <w:rPr>
            <w:rStyle w:val="Hipercze"/>
            <w:rFonts w:asciiTheme="minorHAnsi" w:hAnsiTheme="minorHAnsi" w:cstheme="minorHAnsi"/>
            <w:bCs/>
            <w:lang w:val="x-none"/>
          </w:rPr>
          <w:t>2.</w:t>
        </w:r>
        <w:r w:rsidRPr="00840C83">
          <w:rPr>
            <w:rFonts w:asciiTheme="minorHAnsi" w:eastAsiaTheme="minorEastAsia" w:hAnsiTheme="minorHAnsi" w:cstheme="minorHAnsi"/>
            <w:b w:val="0"/>
            <w:kern w:val="2"/>
            <w:szCs w:val="24"/>
            <w14:ligatures w14:val="standardContextual"/>
          </w:rPr>
          <w:tab/>
        </w:r>
        <w:r w:rsidRPr="00840C83">
          <w:rPr>
            <w:rStyle w:val="Hipercze"/>
            <w:rFonts w:asciiTheme="minorHAnsi" w:hAnsiTheme="minorHAnsi" w:cstheme="minorHAnsi"/>
            <w:bCs/>
            <w:lang w:val="x-none"/>
          </w:rPr>
          <w:t>FORMULARZ W ZAKRESIE WPŁYWU PROJEKTU NA ŚRODOWISKO</w:t>
        </w:r>
        <w:r w:rsidRPr="00840C83">
          <w:rPr>
            <w:rFonts w:asciiTheme="minorHAnsi" w:hAnsiTheme="minorHAnsi" w:cstheme="minorHAnsi"/>
            <w:webHidden/>
          </w:rPr>
          <w:tab/>
        </w:r>
        <w:r w:rsidRPr="00840C83">
          <w:rPr>
            <w:rFonts w:asciiTheme="minorHAnsi" w:hAnsiTheme="minorHAnsi" w:cstheme="minorHAnsi"/>
            <w:webHidden/>
          </w:rPr>
          <w:fldChar w:fldCharType="begin"/>
        </w:r>
        <w:r w:rsidRPr="00840C83">
          <w:rPr>
            <w:rFonts w:asciiTheme="minorHAnsi" w:hAnsiTheme="minorHAnsi" w:cstheme="minorHAnsi"/>
            <w:webHidden/>
          </w:rPr>
          <w:instrText xml:space="preserve"> PAGEREF _Toc241839724 \h </w:instrText>
        </w:r>
        <w:r w:rsidRPr="00840C83">
          <w:rPr>
            <w:rFonts w:asciiTheme="minorHAnsi" w:hAnsiTheme="minorHAnsi" w:cstheme="minorHAnsi"/>
            <w:webHidden/>
          </w:rPr>
        </w:r>
        <w:r w:rsidRPr="00840C83">
          <w:rPr>
            <w:rFonts w:asciiTheme="minorHAnsi" w:hAnsiTheme="minorHAnsi" w:cstheme="minorHAnsi"/>
            <w:webHidden/>
          </w:rPr>
          <w:fldChar w:fldCharType="separate"/>
        </w:r>
        <w:r w:rsidR="009F7062">
          <w:rPr>
            <w:rFonts w:asciiTheme="minorHAnsi" w:hAnsiTheme="minorHAnsi" w:cstheme="minorHAnsi"/>
            <w:webHidden/>
          </w:rPr>
          <w:t>47</w:t>
        </w:r>
        <w:r w:rsidRPr="00840C83">
          <w:rPr>
            <w:rFonts w:asciiTheme="minorHAnsi" w:hAnsiTheme="minorHAnsi" w:cstheme="minorHAnsi"/>
            <w:webHidden/>
          </w:rPr>
          <w:fldChar w:fldCharType="end"/>
        </w:r>
      </w:hyperlink>
    </w:p>
    <w:p w14:paraId="58C5C433" w14:textId="2DB82D4F" w:rsidR="00840C83" w:rsidRPr="00840C83" w:rsidRDefault="00840C83">
      <w:pPr>
        <w:pStyle w:val="Spistreci3"/>
        <w:rPr>
          <w:rFonts w:asciiTheme="minorHAnsi" w:eastAsiaTheme="minorEastAsia" w:hAnsiTheme="minorHAnsi" w:cstheme="minorHAnsi"/>
          <w:b w:val="0"/>
          <w:kern w:val="2"/>
          <w:szCs w:val="24"/>
          <w14:ligatures w14:val="standardContextual"/>
        </w:rPr>
      </w:pPr>
      <w:hyperlink w:anchor="_Toc241839725" w:history="1">
        <w:r w:rsidRPr="00840C83">
          <w:rPr>
            <w:rStyle w:val="Hipercze"/>
            <w:rFonts w:asciiTheme="minorHAnsi" w:hAnsiTheme="minorHAnsi" w:cstheme="minorHAnsi"/>
            <w:bCs/>
          </w:rPr>
          <w:t>3.</w:t>
        </w:r>
        <w:r w:rsidRPr="00840C83">
          <w:rPr>
            <w:rFonts w:asciiTheme="minorHAnsi" w:eastAsiaTheme="minorEastAsia" w:hAnsiTheme="minorHAnsi" w:cstheme="minorHAnsi"/>
            <w:b w:val="0"/>
            <w:kern w:val="2"/>
            <w:szCs w:val="24"/>
            <w14:ligatures w14:val="standardContextual"/>
          </w:rPr>
          <w:tab/>
        </w:r>
        <w:r w:rsidRPr="00840C83">
          <w:rPr>
            <w:rStyle w:val="Hipercze"/>
            <w:rFonts w:asciiTheme="minorHAnsi" w:hAnsiTheme="minorHAnsi" w:cstheme="minorHAnsi"/>
            <w:bCs/>
          </w:rPr>
          <w:t>POZWOLENIE NA BUDOWĘ BĄDŹ ZGŁOSZENIE BUDOWY LUB DOKUMENTY DOTYCZĄCE ZAGOSPODAROWANIA PRZESTRZENNEGO</w:t>
        </w:r>
        <w:r w:rsidRPr="00840C83">
          <w:rPr>
            <w:rFonts w:asciiTheme="minorHAnsi" w:hAnsiTheme="minorHAnsi" w:cstheme="minorHAnsi"/>
            <w:webHidden/>
          </w:rPr>
          <w:tab/>
        </w:r>
        <w:r w:rsidRPr="00840C83">
          <w:rPr>
            <w:rFonts w:asciiTheme="minorHAnsi" w:hAnsiTheme="minorHAnsi" w:cstheme="minorHAnsi"/>
            <w:webHidden/>
          </w:rPr>
          <w:fldChar w:fldCharType="begin"/>
        </w:r>
        <w:r w:rsidRPr="00840C83">
          <w:rPr>
            <w:rFonts w:asciiTheme="minorHAnsi" w:hAnsiTheme="minorHAnsi" w:cstheme="minorHAnsi"/>
            <w:webHidden/>
          </w:rPr>
          <w:instrText xml:space="preserve"> PAGEREF _Toc241839725 \h </w:instrText>
        </w:r>
        <w:r w:rsidRPr="00840C83">
          <w:rPr>
            <w:rFonts w:asciiTheme="minorHAnsi" w:hAnsiTheme="minorHAnsi" w:cstheme="minorHAnsi"/>
            <w:webHidden/>
          </w:rPr>
        </w:r>
        <w:r w:rsidRPr="00840C83">
          <w:rPr>
            <w:rFonts w:asciiTheme="minorHAnsi" w:hAnsiTheme="minorHAnsi" w:cstheme="minorHAnsi"/>
            <w:webHidden/>
          </w:rPr>
          <w:fldChar w:fldCharType="separate"/>
        </w:r>
        <w:r w:rsidR="009F7062">
          <w:rPr>
            <w:rFonts w:asciiTheme="minorHAnsi" w:hAnsiTheme="minorHAnsi" w:cstheme="minorHAnsi"/>
            <w:webHidden/>
          </w:rPr>
          <w:t>60</w:t>
        </w:r>
        <w:r w:rsidRPr="00840C83">
          <w:rPr>
            <w:rFonts w:asciiTheme="minorHAnsi" w:hAnsiTheme="minorHAnsi" w:cstheme="minorHAnsi"/>
            <w:webHidden/>
          </w:rPr>
          <w:fldChar w:fldCharType="end"/>
        </w:r>
      </w:hyperlink>
    </w:p>
    <w:p w14:paraId="3604B224" w14:textId="0D365A04" w:rsidR="00840C83" w:rsidRPr="00840C83" w:rsidRDefault="00840C83">
      <w:pPr>
        <w:pStyle w:val="Spistreci3"/>
        <w:rPr>
          <w:rFonts w:asciiTheme="minorHAnsi" w:eastAsiaTheme="minorEastAsia" w:hAnsiTheme="minorHAnsi" w:cstheme="minorHAnsi"/>
          <w:b w:val="0"/>
          <w:kern w:val="2"/>
          <w:szCs w:val="24"/>
          <w14:ligatures w14:val="standardContextual"/>
        </w:rPr>
      </w:pPr>
      <w:hyperlink w:anchor="_Toc241839726" w:history="1">
        <w:r w:rsidRPr="00840C83">
          <w:rPr>
            <w:rStyle w:val="Hipercze"/>
            <w:rFonts w:asciiTheme="minorHAnsi" w:hAnsiTheme="minorHAnsi" w:cstheme="minorHAnsi"/>
            <w:bCs/>
          </w:rPr>
          <w:t>4.</w:t>
        </w:r>
        <w:r w:rsidRPr="00840C83">
          <w:rPr>
            <w:rFonts w:asciiTheme="minorHAnsi" w:eastAsiaTheme="minorEastAsia" w:hAnsiTheme="minorHAnsi" w:cstheme="minorHAnsi"/>
            <w:b w:val="0"/>
            <w:kern w:val="2"/>
            <w:szCs w:val="24"/>
            <w14:ligatures w14:val="standardContextual"/>
          </w:rPr>
          <w:tab/>
        </w:r>
        <w:r w:rsidRPr="00840C83">
          <w:rPr>
            <w:rStyle w:val="Hipercze"/>
            <w:rFonts w:asciiTheme="minorHAnsi" w:hAnsiTheme="minorHAnsi" w:cstheme="minorHAnsi"/>
            <w:bCs/>
          </w:rPr>
          <w:t>WYCIĄG Z DOKUMENTACJI TECHNICZNEJ LUB PROGRAM FUNKCJONALNO-UŻYTKOWY</w:t>
        </w:r>
        <w:r w:rsidRPr="00840C83">
          <w:rPr>
            <w:rFonts w:asciiTheme="minorHAnsi" w:hAnsiTheme="minorHAnsi" w:cstheme="minorHAnsi"/>
            <w:webHidden/>
          </w:rPr>
          <w:tab/>
        </w:r>
        <w:r w:rsidRPr="00840C83">
          <w:rPr>
            <w:rFonts w:asciiTheme="minorHAnsi" w:hAnsiTheme="minorHAnsi" w:cstheme="minorHAnsi"/>
            <w:webHidden/>
          </w:rPr>
          <w:fldChar w:fldCharType="begin"/>
        </w:r>
        <w:r w:rsidRPr="00840C83">
          <w:rPr>
            <w:rFonts w:asciiTheme="minorHAnsi" w:hAnsiTheme="minorHAnsi" w:cstheme="minorHAnsi"/>
            <w:webHidden/>
          </w:rPr>
          <w:instrText xml:space="preserve"> PAGEREF _Toc241839726 \h </w:instrText>
        </w:r>
        <w:r w:rsidRPr="00840C83">
          <w:rPr>
            <w:rFonts w:asciiTheme="minorHAnsi" w:hAnsiTheme="minorHAnsi" w:cstheme="minorHAnsi"/>
            <w:webHidden/>
          </w:rPr>
        </w:r>
        <w:r w:rsidRPr="00840C83">
          <w:rPr>
            <w:rFonts w:asciiTheme="minorHAnsi" w:hAnsiTheme="minorHAnsi" w:cstheme="minorHAnsi"/>
            <w:webHidden/>
          </w:rPr>
          <w:fldChar w:fldCharType="separate"/>
        </w:r>
        <w:r w:rsidR="009F7062">
          <w:rPr>
            <w:rFonts w:asciiTheme="minorHAnsi" w:hAnsiTheme="minorHAnsi" w:cstheme="minorHAnsi"/>
            <w:webHidden/>
          </w:rPr>
          <w:t>62</w:t>
        </w:r>
        <w:r w:rsidRPr="00840C83">
          <w:rPr>
            <w:rFonts w:asciiTheme="minorHAnsi" w:hAnsiTheme="minorHAnsi" w:cstheme="minorHAnsi"/>
            <w:webHidden/>
          </w:rPr>
          <w:fldChar w:fldCharType="end"/>
        </w:r>
      </w:hyperlink>
    </w:p>
    <w:p w14:paraId="6D32F235" w14:textId="11E6DA0B" w:rsidR="00840C83" w:rsidRPr="00840C83" w:rsidRDefault="00840C83">
      <w:pPr>
        <w:pStyle w:val="Spistreci3"/>
        <w:rPr>
          <w:rFonts w:asciiTheme="minorHAnsi" w:eastAsiaTheme="minorEastAsia" w:hAnsiTheme="minorHAnsi" w:cstheme="minorHAnsi"/>
          <w:b w:val="0"/>
          <w:kern w:val="2"/>
          <w:szCs w:val="24"/>
          <w14:ligatures w14:val="standardContextual"/>
        </w:rPr>
      </w:pPr>
      <w:hyperlink w:anchor="_Toc241839727" w:history="1">
        <w:r w:rsidRPr="00840C83">
          <w:rPr>
            <w:rStyle w:val="Hipercze"/>
            <w:rFonts w:asciiTheme="minorHAnsi" w:hAnsiTheme="minorHAnsi" w:cstheme="minorHAnsi"/>
          </w:rPr>
          <w:t>5.</w:t>
        </w:r>
        <w:r w:rsidRPr="00840C83">
          <w:rPr>
            <w:rFonts w:asciiTheme="minorHAnsi" w:eastAsiaTheme="minorEastAsia" w:hAnsiTheme="minorHAnsi" w:cstheme="minorHAnsi"/>
            <w:b w:val="0"/>
            <w:kern w:val="2"/>
            <w:szCs w:val="24"/>
            <w14:ligatures w14:val="standardContextual"/>
          </w:rPr>
          <w:tab/>
        </w:r>
        <w:r w:rsidRPr="00840C83">
          <w:rPr>
            <w:rStyle w:val="Hipercze"/>
            <w:rFonts w:asciiTheme="minorHAnsi" w:hAnsiTheme="minorHAnsi" w:cstheme="minorHAnsi"/>
          </w:rPr>
          <w:t>DOKUMENT POTWIERDZAJĄCY ZABEZPIECZENIE ŚRODKÓW KONIECZNYCH DO ZREALIZOWANIA INWESTYCJI</w:t>
        </w:r>
        <w:r w:rsidRPr="00840C83">
          <w:rPr>
            <w:rFonts w:asciiTheme="minorHAnsi" w:hAnsiTheme="minorHAnsi" w:cstheme="minorHAnsi"/>
            <w:webHidden/>
          </w:rPr>
          <w:tab/>
        </w:r>
        <w:r w:rsidRPr="00840C83">
          <w:rPr>
            <w:rFonts w:asciiTheme="minorHAnsi" w:hAnsiTheme="minorHAnsi" w:cstheme="minorHAnsi"/>
            <w:webHidden/>
          </w:rPr>
          <w:fldChar w:fldCharType="begin"/>
        </w:r>
        <w:r w:rsidRPr="00840C83">
          <w:rPr>
            <w:rFonts w:asciiTheme="minorHAnsi" w:hAnsiTheme="minorHAnsi" w:cstheme="minorHAnsi"/>
            <w:webHidden/>
          </w:rPr>
          <w:instrText xml:space="preserve"> PAGEREF _Toc241839727 \h </w:instrText>
        </w:r>
        <w:r w:rsidRPr="00840C83">
          <w:rPr>
            <w:rFonts w:asciiTheme="minorHAnsi" w:hAnsiTheme="minorHAnsi" w:cstheme="minorHAnsi"/>
            <w:webHidden/>
          </w:rPr>
        </w:r>
        <w:r w:rsidRPr="00840C83">
          <w:rPr>
            <w:rFonts w:asciiTheme="minorHAnsi" w:hAnsiTheme="minorHAnsi" w:cstheme="minorHAnsi"/>
            <w:webHidden/>
          </w:rPr>
          <w:fldChar w:fldCharType="separate"/>
        </w:r>
        <w:r w:rsidR="009F7062">
          <w:rPr>
            <w:rFonts w:asciiTheme="minorHAnsi" w:hAnsiTheme="minorHAnsi" w:cstheme="minorHAnsi"/>
            <w:webHidden/>
          </w:rPr>
          <w:t>64</w:t>
        </w:r>
        <w:r w:rsidRPr="00840C83">
          <w:rPr>
            <w:rFonts w:asciiTheme="minorHAnsi" w:hAnsiTheme="minorHAnsi" w:cstheme="minorHAnsi"/>
            <w:webHidden/>
          </w:rPr>
          <w:fldChar w:fldCharType="end"/>
        </w:r>
      </w:hyperlink>
    </w:p>
    <w:p w14:paraId="5682C101" w14:textId="37B2451B" w:rsidR="00840C83" w:rsidRPr="00840C83" w:rsidRDefault="00840C83">
      <w:pPr>
        <w:pStyle w:val="Spistreci3"/>
        <w:rPr>
          <w:rFonts w:asciiTheme="minorHAnsi" w:eastAsiaTheme="minorEastAsia" w:hAnsiTheme="minorHAnsi" w:cstheme="minorHAnsi"/>
          <w:b w:val="0"/>
          <w:kern w:val="2"/>
          <w:szCs w:val="24"/>
          <w14:ligatures w14:val="standardContextual"/>
        </w:rPr>
      </w:pPr>
      <w:hyperlink w:anchor="_Toc241839728" w:history="1">
        <w:r w:rsidRPr="00840C83">
          <w:rPr>
            <w:rStyle w:val="Hipercze"/>
            <w:rFonts w:asciiTheme="minorHAnsi" w:hAnsiTheme="minorHAnsi" w:cstheme="minorHAnsi"/>
          </w:rPr>
          <w:t>6.  SKAN ZAWARTEJ UMOWY/POROZUMIENIA NA REALIZACJĘ WSPÓLNEGO PRZEDSIĘWZIĘCIA (JEŚLI DOTYCZY)</w:t>
        </w:r>
        <w:r w:rsidRPr="00840C83">
          <w:rPr>
            <w:rFonts w:asciiTheme="minorHAnsi" w:hAnsiTheme="minorHAnsi" w:cstheme="minorHAnsi"/>
            <w:webHidden/>
          </w:rPr>
          <w:tab/>
        </w:r>
        <w:r w:rsidRPr="00840C83">
          <w:rPr>
            <w:rFonts w:asciiTheme="minorHAnsi" w:hAnsiTheme="minorHAnsi" w:cstheme="minorHAnsi"/>
            <w:webHidden/>
          </w:rPr>
          <w:fldChar w:fldCharType="begin"/>
        </w:r>
        <w:r w:rsidRPr="00840C83">
          <w:rPr>
            <w:rFonts w:asciiTheme="minorHAnsi" w:hAnsiTheme="minorHAnsi" w:cstheme="minorHAnsi"/>
            <w:webHidden/>
          </w:rPr>
          <w:instrText xml:space="preserve"> PAGEREF _Toc241839728 \h </w:instrText>
        </w:r>
        <w:r w:rsidRPr="00840C83">
          <w:rPr>
            <w:rFonts w:asciiTheme="minorHAnsi" w:hAnsiTheme="minorHAnsi" w:cstheme="minorHAnsi"/>
            <w:webHidden/>
          </w:rPr>
        </w:r>
        <w:r w:rsidRPr="00840C83">
          <w:rPr>
            <w:rFonts w:asciiTheme="minorHAnsi" w:hAnsiTheme="minorHAnsi" w:cstheme="minorHAnsi"/>
            <w:webHidden/>
          </w:rPr>
          <w:fldChar w:fldCharType="separate"/>
        </w:r>
        <w:r w:rsidR="009F7062">
          <w:rPr>
            <w:rFonts w:asciiTheme="minorHAnsi" w:hAnsiTheme="minorHAnsi" w:cstheme="minorHAnsi"/>
            <w:webHidden/>
          </w:rPr>
          <w:t>68</w:t>
        </w:r>
        <w:r w:rsidRPr="00840C83">
          <w:rPr>
            <w:rFonts w:asciiTheme="minorHAnsi" w:hAnsiTheme="minorHAnsi" w:cstheme="minorHAnsi"/>
            <w:webHidden/>
          </w:rPr>
          <w:fldChar w:fldCharType="end"/>
        </w:r>
      </w:hyperlink>
    </w:p>
    <w:p w14:paraId="713336FA" w14:textId="4632C456" w:rsidR="00840C83" w:rsidRPr="00840C83" w:rsidRDefault="00840C83">
      <w:pPr>
        <w:pStyle w:val="Spistreci3"/>
        <w:rPr>
          <w:rFonts w:asciiTheme="minorHAnsi" w:eastAsiaTheme="minorEastAsia" w:hAnsiTheme="minorHAnsi" w:cstheme="minorHAnsi"/>
          <w:b w:val="0"/>
          <w:kern w:val="2"/>
          <w:szCs w:val="24"/>
          <w14:ligatures w14:val="standardContextual"/>
        </w:rPr>
      </w:pPr>
      <w:hyperlink w:anchor="_Toc241839729" w:history="1">
        <w:r w:rsidRPr="00840C83">
          <w:rPr>
            <w:rStyle w:val="Hipercze"/>
            <w:rFonts w:asciiTheme="minorHAnsi" w:hAnsiTheme="minorHAnsi" w:cstheme="minorHAnsi"/>
          </w:rPr>
          <w:t>7. OŚWIADCZENIE WNIOSKODAWCY O ZGODNOŚCI PROJEKTU  Z ZASADAMI UDZIELANIA POMOCY PUBLICZNEJ</w:t>
        </w:r>
        <w:r w:rsidRPr="00840C83">
          <w:rPr>
            <w:rFonts w:asciiTheme="minorHAnsi" w:hAnsiTheme="minorHAnsi" w:cstheme="minorHAnsi"/>
            <w:webHidden/>
          </w:rPr>
          <w:tab/>
        </w:r>
        <w:r w:rsidRPr="00840C83">
          <w:rPr>
            <w:rFonts w:asciiTheme="minorHAnsi" w:hAnsiTheme="minorHAnsi" w:cstheme="minorHAnsi"/>
            <w:webHidden/>
          </w:rPr>
          <w:fldChar w:fldCharType="begin"/>
        </w:r>
        <w:r w:rsidRPr="00840C83">
          <w:rPr>
            <w:rFonts w:asciiTheme="minorHAnsi" w:hAnsiTheme="minorHAnsi" w:cstheme="minorHAnsi"/>
            <w:webHidden/>
          </w:rPr>
          <w:instrText xml:space="preserve"> PAGEREF _Toc241839729 \h </w:instrText>
        </w:r>
        <w:r w:rsidRPr="00840C83">
          <w:rPr>
            <w:rFonts w:asciiTheme="minorHAnsi" w:hAnsiTheme="minorHAnsi" w:cstheme="minorHAnsi"/>
            <w:webHidden/>
          </w:rPr>
        </w:r>
        <w:r w:rsidRPr="00840C83">
          <w:rPr>
            <w:rFonts w:asciiTheme="minorHAnsi" w:hAnsiTheme="minorHAnsi" w:cstheme="minorHAnsi"/>
            <w:webHidden/>
          </w:rPr>
          <w:fldChar w:fldCharType="separate"/>
        </w:r>
        <w:r w:rsidR="009F7062">
          <w:rPr>
            <w:rFonts w:asciiTheme="minorHAnsi" w:hAnsiTheme="minorHAnsi" w:cstheme="minorHAnsi"/>
            <w:webHidden/>
          </w:rPr>
          <w:t>70</w:t>
        </w:r>
        <w:r w:rsidRPr="00840C83">
          <w:rPr>
            <w:rFonts w:asciiTheme="minorHAnsi" w:hAnsiTheme="minorHAnsi" w:cstheme="minorHAnsi"/>
            <w:webHidden/>
          </w:rPr>
          <w:fldChar w:fldCharType="end"/>
        </w:r>
      </w:hyperlink>
    </w:p>
    <w:p w14:paraId="54D0F913" w14:textId="1BDEEF18" w:rsidR="00840C83" w:rsidRPr="00840C83" w:rsidRDefault="00840C83">
      <w:pPr>
        <w:pStyle w:val="Spistreci3"/>
        <w:rPr>
          <w:rFonts w:asciiTheme="minorHAnsi" w:eastAsiaTheme="minorEastAsia" w:hAnsiTheme="minorHAnsi" w:cstheme="minorHAnsi"/>
          <w:b w:val="0"/>
          <w:kern w:val="2"/>
          <w:szCs w:val="24"/>
          <w14:ligatures w14:val="standardContextual"/>
        </w:rPr>
      </w:pPr>
      <w:hyperlink w:anchor="_Toc241839730" w:history="1">
        <w:r w:rsidRPr="00840C83">
          <w:rPr>
            <w:rStyle w:val="Hipercze"/>
            <w:rFonts w:asciiTheme="minorHAnsi" w:hAnsiTheme="minorHAnsi" w:cstheme="minorHAnsi"/>
          </w:rPr>
          <w:t>8. INNE NIEZBĘDNE DOKUMENTY WYMAGANE PRAWEM LUB KATEGORIĄ PROJEKTU</w:t>
        </w:r>
        <w:r w:rsidRPr="00840C83">
          <w:rPr>
            <w:rFonts w:asciiTheme="minorHAnsi" w:hAnsiTheme="minorHAnsi" w:cstheme="minorHAnsi"/>
            <w:webHidden/>
          </w:rPr>
          <w:tab/>
        </w:r>
        <w:r w:rsidRPr="00840C83">
          <w:rPr>
            <w:rFonts w:asciiTheme="minorHAnsi" w:hAnsiTheme="minorHAnsi" w:cstheme="minorHAnsi"/>
            <w:webHidden/>
          </w:rPr>
          <w:fldChar w:fldCharType="begin"/>
        </w:r>
        <w:r w:rsidRPr="00840C83">
          <w:rPr>
            <w:rFonts w:asciiTheme="minorHAnsi" w:hAnsiTheme="minorHAnsi" w:cstheme="minorHAnsi"/>
            <w:webHidden/>
          </w:rPr>
          <w:instrText xml:space="preserve"> PAGEREF _Toc241839730 \h </w:instrText>
        </w:r>
        <w:r w:rsidRPr="00840C83">
          <w:rPr>
            <w:rFonts w:asciiTheme="minorHAnsi" w:hAnsiTheme="minorHAnsi" w:cstheme="minorHAnsi"/>
            <w:webHidden/>
          </w:rPr>
        </w:r>
        <w:r w:rsidRPr="00840C83">
          <w:rPr>
            <w:rFonts w:asciiTheme="minorHAnsi" w:hAnsiTheme="minorHAnsi" w:cstheme="minorHAnsi"/>
            <w:webHidden/>
          </w:rPr>
          <w:fldChar w:fldCharType="separate"/>
        </w:r>
        <w:r w:rsidR="009F7062">
          <w:rPr>
            <w:rFonts w:asciiTheme="minorHAnsi" w:hAnsiTheme="minorHAnsi" w:cstheme="minorHAnsi"/>
            <w:webHidden/>
          </w:rPr>
          <w:t>71</w:t>
        </w:r>
        <w:r w:rsidRPr="00840C83">
          <w:rPr>
            <w:rFonts w:asciiTheme="minorHAnsi" w:hAnsiTheme="minorHAnsi" w:cstheme="minorHAnsi"/>
            <w:webHidden/>
          </w:rPr>
          <w:fldChar w:fldCharType="end"/>
        </w:r>
      </w:hyperlink>
    </w:p>
    <w:p w14:paraId="5B0B5BBB" w14:textId="6FF0293D" w:rsidR="00E04A5D" w:rsidRPr="004B77D6" w:rsidRDefault="00A06439" w:rsidP="00385756">
      <w:pPr>
        <w:tabs>
          <w:tab w:val="left" w:leader="dot" w:pos="9072"/>
        </w:tabs>
        <w:spacing w:after="120" w:line="276" w:lineRule="auto"/>
        <w:rPr>
          <w:rFonts w:ascii="Calibri" w:hAnsi="Calibri"/>
          <w:szCs w:val="24"/>
        </w:rPr>
      </w:pPr>
      <w:r w:rsidRPr="00840C83">
        <w:rPr>
          <w:rFonts w:asciiTheme="minorHAnsi" w:hAnsiTheme="minorHAnsi" w:cstheme="minorHAnsi"/>
          <w:b/>
          <w:szCs w:val="24"/>
        </w:rPr>
        <w:fldChar w:fldCharType="end"/>
      </w:r>
    </w:p>
    <w:bookmarkEnd w:id="0"/>
    <w:p w14:paraId="5DCAF1C5" w14:textId="77777777" w:rsidR="00A06439" w:rsidRPr="00593DAA" w:rsidRDefault="00A06439" w:rsidP="0071603D">
      <w:pPr>
        <w:tabs>
          <w:tab w:val="left" w:leader="dot" w:pos="9072"/>
        </w:tabs>
        <w:spacing w:after="120" w:line="276" w:lineRule="auto"/>
        <w:rPr>
          <w:rFonts w:ascii="Calibri" w:hAnsi="Calibri"/>
          <w:b/>
          <w:sz w:val="28"/>
          <w:szCs w:val="28"/>
        </w:rPr>
      </w:pPr>
      <w:r w:rsidRPr="004B77D6">
        <w:rPr>
          <w:rFonts w:ascii="Calibri" w:hAnsi="Calibri"/>
          <w:szCs w:val="24"/>
        </w:rPr>
        <w:br w:type="page"/>
      </w:r>
      <w:r w:rsidRPr="00593DAA">
        <w:rPr>
          <w:rFonts w:ascii="Calibri" w:hAnsi="Calibri"/>
          <w:b/>
          <w:sz w:val="28"/>
          <w:szCs w:val="28"/>
        </w:rPr>
        <w:lastRenderedPageBreak/>
        <w:t>ZAŁĄCZNIKI DO WNIOSKU O DOFINANSOWANIE REALIZACJI PROJEKTU</w:t>
      </w:r>
    </w:p>
    <w:p w14:paraId="4DA9F9E4" w14:textId="771C5247" w:rsidR="00A06439" w:rsidRPr="00593DAA" w:rsidRDefault="00A06439" w:rsidP="004D0859">
      <w:pPr>
        <w:pStyle w:val="Styl1"/>
        <w:numPr>
          <w:ilvl w:val="0"/>
          <w:numId w:val="74"/>
        </w:numPr>
      </w:pPr>
      <w:bookmarkStart w:id="1" w:name="_Toc477857424"/>
      <w:r w:rsidRPr="00593DAA">
        <w:t>STUDIUM WYKONALNOŚCI INWESTYCJI</w:t>
      </w:r>
      <w:bookmarkEnd w:id="1"/>
      <w:r w:rsidR="00F60BBB" w:rsidRPr="00593DAA">
        <w:t xml:space="preserve"> (SWI)</w:t>
      </w:r>
    </w:p>
    <w:p w14:paraId="6A7032A3" w14:textId="6E345EB6" w:rsidR="00FE5AE4" w:rsidRDefault="00FE5AE4" w:rsidP="00593DAA">
      <w:pPr>
        <w:spacing w:before="120" w:after="120" w:line="276" w:lineRule="auto"/>
        <w:rPr>
          <w:rFonts w:asciiTheme="minorHAnsi" w:eastAsia="Calibri" w:hAnsiTheme="minorHAnsi" w:cstheme="minorHAnsi"/>
          <w:szCs w:val="24"/>
          <w:lang w:val="x-none" w:eastAsia="en-US"/>
        </w:rPr>
      </w:pPr>
      <w:r w:rsidRPr="00FE5AE4">
        <w:rPr>
          <w:rFonts w:asciiTheme="minorHAnsi" w:eastAsia="Calibri" w:hAnsiTheme="minorHAnsi" w:cstheme="minorHAnsi"/>
          <w:szCs w:val="24"/>
          <w:lang w:val="x-none" w:eastAsia="en-US"/>
        </w:rPr>
        <w:t xml:space="preserve">Studium Wykonalności Inwestycji powinno zostać przygotowane w oparciu o wzory umieszczone w załączniku nr 5 do Regulaminu wyboru projektów, w którym zawarte </w:t>
      </w:r>
      <w:r w:rsidR="00BA5C81">
        <w:rPr>
          <w:rFonts w:asciiTheme="minorHAnsi" w:eastAsia="Calibri" w:hAnsiTheme="minorHAnsi" w:cstheme="minorHAnsi"/>
          <w:szCs w:val="24"/>
          <w:lang w:val="x-none" w:eastAsia="en-US"/>
        </w:rPr>
        <w:br/>
      </w:r>
      <w:r w:rsidRPr="00FE5AE4">
        <w:rPr>
          <w:rFonts w:asciiTheme="minorHAnsi" w:eastAsia="Calibri" w:hAnsiTheme="minorHAnsi" w:cstheme="minorHAnsi"/>
          <w:szCs w:val="24"/>
          <w:lang w:val="x-none" w:eastAsia="en-US"/>
        </w:rPr>
        <w:t xml:space="preserve">są wytyczne dotyczące tego, jaki opis powinien Wnioskodawca/Partner ująć w ramach każdego punktu. </w:t>
      </w:r>
    </w:p>
    <w:p w14:paraId="770E680B" w14:textId="77777777" w:rsidR="001A4538" w:rsidRDefault="001A4538" w:rsidP="00593DAA">
      <w:pPr>
        <w:spacing w:before="120" w:after="120" w:line="276" w:lineRule="auto"/>
        <w:rPr>
          <w:rFonts w:ascii="Calibri" w:hAnsi="Calibri"/>
          <w:szCs w:val="24"/>
          <w:u w:val="single"/>
        </w:rPr>
      </w:pPr>
    </w:p>
    <w:p w14:paraId="148B80BA" w14:textId="71EB9DB7" w:rsidR="00C2071D" w:rsidRPr="004B77D6" w:rsidRDefault="00C2071D" w:rsidP="00593DAA">
      <w:pPr>
        <w:spacing w:before="120" w:after="120" w:line="276" w:lineRule="auto"/>
        <w:rPr>
          <w:rFonts w:ascii="Calibri" w:hAnsi="Calibri"/>
          <w:szCs w:val="24"/>
          <w:u w:val="single"/>
        </w:rPr>
      </w:pPr>
      <w:r w:rsidRPr="004B77D6">
        <w:rPr>
          <w:rFonts w:ascii="Calibri" w:hAnsi="Calibri"/>
          <w:szCs w:val="24"/>
          <w:u w:val="single"/>
        </w:rPr>
        <w:t>Studium Wykonalności Inwestycji (SWI) ma za zadanie:</w:t>
      </w:r>
    </w:p>
    <w:p w14:paraId="46D62C86" w14:textId="2D66E0C0" w:rsidR="00C2071D" w:rsidRPr="004B77D6" w:rsidRDefault="00EA2AAE" w:rsidP="004D0859">
      <w:pPr>
        <w:numPr>
          <w:ilvl w:val="0"/>
          <w:numId w:val="75"/>
        </w:numPr>
        <w:suppressAutoHyphens w:val="0"/>
        <w:spacing w:before="40" w:after="40" w:line="276" w:lineRule="auto"/>
        <w:rPr>
          <w:rFonts w:ascii="Calibri" w:hAnsi="Calibri"/>
          <w:szCs w:val="24"/>
        </w:rPr>
      </w:pPr>
      <w:r w:rsidRPr="004B77D6">
        <w:rPr>
          <w:rFonts w:ascii="Calibri" w:hAnsi="Calibri"/>
          <w:szCs w:val="24"/>
        </w:rPr>
        <w:t>wskazać</w:t>
      </w:r>
      <w:r w:rsidR="00C2071D" w:rsidRPr="004B77D6">
        <w:rPr>
          <w:rFonts w:ascii="Calibri" w:hAnsi="Calibri"/>
          <w:szCs w:val="24"/>
        </w:rPr>
        <w:t>, które z różnych proponowanych rozwiązań problemu będzie najlepsze pod względem technicznym, ekonomicznym, społecznym oraz ekologicznym;</w:t>
      </w:r>
    </w:p>
    <w:p w14:paraId="2176D910" w14:textId="5EC8E6DC" w:rsidR="00C2071D" w:rsidRPr="004B77D6" w:rsidRDefault="00EA2AAE" w:rsidP="004D0859">
      <w:pPr>
        <w:numPr>
          <w:ilvl w:val="0"/>
          <w:numId w:val="75"/>
        </w:numPr>
        <w:suppressAutoHyphens w:val="0"/>
        <w:spacing w:before="40" w:after="40" w:line="276" w:lineRule="auto"/>
        <w:rPr>
          <w:rFonts w:ascii="Calibri" w:hAnsi="Calibri"/>
          <w:szCs w:val="24"/>
        </w:rPr>
      </w:pPr>
      <w:r w:rsidRPr="004B77D6">
        <w:rPr>
          <w:rFonts w:ascii="Calibri" w:hAnsi="Calibri"/>
          <w:szCs w:val="24"/>
        </w:rPr>
        <w:t xml:space="preserve">wstępnie </w:t>
      </w:r>
      <w:r w:rsidR="00C2071D" w:rsidRPr="004B77D6">
        <w:rPr>
          <w:rFonts w:ascii="Calibri" w:hAnsi="Calibri"/>
          <w:szCs w:val="24"/>
        </w:rPr>
        <w:t>określić zakres rzeczowy przedsięwzięcia oraz główne parametry techniczne;</w:t>
      </w:r>
    </w:p>
    <w:p w14:paraId="6772001E" w14:textId="243C3584" w:rsidR="00C2071D" w:rsidRPr="004B77D6" w:rsidRDefault="00EA2AAE" w:rsidP="004D0859">
      <w:pPr>
        <w:numPr>
          <w:ilvl w:val="0"/>
          <w:numId w:val="75"/>
        </w:numPr>
        <w:suppressAutoHyphens w:val="0"/>
        <w:spacing w:before="40" w:after="40" w:line="276" w:lineRule="auto"/>
        <w:rPr>
          <w:rFonts w:ascii="Calibri" w:hAnsi="Calibri"/>
          <w:szCs w:val="24"/>
        </w:rPr>
      </w:pPr>
      <w:r w:rsidRPr="004B77D6">
        <w:rPr>
          <w:rFonts w:ascii="Calibri" w:hAnsi="Calibri"/>
          <w:szCs w:val="24"/>
        </w:rPr>
        <w:t xml:space="preserve">oszacować </w:t>
      </w:r>
      <w:r w:rsidR="00C2071D" w:rsidRPr="004B77D6">
        <w:rPr>
          <w:rFonts w:ascii="Calibri" w:hAnsi="Calibri"/>
          <w:szCs w:val="24"/>
        </w:rPr>
        <w:t>nakłady inwestycyjne;</w:t>
      </w:r>
    </w:p>
    <w:p w14:paraId="1B7B7FC7" w14:textId="5C4D8034" w:rsidR="00C2071D" w:rsidRPr="004B77D6" w:rsidRDefault="00EA2AAE" w:rsidP="004D0859">
      <w:pPr>
        <w:numPr>
          <w:ilvl w:val="0"/>
          <w:numId w:val="75"/>
        </w:numPr>
        <w:suppressAutoHyphens w:val="0"/>
        <w:spacing w:before="40" w:after="40" w:line="276" w:lineRule="auto"/>
        <w:rPr>
          <w:rFonts w:ascii="Calibri" w:hAnsi="Calibri"/>
          <w:szCs w:val="24"/>
        </w:rPr>
      </w:pPr>
      <w:r w:rsidRPr="004B77D6">
        <w:rPr>
          <w:rFonts w:ascii="Calibri" w:hAnsi="Calibri"/>
          <w:szCs w:val="24"/>
        </w:rPr>
        <w:t xml:space="preserve">zidentyfikować </w:t>
      </w:r>
      <w:r w:rsidR="00C2071D" w:rsidRPr="004B77D6">
        <w:rPr>
          <w:rFonts w:ascii="Calibri" w:hAnsi="Calibri"/>
          <w:szCs w:val="24"/>
        </w:rPr>
        <w:t>potencjalne problemy związane z realizacją oraz eksploatacją analizowanej inwestycji;</w:t>
      </w:r>
    </w:p>
    <w:p w14:paraId="206B628E" w14:textId="77777777" w:rsidR="00144EF5" w:rsidRDefault="00EA2AAE" w:rsidP="004D0859">
      <w:pPr>
        <w:numPr>
          <w:ilvl w:val="0"/>
          <w:numId w:val="75"/>
        </w:numPr>
        <w:suppressAutoHyphens w:val="0"/>
        <w:spacing w:before="40" w:after="40" w:line="276" w:lineRule="auto"/>
        <w:rPr>
          <w:rFonts w:ascii="Calibri" w:hAnsi="Calibri"/>
          <w:szCs w:val="24"/>
        </w:rPr>
      </w:pPr>
      <w:r w:rsidRPr="004B77D6">
        <w:rPr>
          <w:rFonts w:ascii="Calibri" w:hAnsi="Calibri"/>
          <w:szCs w:val="24"/>
        </w:rPr>
        <w:t xml:space="preserve">wykazać </w:t>
      </w:r>
      <w:r w:rsidR="00C2071D" w:rsidRPr="004B77D6">
        <w:rPr>
          <w:rFonts w:ascii="Calibri" w:hAnsi="Calibri"/>
          <w:szCs w:val="24"/>
        </w:rPr>
        <w:t>celowość realizowanej inwestycji</w:t>
      </w:r>
    </w:p>
    <w:p w14:paraId="6BE1B8F3" w14:textId="20F11F13" w:rsidR="00C2071D" w:rsidRPr="004B77D6" w:rsidRDefault="00144EF5" w:rsidP="004D0859">
      <w:pPr>
        <w:numPr>
          <w:ilvl w:val="0"/>
          <w:numId w:val="75"/>
        </w:numPr>
        <w:suppressAutoHyphens w:val="0"/>
        <w:spacing w:before="40" w:after="40" w:line="276" w:lineRule="auto"/>
        <w:rPr>
          <w:rFonts w:ascii="Calibri" w:hAnsi="Calibri"/>
          <w:szCs w:val="24"/>
        </w:rPr>
      </w:pPr>
      <w:r w:rsidRPr="00144EF5">
        <w:rPr>
          <w:rFonts w:ascii="Calibri" w:hAnsi="Calibri"/>
          <w:bCs/>
          <w:szCs w:val="24"/>
        </w:rPr>
        <w:t>wykazać, że Wnioskodawca posiada niezbędne zasoby i mechanizmy finansowe, aby pokryć koszty eksploatacji i utrzymania inwestycji, tak by zapewnić stabilność ich finansowania w okresie trwałości projektu</w:t>
      </w:r>
      <w:r w:rsidR="00C2071D" w:rsidRPr="004B77D6">
        <w:rPr>
          <w:rFonts w:ascii="Calibri" w:hAnsi="Calibri"/>
          <w:szCs w:val="24"/>
        </w:rPr>
        <w:t>.</w:t>
      </w:r>
    </w:p>
    <w:p w14:paraId="64FD6226" w14:textId="45F9098B" w:rsidR="004A44B0" w:rsidRDefault="00C2071D" w:rsidP="00593DAA">
      <w:pPr>
        <w:spacing w:before="40" w:after="40" w:line="276" w:lineRule="auto"/>
        <w:ind w:firstLine="540"/>
        <w:rPr>
          <w:rFonts w:ascii="Calibri" w:hAnsi="Calibri"/>
          <w:szCs w:val="24"/>
        </w:rPr>
      </w:pPr>
      <w:r w:rsidRPr="004B77D6">
        <w:rPr>
          <w:rFonts w:ascii="Calibri" w:hAnsi="Calibri"/>
          <w:szCs w:val="24"/>
        </w:rPr>
        <w:t xml:space="preserve">W załączniku nr 5 do Regulaminu wyboru projektów zamieszczono </w:t>
      </w:r>
      <w:r w:rsidR="00BF6983" w:rsidRPr="004B77D6">
        <w:rPr>
          <w:rFonts w:ascii="Calibri" w:hAnsi="Calibri"/>
          <w:szCs w:val="24"/>
        </w:rPr>
        <w:t>wz</w:t>
      </w:r>
      <w:r w:rsidR="00BF6983">
        <w:rPr>
          <w:rFonts w:ascii="Calibri" w:hAnsi="Calibri"/>
          <w:szCs w:val="24"/>
        </w:rPr>
        <w:t>ory</w:t>
      </w:r>
      <w:r w:rsidR="00BF6983" w:rsidRPr="004B77D6">
        <w:rPr>
          <w:rFonts w:ascii="Calibri" w:hAnsi="Calibri"/>
          <w:szCs w:val="24"/>
        </w:rPr>
        <w:t xml:space="preserve"> </w:t>
      </w:r>
      <w:r w:rsidRPr="004B77D6">
        <w:rPr>
          <w:rFonts w:ascii="Calibri" w:hAnsi="Calibri"/>
          <w:szCs w:val="24"/>
        </w:rPr>
        <w:t xml:space="preserve">SWI, </w:t>
      </w:r>
      <w:r w:rsidR="00A05EA4">
        <w:rPr>
          <w:rFonts w:ascii="Calibri" w:hAnsi="Calibri"/>
          <w:szCs w:val="24"/>
        </w:rPr>
        <w:br/>
      </w:r>
      <w:r w:rsidRPr="004B77D6">
        <w:rPr>
          <w:rFonts w:ascii="Calibri" w:hAnsi="Calibri"/>
          <w:szCs w:val="24"/>
        </w:rPr>
        <w:t xml:space="preserve">w </w:t>
      </w:r>
      <w:r w:rsidR="00BF6983" w:rsidRPr="004B77D6">
        <w:rPr>
          <w:rFonts w:ascii="Calibri" w:hAnsi="Calibri"/>
          <w:szCs w:val="24"/>
        </w:rPr>
        <w:t>który</w:t>
      </w:r>
      <w:r w:rsidR="00BF6983">
        <w:rPr>
          <w:rFonts w:ascii="Calibri" w:hAnsi="Calibri"/>
          <w:szCs w:val="24"/>
        </w:rPr>
        <w:t>ch</w:t>
      </w:r>
      <w:r w:rsidR="00BF6983" w:rsidRPr="004B77D6">
        <w:rPr>
          <w:rFonts w:ascii="Calibri" w:hAnsi="Calibri"/>
          <w:szCs w:val="24"/>
        </w:rPr>
        <w:t xml:space="preserve"> </w:t>
      </w:r>
      <w:r w:rsidRPr="004B77D6">
        <w:rPr>
          <w:rFonts w:ascii="Calibri" w:hAnsi="Calibri"/>
          <w:szCs w:val="24"/>
        </w:rPr>
        <w:t xml:space="preserve">zawarte są wytyczne dotyczące </w:t>
      </w:r>
      <w:r w:rsidR="00CB5F67" w:rsidRPr="004B77D6">
        <w:rPr>
          <w:rFonts w:ascii="Calibri" w:hAnsi="Calibri"/>
          <w:szCs w:val="24"/>
        </w:rPr>
        <w:t xml:space="preserve">tego, </w:t>
      </w:r>
      <w:r w:rsidRPr="004B77D6">
        <w:rPr>
          <w:rFonts w:ascii="Calibri" w:hAnsi="Calibri"/>
          <w:szCs w:val="24"/>
        </w:rPr>
        <w:t xml:space="preserve">jaki opis powinien </w:t>
      </w:r>
      <w:r w:rsidR="00F850B4">
        <w:rPr>
          <w:rFonts w:ascii="Calibri" w:hAnsi="Calibri"/>
          <w:szCs w:val="24"/>
        </w:rPr>
        <w:t>W</w:t>
      </w:r>
      <w:r w:rsidRPr="004B77D6">
        <w:rPr>
          <w:rFonts w:ascii="Calibri" w:hAnsi="Calibri"/>
          <w:szCs w:val="24"/>
        </w:rPr>
        <w:t xml:space="preserve">nioskodawca ująć </w:t>
      </w:r>
      <w:r w:rsidR="00A05EA4">
        <w:rPr>
          <w:rFonts w:ascii="Calibri" w:hAnsi="Calibri"/>
          <w:szCs w:val="24"/>
        </w:rPr>
        <w:br/>
      </w:r>
      <w:r w:rsidRPr="004B77D6">
        <w:rPr>
          <w:rFonts w:ascii="Calibri" w:hAnsi="Calibri"/>
          <w:szCs w:val="24"/>
        </w:rPr>
        <w:t xml:space="preserve">w ramach każdego punktu. </w:t>
      </w:r>
    </w:p>
    <w:p w14:paraId="026D6446" w14:textId="77777777" w:rsidR="00837A71" w:rsidRDefault="00837A71" w:rsidP="00837A71">
      <w:pPr>
        <w:spacing w:before="40" w:after="40" w:line="276" w:lineRule="auto"/>
        <w:rPr>
          <w:rFonts w:ascii="Calibri" w:hAnsi="Calibri"/>
          <w:szCs w:val="24"/>
        </w:rPr>
      </w:pPr>
    </w:p>
    <w:p w14:paraId="03DBF933" w14:textId="77777777" w:rsidR="00837A71" w:rsidRPr="004C679B" w:rsidRDefault="00837A71" w:rsidP="00593DAA">
      <w:pPr>
        <w:spacing w:before="40" w:after="40" w:line="276" w:lineRule="auto"/>
        <w:rPr>
          <w:rFonts w:ascii="Calibri" w:hAnsi="Calibri"/>
          <w:szCs w:val="24"/>
        </w:rPr>
      </w:pPr>
      <w:r w:rsidRPr="004C679B">
        <w:rPr>
          <w:rFonts w:ascii="Calibri" w:hAnsi="Calibri"/>
          <w:szCs w:val="24"/>
        </w:rPr>
        <w:t xml:space="preserve">Dla projektów, których całkowity koszt kwalifikowalny w momencie złożenia wniosku </w:t>
      </w:r>
    </w:p>
    <w:p w14:paraId="28F3CBA8" w14:textId="77777777" w:rsidR="00837A71" w:rsidRPr="004C679B" w:rsidRDefault="00837A71" w:rsidP="00593DAA">
      <w:pPr>
        <w:spacing w:before="40" w:after="40" w:line="276" w:lineRule="auto"/>
        <w:rPr>
          <w:rFonts w:ascii="Calibri" w:hAnsi="Calibri"/>
          <w:szCs w:val="24"/>
        </w:rPr>
      </w:pPr>
      <w:r w:rsidRPr="004C679B">
        <w:rPr>
          <w:rFonts w:ascii="Calibri" w:hAnsi="Calibri"/>
          <w:szCs w:val="24"/>
        </w:rPr>
        <w:t xml:space="preserve">o dofinansowanie </w:t>
      </w:r>
      <w:r w:rsidRPr="004C679B">
        <w:rPr>
          <w:rFonts w:ascii="Calibri" w:hAnsi="Calibri"/>
          <w:b/>
          <w:bCs/>
          <w:szCs w:val="24"/>
          <w:u w:val="single"/>
        </w:rPr>
        <w:t>jest równy bądź wyższy od 50 mln zł</w:t>
      </w:r>
      <w:r w:rsidRPr="004C679B">
        <w:rPr>
          <w:rFonts w:ascii="Calibri" w:hAnsi="Calibri"/>
          <w:szCs w:val="24"/>
        </w:rPr>
        <w:t xml:space="preserve">, Wnioskodawca zobowiązany jest dołączyć do wniosku o dofinansowanie </w:t>
      </w:r>
      <w:r w:rsidRPr="004C679B">
        <w:rPr>
          <w:rFonts w:ascii="Calibri" w:hAnsi="Calibri"/>
          <w:b/>
          <w:bCs/>
          <w:szCs w:val="24"/>
          <w:u w:val="single"/>
        </w:rPr>
        <w:t>załącznik 1A</w:t>
      </w:r>
      <w:r w:rsidRPr="004C679B">
        <w:rPr>
          <w:rFonts w:ascii="Calibri" w:hAnsi="Calibri"/>
          <w:szCs w:val="24"/>
        </w:rPr>
        <w:t xml:space="preserve"> wraz z </w:t>
      </w:r>
      <w:r w:rsidRPr="004C679B">
        <w:rPr>
          <w:rFonts w:ascii="Calibri" w:hAnsi="Calibri"/>
          <w:b/>
          <w:bCs/>
          <w:i/>
          <w:iCs/>
          <w:szCs w:val="24"/>
          <w:u w:val="single"/>
        </w:rPr>
        <w:t>Zestawieniem analiz dla metody standardowej/złożonej</w:t>
      </w:r>
      <w:r w:rsidRPr="004C679B">
        <w:rPr>
          <w:rFonts w:ascii="Calibri" w:hAnsi="Calibri"/>
          <w:szCs w:val="24"/>
        </w:rPr>
        <w:t xml:space="preserve"> (stanowiącym edytowalny załącznik do SWI).</w:t>
      </w:r>
    </w:p>
    <w:p w14:paraId="2BD8B35D" w14:textId="77777777" w:rsidR="00837A71" w:rsidRPr="000C5D5E" w:rsidRDefault="00837A71" w:rsidP="00593DAA">
      <w:pPr>
        <w:spacing w:before="40" w:after="40" w:line="276" w:lineRule="auto"/>
        <w:rPr>
          <w:rFonts w:ascii="Calibri" w:hAnsi="Calibri"/>
          <w:szCs w:val="24"/>
        </w:rPr>
      </w:pPr>
    </w:p>
    <w:p w14:paraId="3365CDA1" w14:textId="77777777" w:rsidR="00837A71" w:rsidRPr="004C679B" w:rsidRDefault="00837A71" w:rsidP="00593DAA">
      <w:pPr>
        <w:spacing w:before="40" w:after="40" w:line="276" w:lineRule="auto"/>
        <w:rPr>
          <w:rFonts w:ascii="Calibri" w:hAnsi="Calibri"/>
          <w:szCs w:val="24"/>
        </w:rPr>
      </w:pPr>
      <w:r w:rsidRPr="004C679B">
        <w:rPr>
          <w:rFonts w:ascii="Calibri" w:hAnsi="Calibri"/>
          <w:szCs w:val="24"/>
        </w:rPr>
        <w:t xml:space="preserve">Dla projektów, których całkowity koszt kwalifikowalny w momencie złożenia wniosku </w:t>
      </w:r>
    </w:p>
    <w:p w14:paraId="638E60F8" w14:textId="77777777" w:rsidR="00837A71" w:rsidRDefault="00837A71" w:rsidP="00593DAA">
      <w:pPr>
        <w:spacing w:before="40" w:after="40" w:line="276" w:lineRule="auto"/>
        <w:rPr>
          <w:rFonts w:cs="Calibri"/>
          <w:bCs/>
          <w:sz w:val="28"/>
          <w:szCs w:val="28"/>
        </w:rPr>
      </w:pPr>
      <w:r w:rsidRPr="004C679B">
        <w:rPr>
          <w:rFonts w:ascii="Calibri" w:hAnsi="Calibri"/>
          <w:szCs w:val="24"/>
        </w:rPr>
        <w:t xml:space="preserve">o dofinansowanie jest </w:t>
      </w:r>
      <w:r w:rsidRPr="000C5D5E">
        <w:rPr>
          <w:rFonts w:ascii="Calibri" w:hAnsi="Calibri"/>
          <w:b/>
          <w:bCs/>
          <w:szCs w:val="24"/>
          <w:u w:val="single"/>
        </w:rPr>
        <w:t>niższy od 50 mln zł</w:t>
      </w:r>
      <w:r w:rsidRPr="004C679B">
        <w:rPr>
          <w:rFonts w:ascii="Calibri" w:hAnsi="Calibri"/>
          <w:szCs w:val="24"/>
        </w:rPr>
        <w:t xml:space="preserve">, Wnioskodawca zobowiązany jest dołączyć </w:t>
      </w:r>
      <w:r>
        <w:rPr>
          <w:rFonts w:ascii="Calibri" w:hAnsi="Calibri"/>
          <w:szCs w:val="24"/>
        </w:rPr>
        <w:br/>
      </w:r>
      <w:r w:rsidRPr="004C679B">
        <w:rPr>
          <w:rFonts w:ascii="Calibri" w:hAnsi="Calibri"/>
          <w:szCs w:val="24"/>
        </w:rPr>
        <w:t xml:space="preserve">do wniosku o dofinansowanie </w:t>
      </w:r>
      <w:r w:rsidRPr="004C679B">
        <w:rPr>
          <w:rFonts w:ascii="Calibri" w:hAnsi="Calibri"/>
          <w:b/>
          <w:bCs/>
          <w:szCs w:val="24"/>
          <w:u w:val="single"/>
        </w:rPr>
        <w:t>załącznik 1B</w:t>
      </w:r>
      <w:r w:rsidRPr="004C679B">
        <w:rPr>
          <w:rFonts w:ascii="Calibri" w:hAnsi="Calibri"/>
          <w:szCs w:val="24"/>
        </w:rPr>
        <w:t>.</w:t>
      </w:r>
    </w:p>
    <w:p w14:paraId="76A9764D" w14:textId="77777777" w:rsidR="004A44B0" w:rsidRDefault="004A44B0" w:rsidP="004A44B0">
      <w:pPr>
        <w:rPr>
          <w:rFonts w:cs="Calibri"/>
          <w:bCs/>
          <w:sz w:val="28"/>
          <w:szCs w:val="28"/>
        </w:rPr>
      </w:pPr>
    </w:p>
    <w:p w14:paraId="6B045AFB" w14:textId="77777777" w:rsidR="006403DA" w:rsidRDefault="006403DA" w:rsidP="004A44B0">
      <w:pPr>
        <w:rPr>
          <w:rFonts w:cs="Calibri"/>
          <w:bCs/>
          <w:sz w:val="28"/>
          <w:szCs w:val="28"/>
        </w:rPr>
      </w:pPr>
    </w:p>
    <w:p w14:paraId="67E8ED56" w14:textId="77777777" w:rsidR="006403DA" w:rsidRDefault="006403DA" w:rsidP="004A44B0">
      <w:pPr>
        <w:rPr>
          <w:rFonts w:cs="Calibri"/>
          <w:bCs/>
          <w:sz w:val="28"/>
          <w:szCs w:val="28"/>
        </w:rPr>
      </w:pPr>
    </w:p>
    <w:p w14:paraId="6BDCA5B5" w14:textId="77777777" w:rsidR="006403DA" w:rsidRDefault="006403DA" w:rsidP="004A44B0">
      <w:pPr>
        <w:rPr>
          <w:rFonts w:cs="Calibri"/>
          <w:bCs/>
          <w:sz w:val="28"/>
          <w:szCs w:val="28"/>
        </w:rPr>
      </w:pPr>
    </w:p>
    <w:p w14:paraId="70092A62" w14:textId="77777777" w:rsidR="006403DA" w:rsidRDefault="006403DA" w:rsidP="004A44B0">
      <w:pPr>
        <w:rPr>
          <w:rFonts w:cs="Calibri"/>
          <w:bCs/>
          <w:sz w:val="28"/>
          <w:szCs w:val="28"/>
        </w:rPr>
      </w:pPr>
    </w:p>
    <w:p w14:paraId="13BDC544" w14:textId="77777777" w:rsidR="006403DA" w:rsidRDefault="006403DA" w:rsidP="004A44B0">
      <w:pPr>
        <w:rPr>
          <w:rFonts w:cs="Calibri"/>
          <w:bCs/>
          <w:sz w:val="28"/>
          <w:szCs w:val="28"/>
        </w:rPr>
      </w:pPr>
    </w:p>
    <w:p w14:paraId="2141FAA7" w14:textId="77777777" w:rsidR="006403DA" w:rsidRDefault="006403DA" w:rsidP="004A44B0">
      <w:pPr>
        <w:rPr>
          <w:rFonts w:cs="Calibri"/>
          <w:bCs/>
          <w:sz w:val="28"/>
          <w:szCs w:val="28"/>
        </w:rPr>
      </w:pPr>
    </w:p>
    <w:p w14:paraId="724E3B69" w14:textId="26C34647" w:rsidR="004A44B0" w:rsidRPr="004A44B0" w:rsidRDefault="004A44B0" w:rsidP="004A44B0">
      <w:pPr>
        <w:pStyle w:val="Nagwek3"/>
        <w:numPr>
          <w:ilvl w:val="0"/>
          <w:numId w:val="0"/>
        </w:numPr>
        <w:suppressAutoHyphens w:val="0"/>
        <w:spacing w:after="120" w:line="276" w:lineRule="auto"/>
        <w:ind w:left="142" w:hanging="426"/>
        <w:rPr>
          <w:rFonts w:ascii="Calibri" w:hAnsi="Calibri"/>
          <w:sz w:val="28"/>
          <w:szCs w:val="28"/>
          <w:lang w:val="pl-PL"/>
        </w:rPr>
      </w:pPr>
      <w:bookmarkStart w:id="2" w:name="_Toc241839696"/>
      <w:bookmarkStart w:id="3" w:name="_Hlk219291249"/>
      <w:r w:rsidRPr="00593DAA">
        <w:rPr>
          <w:rStyle w:val="Styl1Znak"/>
          <w:b/>
          <w:bCs/>
        </w:rPr>
        <w:lastRenderedPageBreak/>
        <w:t xml:space="preserve">1.1 </w:t>
      </w:r>
      <w:bookmarkStart w:id="4" w:name="_Hlk219291982"/>
      <w:r w:rsidRPr="00593DAA">
        <w:rPr>
          <w:rStyle w:val="Styl1Znak"/>
          <w:b/>
          <w:bCs/>
        </w:rPr>
        <w:t>INSTRUKCJA PRZYGOTOWANIA STUDIUM WYKONALNOŚCI INWESTYCJI</w:t>
      </w:r>
      <w:r w:rsidRPr="00593DAA">
        <w:rPr>
          <w:rStyle w:val="Styl1Znak"/>
          <w:b/>
          <w:bCs/>
          <w:lang w:val="pl-PL"/>
        </w:rPr>
        <w:t xml:space="preserve"> </w:t>
      </w:r>
      <w:r w:rsidRPr="00593DAA">
        <w:rPr>
          <w:rStyle w:val="Styl1Znak"/>
          <w:b/>
          <w:bCs/>
          <w:lang w:val="pl-PL"/>
        </w:rPr>
        <w:br/>
        <w:t xml:space="preserve">TJ. ZAŁĄCZNIKA 1A DO WNIOSKU O DOFINANSOWANIE </w:t>
      </w:r>
      <w:bookmarkEnd w:id="4"/>
      <w:r w:rsidRPr="00593DAA">
        <w:rPr>
          <w:rStyle w:val="Styl1Znak"/>
          <w:b/>
          <w:bCs/>
          <w:lang w:val="pl-PL"/>
        </w:rPr>
        <w:t>-</w:t>
      </w:r>
      <w:r w:rsidRPr="004A44B0">
        <w:rPr>
          <w:rFonts w:ascii="Calibri" w:hAnsi="Calibri"/>
          <w:sz w:val="28"/>
          <w:szCs w:val="28"/>
          <w:lang w:val="pl-PL"/>
        </w:rPr>
        <w:t xml:space="preserve"> </w:t>
      </w:r>
      <w:r w:rsidRPr="004A44B0">
        <w:rPr>
          <w:rFonts w:ascii="Calibri" w:hAnsi="Calibri"/>
          <w:b w:val="0"/>
          <w:bCs w:val="0"/>
          <w:sz w:val="28"/>
          <w:szCs w:val="28"/>
          <w:lang w:val="pl-PL"/>
        </w:rPr>
        <w:t xml:space="preserve">dla projektów, których całkowity koszt kwalifikowalny w momencie złożenia wniosku </w:t>
      </w:r>
      <w:r>
        <w:rPr>
          <w:rFonts w:ascii="Calibri" w:hAnsi="Calibri"/>
          <w:b w:val="0"/>
          <w:bCs w:val="0"/>
          <w:sz w:val="28"/>
          <w:szCs w:val="28"/>
          <w:lang w:val="pl-PL"/>
        </w:rPr>
        <w:br/>
      </w:r>
      <w:r w:rsidRPr="004A44B0">
        <w:rPr>
          <w:rFonts w:ascii="Calibri" w:hAnsi="Calibri"/>
          <w:b w:val="0"/>
          <w:bCs w:val="0"/>
          <w:sz w:val="28"/>
          <w:szCs w:val="28"/>
          <w:lang w:val="pl-PL"/>
        </w:rPr>
        <w:t>o dofinansowanie</w:t>
      </w:r>
      <w:r w:rsidRPr="004A44B0">
        <w:rPr>
          <w:rFonts w:ascii="Calibri" w:hAnsi="Calibri"/>
          <w:sz w:val="28"/>
          <w:szCs w:val="28"/>
          <w:lang w:val="pl-PL"/>
        </w:rPr>
        <w:t xml:space="preserve"> </w:t>
      </w:r>
      <w:r w:rsidRPr="004A44B0">
        <w:rPr>
          <w:rFonts w:ascii="Calibri" w:hAnsi="Calibri"/>
          <w:sz w:val="28"/>
          <w:szCs w:val="28"/>
          <w:u w:val="single"/>
          <w:lang w:val="pl-PL"/>
        </w:rPr>
        <w:t>jest równy bądź wyższy od 50 mln zł</w:t>
      </w:r>
      <w:bookmarkEnd w:id="2"/>
    </w:p>
    <w:bookmarkEnd w:id="3"/>
    <w:p w14:paraId="4D81434E" w14:textId="0AEDDE6A" w:rsidR="00C2071D" w:rsidRPr="004B77D6" w:rsidRDefault="00C2071D" w:rsidP="00E438CC">
      <w:pPr>
        <w:spacing w:after="120" w:line="276" w:lineRule="auto"/>
        <w:rPr>
          <w:rFonts w:ascii="Calibri" w:hAnsi="Calibri"/>
          <w:szCs w:val="24"/>
        </w:rPr>
      </w:pPr>
      <w:r w:rsidRPr="004B77D6">
        <w:rPr>
          <w:rFonts w:ascii="Calibri" w:hAnsi="Calibri"/>
          <w:szCs w:val="24"/>
        </w:rPr>
        <w:t>Opracowując SWI należy mieć na uwadze cykl życia projektu, uwzględniając kolejno etapy od planowania strategicznego, tj. identyfikacji potrzeb i możliwości, poprzez projektowanie, wdrażanie, rozliczanie i ewaluację. Studium powinno zawierać</w:t>
      </w:r>
      <w:r w:rsidR="00CB5F67" w:rsidRPr="004B77D6">
        <w:rPr>
          <w:rFonts w:ascii="Calibri" w:hAnsi="Calibri"/>
          <w:szCs w:val="24"/>
        </w:rPr>
        <w:t>,</w:t>
      </w:r>
      <w:r w:rsidRPr="004B77D6">
        <w:rPr>
          <w:rFonts w:ascii="Calibri" w:hAnsi="Calibri"/>
          <w:szCs w:val="24"/>
        </w:rPr>
        <w:t xml:space="preserve"> </w:t>
      </w:r>
      <w:r w:rsidR="00BA5C81">
        <w:rPr>
          <w:rFonts w:ascii="Calibri" w:hAnsi="Calibri"/>
          <w:szCs w:val="24"/>
        </w:rPr>
        <w:br/>
      </w:r>
      <w:r w:rsidRPr="004B77D6">
        <w:rPr>
          <w:rFonts w:ascii="Calibri" w:hAnsi="Calibri"/>
          <w:szCs w:val="24"/>
        </w:rPr>
        <w:t xml:space="preserve">m.in. identyfikację projektu, analizę instytucjonalną i prawną wykonalności projektu, analizę popytu oraz analizę opcji, </w:t>
      </w:r>
      <w:r w:rsidR="00E511CD">
        <w:rPr>
          <w:rFonts w:ascii="Calibri" w:hAnsi="Calibri"/>
          <w:szCs w:val="24"/>
        </w:rPr>
        <w:t>analizę finansowej trwałości projektu</w:t>
      </w:r>
      <w:r w:rsidR="004A44B0">
        <w:rPr>
          <w:rFonts w:ascii="Calibri" w:hAnsi="Calibri"/>
          <w:szCs w:val="24"/>
        </w:rPr>
        <w:t>,</w:t>
      </w:r>
      <w:r w:rsidR="00E511CD">
        <w:rPr>
          <w:rFonts w:ascii="Calibri" w:hAnsi="Calibri"/>
          <w:szCs w:val="24"/>
        </w:rPr>
        <w:t xml:space="preserve"> </w:t>
      </w:r>
      <w:r w:rsidRPr="004B77D6">
        <w:rPr>
          <w:rFonts w:ascii="Calibri" w:hAnsi="Calibri"/>
          <w:szCs w:val="24"/>
        </w:rPr>
        <w:t xml:space="preserve">analizę finansową </w:t>
      </w:r>
      <w:r w:rsidR="00BA5C81">
        <w:rPr>
          <w:rFonts w:ascii="Calibri" w:hAnsi="Calibri"/>
          <w:szCs w:val="24"/>
        </w:rPr>
        <w:br/>
      </w:r>
      <w:r w:rsidRPr="004B77D6">
        <w:rPr>
          <w:rFonts w:ascii="Calibri" w:hAnsi="Calibri"/>
          <w:szCs w:val="24"/>
        </w:rPr>
        <w:t>i ekonomiczną</w:t>
      </w:r>
      <w:r w:rsidR="004A44B0">
        <w:rPr>
          <w:rFonts w:ascii="Calibri" w:hAnsi="Calibri"/>
          <w:szCs w:val="24"/>
        </w:rPr>
        <w:t xml:space="preserve"> oraz odniesienie do kryteriów wyboru projektów</w:t>
      </w:r>
      <w:r w:rsidR="00CB5F67" w:rsidRPr="004B77D6">
        <w:rPr>
          <w:rFonts w:ascii="Calibri" w:hAnsi="Calibri"/>
          <w:szCs w:val="24"/>
        </w:rPr>
        <w:t>,</w:t>
      </w:r>
      <w:r w:rsidRPr="004B77D6">
        <w:rPr>
          <w:rFonts w:ascii="Calibri" w:hAnsi="Calibri"/>
          <w:szCs w:val="24"/>
        </w:rPr>
        <w:t xml:space="preserve"> zgodnie z opisem określonym we wzorze SWI.</w:t>
      </w:r>
    </w:p>
    <w:p w14:paraId="72FFD914" w14:textId="5EDC90FA" w:rsidR="00C2071D" w:rsidRPr="004B77D6" w:rsidRDefault="00C2071D" w:rsidP="00E438CC">
      <w:pPr>
        <w:spacing w:after="120" w:line="276" w:lineRule="auto"/>
        <w:rPr>
          <w:rFonts w:ascii="Calibri" w:hAnsi="Calibri"/>
          <w:szCs w:val="24"/>
        </w:rPr>
      </w:pPr>
      <w:r w:rsidRPr="004B77D6">
        <w:rPr>
          <w:rFonts w:ascii="Calibri" w:hAnsi="Calibri"/>
          <w:b/>
          <w:szCs w:val="24"/>
          <w:u w:val="single"/>
        </w:rPr>
        <w:t>Dla jednego projektu należy sporządzić jedno studium wykonalności</w:t>
      </w:r>
      <w:r w:rsidRPr="004B77D6">
        <w:rPr>
          <w:rFonts w:ascii="Calibri" w:hAnsi="Calibri"/>
          <w:szCs w:val="24"/>
        </w:rPr>
        <w:t>, uwzględniające korzyści bądź straty z wykonania całej inwestycji niezależnie od jej typu oraz złożoności. Ponadto</w:t>
      </w:r>
      <w:r w:rsidR="00CB5F67" w:rsidRPr="004B77D6">
        <w:rPr>
          <w:rFonts w:ascii="Calibri" w:hAnsi="Calibri"/>
          <w:szCs w:val="24"/>
        </w:rPr>
        <w:t>,</w:t>
      </w:r>
      <w:r w:rsidRPr="004B77D6">
        <w:rPr>
          <w:rFonts w:ascii="Calibri" w:hAnsi="Calibri"/>
          <w:szCs w:val="24"/>
        </w:rPr>
        <w:t xml:space="preserve"> obliczamy jeden wskaźnik efektywności kosztowej, obejmujący cały projekt. </w:t>
      </w:r>
    </w:p>
    <w:p w14:paraId="7BA6375D" w14:textId="77777777" w:rsidR="00C2071D" w:rsidRDefault="00C2071D" w:rsidP="00E438CC">
      <w:pPr>
        <w:spacing w:after="120" w:line="276" w:lineRule="auto"/>
        <w:rPr>
          <w:rFonts w:ascii="Calibri" w:hAnsi="Calibri"/>
          <w:szCs w:val="24"/>
          <w:u w:val="single"/>
        </w:rPr>
      </w:pPr>
      <w:r w:rsidRPr="004B77D6">
        <w:rPr>
          <w:rFonts w:ascii="Calibri" w:hAnsi="Calibri"/>
          <w:szCs w:val="24"/>
        </w:rPr>
        <w:t xml:space="preserve">W przypadku realizacji jednego z kilku etapów projektu w studium wykonalności należy uzasadnić ekonomicznie celowość dofinansowania danego etapu w myśl zasady, </w:t>
      </w:r>
      <w:r w:rsidRPr="004B77D6">
        <w:rPr>
          <w:rFonts w:ascii="Calibri" w:hAnsi="Calibri"/>
          <w:szCs w:val="24"/>
        </w:rPr>
        <w:br/>
        <w:t xml:space="preserve">że </w:t>
      </w:r>
      <w:r w:rsidRPr="004B77D6">
        <w:rPr>
          <w:rFonts w:ascii="Calibri" w:hAnsi="Calibri"/>
          <w:szCs w:val="24"/>
          <w:u w:val="single"/>
        </w:rPr>
        <w:t xml:space="preserve">dofinansowanie może uzyskać projekt kompletny dający po ukończeniu wymierny efekt. </w:t>
      </w:r>
    </w:p>
    <w:p w14:paraId="70635F35" w14:textId="2AC489DF" w:rsidR="00C2071D" w:rsidRPr="004B77D6" w:rsidRDefault="00C2071D" w:rsidP="004D0859">
      <w:pPr>
        <w:pStyle w:val="Nagwek1"/>
        <w:numPr>
          <w:ilvl w:val="2"/>
          <w:numId w:val="6"/>
        </w:numPr>
        <w:tabs>
          <w:tab w:val="num" w:pos="1134"/>
        </w:tabs>
        <w:spacing w:before="120" w:after="120" w:line="276" w:lineRule="auto"/>
        <w:ind w:left="709" w:hanging="709"/>
        <w:rPr>
          <w:rFonts w:ascii="Calibri" w:hAnsi="Calibri"/>
          <w:sz w:val="24"/>
          <w:szCs w:val="24"/>
        </w:rPr>
      </w:pPr>
      <w:bookmarkStart w:id="5" w:name="_Toc477857425"/>
      <w:bookmarkStart w:id="6" w:name="_Toc127344049"/>
      <w:bookmarkStart w:id="7" w:name="_Toc241839697"/>
      <w:r w:rsidRPr="004B77D6">
        <w:rPr>
          <w:rFonts w:ascii="Calibri" w:hAnsi="Calibri"/>
          <w:sz w:val="24"/>
          <w:szCs w:val="24"/>
        </w:rPr>
        <w:t>SŁOWNIK POJĘĆ</w:t>
      </w:r>
      <w:bookmarkEnd w:id="5"/>
      <w:bookmarkEnd w:id="6"/>
      <w:bookmarkEnd w:id="7"/>
    </w:p>
    <w:p w14:paraId="2F487881" w14:textId="0445ABF2" w:rsidR="00C2071D" w:rsidRPr="004B77D6" w:rsidRDefault="00C2071D" w:rsidP="00E438CC">
      <w:pPr>
        <w:suppressAutoHyphens w:val="0"/>
        <w:spacing w:after="120" w:line="276" w:lineRule="auto"/>
        <w:rPr>
          <w:rFonts w:asciiTheme="minorHAnsi" w:hAnsiTheme="minorHAnsi" w:cstheme="minorHAnsi"/>
          <w:bCs/>
          <w:szCs w:val="24"/>
        </w:rPr>
      </w:pPr>
      <w:r w:rsidRPr="004B77D6">
        <w:rPr>
          <w:rFonts w:asciiTheme="minorHAnsi" w:hAnsiTheme="minorHAnsi" w:cstheme="minorHAnsi"/>
          <w:b/>
          <w:szCs w:val="24"/>
        </w:rPr>
        <w:t xml:space="preserve">Analiza efektywności kosztowej (AEK) </w:t>
      </w:r>
      <w:r w:rsidRPr="004B77D6">
        <w:rPr>
          <w:rFonts w:asciiTheme="minorHAnsi" w:hAnsiTheme="minorHAnsi" w:cstheme="minorHAnsi"/>
          <w:bCs/>
          <w:szCs w:val="24"/>
        </w:rPr>
        <w:t xml:space="preserve">(ang. </w:t>
      </w:r>
      <w:proofErr w:type="spellStart"/>
      <w:r w:rsidRPr="004B77D6">
        <w:rPr>
          <w:rFonts w:asciiTheme="minorHAnsi" w:hAnsiTheme="minorHAnsi" w:cstheme="minorHAnsi"/>
          <w:bCs/>
          <w:i/>
          <w:szCs w:val="24"/>
        </w:rPr>
        <w:t>Cost</w:t>
      </w:r>
      <w:proofErr w:type="spellEnd"/>
      <w:r w:rsidRPr="004B77D6">
        <w:rPr>
          <w:rFonts w:asciiTheme="minorHAnsi" w:hAnsiTheme="minorHAnsi" w:cstheme="minorHAnsi"/>
          <w:bCs/>
          <w:i/>
          <w:szCs w:val="24"/>
        </w:rPr>
        <w:t xml:space="preserve"> </w:t>
      </w:r>
      <w:proofErr w:type="spellStart"/>
      <w:r w:rsidRPr="004B77D6">
        <w:rPr>
          <w:rFonts w:asciiTheme="minorHAnsi" w:hAnsiTheme="minorHAnsi" w:cstheme="minorHAnsi"/>
          <w:bCs/>
          <w:i/>
          <w:szCs w:val="24"/>
        </w:rPr>
        <w:t>Effectiveness</w:t>
      </w:r>
      <w:proofErr w:type="spellEnd"/>
      <w:r w:rsidRPr="004B77D6">
        <w:rPr>
          <w:rFonts w:asciiTheme="minorHAnsi" w:hAnsiTheme="minorHAnsi" w:cstheme="minorHAnsi"/>
          <w:bCs/>
          <w:i/>
          <w:szCs w:val="24"/>
        </w:rPr>
        <w:t xml:space="preserve"> Analysis – CEA</w:t>
      </w:r>
      <w:r w:rsidRPr="004B77D6">
        <w:rPr>
          <w:rFonts w:asciiTheme="minorHAnsi" w:hAnsiTheme="minorHAnsi" w:cstheme="minorHAnsi"/>
          <w:bCs/>
          <w:szCs w:val="24"/>
        </w:rPr>
        <w:t>)</w:t>
      </w:r>
      <w:r w:rsidRPr="004B77D6">
        <w:rPr>
          <w:rFonts w:asciiTheme="minorHAnsi" w:hAnsiTheme="minorHAnsi" w:cstheme="minorHAnsi"/>
          <w:szCs w:val="24"/>
        </w:rPr>
        <w:t>:</w:t>
      </w:r>
      <w:r w:rsidRPr="004B77D6">
        <w:rPr>
          <w:rFonts w:asciiTheme="minorHAnsi" w:hAnsiTheme="minorHAnsi" w:cstheme="minorHAnsi"/>
          <w:b/>
          <w:szCs w:val="24"/>
        </w:rPr>
        <w:t xml:space="preserve"> </w:t>
      </w:r>
      <w:r w:rsidRPr="004B77D6">
        <w:rPr>
          <w:rFonts w:asciiTheme="minorHAnsi" w:hAnsiTheme="minorHAnsi" w:cstheme="minorHAnsi"/>
          <w:bCs/>
          <w:szCs w:val="24"/>
        </w:rPr>
        <w:t xml:space="preserve">jest </w:t>
      </w:r>
      <w:r w:rsidR="00BA5C81">
        <w:rPr>
          <w:rFonts w:asciiTheme="minorHAnsi" w:hAnsiTheme="minorHAnsi" w:cstheme="minorHAnsi"/>
          <w:bCs/>
          <w:szCs w:val="24"/>
        </w:rPr>
        <w:br/>
      </w:r>
      <w:r w:rsidRPr="004B77D6">
        <w:rPr>
          <w:rFonts w:asciiTheme="minorHAnsi" w:hAnsiTheme="minorHAnsi" w:cstheme="minorHAnsi"/>
          <w:bCs/>
          <w:szCs w:val="24"/>
        </w:rPr>
        <w:t xml:space="preserve">to metoda analizy efektywności projektów, którą stosuje </w:t>
      </w:r>
      <w:r w:rsidR="006E53A8" w:rsidRPr="004B77D6">
        <w:rPr>
          <w:rFonts w:asciiTheme="minorHAnsi" w:hAnsiTheme="minorHAnsi" w:cstheme="minorHAnsi"/>
          <w:bCs/>
          <w:szCs w:val="24"/>
        </w:rPr>
        <w:t>się,</w:t>
      </w:r>
      <w:r w:rsidRPr="004B77D6">
        <w:rPr>
          <w:rFonts w:asciiTheme="minorHAnsi" w:hAnsiTheme="minorHAnsi" w:cstheme="minorHAnsi"/>
          <w:bCs/>
          <w:szCs w:val="24"/>
        </w:rPr>
        <w:t xml:space="preserve"> gdy zmierzenie korzyści </w:t>
      </w:r>
      <w:r w:rsidRPr="004B77D6">
        <w:rPr>
          <w:rFonts w:asciiTheme="minorHAnsi" w:hAnsiTheme="minorHAnsi" w:cstheme="minorHAnsi"/>
          <w:bCs/>
          <w:szCs w:val="24"/>
        </w:rPr>
        <w:br/>
        <w:t xml:space="preserve">w kategoriach pieniężnych nie jest w praktyce możliwe. Stanowi ona szczególny rodzaj analizy kosztów i korzyści i polega na wyliczeniu jednostkowego </w:t>
      </w:r>
      <w:r w:rsidR="006E53A8" w:rsidRPr="004B77D6">
        <w:rPr>
          <w:rFonts w:asciiTheme="minorHAnsi" w:hAnsiTheme="minorHAnsi" w:cstheme="minorHAnsi"/>
          <w:bCs/>
          <w:szCs w:val="24"/>
        </w:rPr>
        <w:t>kosztu osiągnięcia</w:t>
      </w:r>
      <w:r w:rsidRPr="004B77D6">
        <w:rPr>
          <w:rFonts w:asciiTheme="minorHAnsi" w:hAnsiTheme="minorHAnsi" w:cstheme="minorHAnsi"/>
          <w:bCs/>
          <w:szCs w:val="24"/>
        </w:rPr>
        <w:t xml:space="preserve"> korzyści generowanych przez projekt. Warunkiem przeprowadzenia takiej analizy jest możliwość skwantyfikowania korzyści, a następnie odniesienia ich do pieniężnych kosztów projektu; </w:t>
      </w:r>
      <w:r w:rsidRPr="004B77D6">
        <w:rPr>
          <w:rFonts w:asciiTheme="minorHAnsi" w:hAnsiTheme="minorHAnsi" w:cstheme="minorHAnsi"/>
          <w:bCs/>
          <w:szCs w:val="24"/>
        </w:rPr>
        <w:br/>
        <w:t xml:space="preserve">nie jest natomiast konieczne przypisanie korzyściom konkretnej wartości pieniężnej lub ekonomicznej. Przykładem analizy efektywności kosztowej jest analiza dynamicznego kosztu jednostkowego (ang. </w:t>
      </w:r>
      <w:proofErr w:type="spellStart"/>
      <w:r w:rsidRPr="004B77D6">
        <w:rPr>
          <w:rFonts w:asciiTheme="minorHAnsi" w:hAnsiTheme="minorHAnsi" w:cstheme="minorHAnsi"/>
          <w:bCs/>
          <w:i/>
          <w:szCs w:val="24"/>
        </w:rPr>
        <w:t>Dynamic</w:t>
      </w:r>
      <w:proofErr w:type="spellEnd"/>
      <w:r w:rsidRPr="004B77D6">
        <w:rPr>
          <w:rFonts w:asciiTheme="minorHAnsi" w:hAnsiTheme="minorHAnsi" w:cstheme="minorHAnsi"/>
          <w:bCs/>
          <w:i/>
          <w:szCs w:val="24"/>
        </w:rPr>
        <w:t xml:space="preserve"> </w:t>
      </w:r>
      <w:proofErr w:type="spellStart"/>
      <w:r w:rsidRPr="004B77D6">
        <w:rPr>
          <w:rFonts w:asciiTheme="minorHAnsi" w:hAnsiTheme="minorHAnsi" w:cstheme="minorHAnsi"/>
          <w:bCs/>
          <w:i/>
          <w:szCs w:val="24"/>
        </w:rPr>
        <w:t>Generation</w:t>
      </w:r>
      <w:proofErr w:type="spellEnd"/>
      <w:r w:rsidRPr="004B77D6">
        <w:rPr>
          <w:rFonts w:asciiTheme="minorHAnsi" w:hAnsiTheme="minorHAnsi" w:cstheme="minorHAnsi"/>
          <w:bCs/>
          <w:i/>
          <w:szCs w:val="24"/>
        </w:rPr>
        <w:t xml:space="preserve"> </w:t>
      </w:r>
      <w:proofErr w:type="spellStart"/>
      <w:r w:rsidRPr="004B77D6">
        <w:rPr>
          <w:rFonts w:asciiTheme="minorHAnsi" w:hAnsiTheme="minorHAnsi" w:cstheme="minorHAnsi"/>
          <w:bCs/>
          <w:i/>
          <w:szCs w:val="24"/>
        </w:rPr>
        <w:t>Cost</w:t>
      </w:r>
      <w:proofErr w:type="spellEnd"/>
      <w:r w:rsidRPr="004B77D6">
        <w:rPr>
          <w:rFonts w:asciiTheme="minorHAnsi" w:hAnsiTheme="minorHAnsi" w:cstheme="minorHAnsi"/>
          <w:bCs/>
          <w:i/>
          <w:szCs w:val="24"/>
        </w:rPr>
        <w:t xml:space="preserve"> – DGC</w:t>
      </w:r>
      <w:r w:rsidRPr="004B77D6">
        <w:rPr>
          <w:rFonts w:asciiTheme="minorHAnsi" w:hAnsiTheme="minorHAnsi" w:cstheme="minorHAnsi"/>
          <w:bCs/>
          <w:szCs w:val="24"/>
        </w:rPr>
        <w:t>).</w:t>
      </w:r>
    </w:p>
    <w:p w14:paraId="0A43B745" w14:textId="11C88799" w:rsidR="00C2071D" w:rsidRPr="004B77D6" w:rsidRDefault="00C2071D" w:rsidP="00E438CC">
      <w:pPr>
        <w:suppressAutoHyphens w:val="0"/>
        <w:spacing w:after="120" w:line="276" w:lineRule="auto"/>
        <w:rPr>
          <w:rFonts w:asciiTheme="minorHAnsi" w:hAnsiTheme="minorHAnsi" w:cstheme="minorHAnsi"/>
          <w:bCs/>
          <w:szCs w:val="24"/>
        </w:rPr>
      </w:pPr>
      <w:r w:rsidRPr="004B77D6">
        <w:rPr>
          <w:rFonts w:asciiTheme="minorHAnsi" w:hAnsiTheme="minorHAnsi" w:cstheme="minorHAnsi"/>
          <w:b/>
          <w:bCs/>
          <w:szCs w:val="24"/>
        </w:rPr>
        <w:t>Analiza ekonomiczna</w:t>
      </w:r>
      <w:r w:rsidRPr="004B77D6">
        <w:rPr>
          <w:rFonts w:asciiTheme="minorHAnsi" w:hAnsiTheme="minorHAnsi" w:cstheme="minorHAnsi"/>
          <w:bCs/>
          <w:szCs w:val="24"/>
        </w:rPr>
        <w:t>:</w:t>
      </w:r>
      <w:r w:rsidRPr="004B77D6">
        <w:rPr>
          <w:rFonts w:asciiTheme="minorHAnsi" w:hAnsiTheme="minorHAnsi" w:cstheme="minorHAnsi"/>
          <w:b/>
          <w:bCs/>
          <w:szCs w:val="24"/>
        </w:rPr>
        <w:t xml:space="preserve"> </w:t>
      </w:r>
      <w:r w:rsidRPr="004B77D6">
        <w:rPr>
          <w:rFonts w:asciiTheme="minorHAnsi" w:hAnsiTheme="minorHAnsi" w:cstheme="minorHAnsi"/>
          <w:bCs/>
          <w:szCs w:val="24"/>
        </w:rPr>
        <w:t xml:space="preserve">analiza mająca na celu ustalenie wskaźników efektywności ekonomicznej projektu. Posługuje się wartościami ekonomicznymi, które odzwierciedlają wartości, jakie społeczeństwo byłoby gotowe zapłacić za określone dobro lub usługę. Wycenia ona wszystkie czynniki zgodnie z ich wartością użytkową lub kosztem alternatywnym dla społeczeństwa. Analiza ekonomiczna jest szczególnym rodzajem analizy kosztów i korzyści – przeprowadzana jest w drodze skorygowania wyników analizy finansowej o efekty fiskalne, efekty zewnętrzne oraz ceny rozrachunkowe. Podobnie jak w analizie finansowej, w analizie ekonomicznej stosuje się metodę zdyskontowanych przepływów pieniężnych (ang. </w:t>
      </w:r>
      <w:proofErr w:type="spellStart"/>
      <w:r w:rsidRPr="004B77D6">
        <w:rPr>
          <w:rFonts w:asciiTheme="minorHAnsi" w:hAnsiTheme="minorHAnsi" w:cstheme="minorHAnsi"/>
          <w:bCs/>
          <w:i/>
          <w:szCs w:val="24"/>
        </w:rPr>
        <w:t>Discounted</w:t>
      </w:r>
      <w:proofErr w:type="spellEnd"/>
      <w:r w:rsidRPr="004B77D6">
        <w:rPr>
          <w:rFonts w:asciiTheme="minorHAnsi" w:hAnsiTheme="minorHAnsi" w:cstheme="minorHAnsi"/>
          <w:bCs/>
          <w:i/>
          <w:szCs w:val="24"/>
        </w:rPr>
        <w:t xml:space="preserve"> Cash </w:t>
      </w:r>
      <w:proofErr w:type="spellStart"/>
      <w:r w:rsidRPr="004B77D6">
        <w:rPr>
          <w:rFonts w:asciiTheme="minorHAnsi" w:hAnsiTheme="minorHAnsi" w:cstheme="minorHAnsi"/>
          <w:bCs/>
          <w:i/>
          <w:szCs w:val="24"/>
        </w:rPr>
        <w:t>Flows</w:t>
      </w:r>
      <w:proofErr w:type="spellEnd"/>
      <w:r w:rsidRPr="004B77D6">
        <w:rPr>
          <w:rFonts w:asciiTheme="minorHAnsi" w:hAnsiTheme="minorHAnsi" w:cstheme="minorHAnsi"/>
          <w:bCs/>
          <w:i/>
          <w:szCs w:val="24"/>
        </w:rPr>
        <w:t xml:space="preserve"> – DCF</w:t>
      </w:r>
      <w:r w:rsidRPr="004B77D6">
        <w:rPr>
          <w:rFonts w:asciiTheme="minorHAnsi" w:hAnsiTheme="minorHAnsi" w:cstheme="minorHAnsi"/>
          <w:bCs/>
          <w:szCs w:val="24"/>
        </w:rPr>
        <w:t>).</w:t>
      </w:r>
    </w:p>
    <w:p w14:paraId="62DA93B4" w14:textId="392C28A3" w:rsidR="00C2071D" w:rsidRPr="004B77D6" w:rsidRDefault="00C2071D" w:rsidP="00E438CC">
      <w:pPr>
        <w:spacing w:after="120" w:line="276" w:lineRule="auto"/>
        <w:rPr>
          <w:rFonts w:asciiTheme="minorHAnsi" w:hAnsiTheme="minorHAnsi" w:cstheme="minorHAnsi"/>
          <w:bCs/>
          <w:szCs w:val="24"/>
        </w:rPr>
      </w:pPr>
      <w:r w:rsidRPr="004B77D6">
        <w:rPr>
          <w:rFonts w:asciiTheme="minorHAnsi" w:hAnsiTheme="minorHAnsi" w:cstheme="minorHAnsi"/>
          <w:b/>
          <w:bCs/>
          <w:szCs w:val="24"/>
        </w:rPr>
        <w:t>Analiza finansowa</w:t>
      </w:r>
      <w:r w:rsidRPr="004B77D6">
        <w:rPr>
          <w:rFonts w:asciiTheme="minorHAnsi" w:hAnsiTheme="minorHAnsi" w:cstheme="minorHAnsi"/>
          <w:bCs/>
          <w:szCs w:val="24"/>
        </w:rPr>
        <w:t xml:space="preserve">: analiza mająca na celu ustalenie wartości wskaźników efektywności finansowej projektu, weryfikację trwałości finansowej projektu oraz ustalenie właściwego </w:t>
      </w:r>
      <w:r w:rsidRPr="004B77D6">
        <w:rPr>
          <w:rFonts w:asciiTheme="minorHAnsi" w:hAnsiTheme="minorHAnsi" w:cstheme="minorHAnsi"/>
          <w:bCs/>
          <w:szCs w:val="24"/>
        </w:rPr>
        <w:lastRenderedPageBreak/>
        <w:t>(maksymalnego) dofinansowania z funduszy UE</w:t>
      </w:r>
      <w:r w:rsidRPr="004B77D6">
        <w:rPr>
          <w:rFonts w:asciiTheme="minorHAnsi" w:hAnsiTheme="minorHAnsi" w:cstheme="minorHAnsi"/>
          <w:bCs/>
          <w:szCs w:val="24"/>
          <w:vertAlign w:val="superscript"/>
        </w:rPr>
        <w:t>1</w:t>
      </w:r>
      <w:r w:rsidRPr="004B77D6">
        <w:rPr>
          <w:rFonts w:asciiTheme="minorHAnsi" w:hAnsiTheme="minorHAnsi" w:cstheme="minorHAnsi"/>
          <w:bCs/>
          <w:szCs w:val="24"/>
        </w:rPr>
        <w:t>. Dokonywana jest ona zazwyczaj z punktu widzenia właściciela infrastruktury. W przypadku, gdy w projekcie UE występuje kilka podmiotów (np. właściciel infrastruktury i jej operator), należy dokonać analizy skonsolidowanej całościowo pokazującej projekt</w:t>
      </w:r>
      <w:r w:rsidR="00EA2AAE" w:rsidRPr="004B77D6">
        <w:rPr>
          <w:rFonts w:asciiTheme="minorHAnsi" w:hAnsiTheme="minorHAnsi" w:cstheme="minorHAnsi"/>
          <w:bCs/>
          <w:szCs w:val="24"/>
        </w:rPr>
        <w:t xml:space="preserve">. </w:t>
      </w:r>
      <w:r w:rsidRPr="004B77D6">
        <w:rPr>
          <w:rFonts w:asciiTheme="minorHAnsi" w:hAnsiTheme="minorHAnsi" w:cstheme="minorHAnsi"/>
          <w:bCs/>
          <w:szCs w:val="24"/>
        </w:rPr>
        <w:t>W analizie finansowej, w celu ustalenia wskaźników efektywności finansowej oraz wyliczenia luki w finansowaniu, stosuje się metodę zdyskontowanych przepływów pieniężnych (DCF).</w:t>
      </w:r>
    </w:p>
    <w:p w14:paraId="76613EB9" w14:textId="09836131" w:rsidR="00C2071D" w:rsidRPr="004B77D6" w:rsidRDefault="00C2071D" w:rsidP="00E438CC">
      <w:pPr>
        <w:spacing w:after="120" w:line="276" w:lineRule="auto"/>
        <w:rPr>
          <w:rFonts w:asciiTheme="minorHAnsi" w:hAnsiTheme="minorHAnsi" w:cstheme="minorHAnsi"/>
          <w:i/>
          <w:color w:val="000000" w:themeColor="text1"/>
          <w:szCs w:val="24"/>
        </w:rPr>
      </w:pPr>
      <w:r w:rsidRPr="004B77D6">
        <w:rPr>
          <w:rFonts w:asciiTheme="minorHAnsi" w:hAnsiTheme="minorHAnsi" w:cstheme="minorHAnsi"/>
          <w:b/>
          <w:bCs/>
          <w:szCs w:val="24"/>
        </w:rPr>
        <w:t>Analiza kosztów i korzyści (AKK/CBA)</w:t>
      </w:r>
      <w:r w:rsidRPr="004B77D6">
        <w:rPr>
          <w:rFonts w:asciiTheme="minorHAnsi" w:hAnsiTheme="minorHAnsi" w:cstheme="minorHAnsi"/>
          <w:b/>
          <w:bCs/>
          <w:szCs w:val="24"/>
          <w:vertAlign w:val="superscript"/>
        </w:rPr>
        <w:t>2</w:t>
      </w:r>
      <w:r w:rsidRPr="004B77D6">
        <w:rPr>
          <w:rFonts w:asciiTheme="minorHAnsi" w:hAnsiTheme="minorHAnsi" w:cstheme="minorHAnsi"/>
          <w:bCs/>
          <w:szCs w:val="24"/>
        </w:rPr>
        <w:t>:</w:t>
      </w:r>
      <w:r w:rsidRPr="004B77D6">
        <w:rPr>
          <w:rFonts w:asciiTheme="minorHAnsi" w:hAnsiTheme="minorHAnsi" w:cstheme="minorHAnsi"/>
          <w:b/>
          <w:bCs/>
          <w:szCs w:val="24"/>
        </w:rPr>
        <w:t xml:space="preserve"> </w:t>
      </w:r>
      <w:r w:rsidRPr="004B77D6">
        <w:rPr>
          <w:rFonts w:asciiTheme="minorHAnsi" w:hAnsiTheme="minorHAnsi" w:cstheme="minorHAnsi"/>
          <w:szCs w:val="24"/>
        </w:rPr>
        <w:t xml:space="preserve">analiza mająca na celu ustalenie, czy lub w jakiej mierze dany projekt zasługuje na realizację z publicznego lub społecznego punktu widzenia. Analiza kosztów i korzyści różni się od zwykłej oceny finansowej tym, że uwzględnia również możliwe do skwantyfikowania zyski (korzyści – ang. </w:t>
      </w:r>
      <w:proofErr w:type="spellStart"/>
      <w:r w:rsidRPr="004B77D6">
        <w:rPr>
          <w:rFonts w:asciiTheme="minorHAnsi" w:hAnsiTheme="minorHAnsi" w:cstheme="minorHAnsi"/>
          <w:i/>
          <w:szCs w:val="24"/>
        </w:rPr>
        <w:t>benefits</w:t>
      </w:r>
      <w:proofErr w:type="spellEnd"/>
      <w:r w:rsidRPr="004B77D6">
        <w:rPr>
          <w:rFonts w:asciiTheme="minorHAnsi" w:hAnsiTheme="minorHAnsi" w:cstheme="minorHAnsi"/>
          <w:szCs w:val="24"/>
        </w:rPr>
        <w:t xml:space="preserve">) i straty (koszty – ang. </w:t>
      </w:r>
      <w:proofErr w:type="spellStart"/>
      <w:r w:rsidRPr="004B77D6">
        <w:rPr>
          <w:rFonts w:asciiTheme="minorHAnsi" w:hAnsiTheme="minorHAnsi" w:cstheme="minorHAnsi"/>
          <w:i/>
          <w:szCs w:val="24"/>
        </w:rPr>
        <w:t>costs</w:t>
      </w:r>
      <w:proofErr w:type="spellEnd"/>
      <w:r w:rsidRPr="004B77D6">
        <w:rPr>
          <w:rFonts w:asciiTheme="minorHAnsi" w:hAnsiTheme="minorHAnsi" w:cstheme="minorHAnsi"/>
          <w:szCs w:val="24"/>
        </w:rPr>
        <w:t xml:space="preserve">), niezależnie od tego, czy ponosi je podmiot realizujący inwestycję, czy też społeczeństwo.  AKK przybiera często postać analizy ekonomicznej, w której koryguje się wyniki analizy finansowej o efekty fiskalne, efekty zewnętrzne oraz ceny rozrachunkowe. Wyniki AKK można wyrazić na wiele sposobów, w tym w postaci ekonomicznej wewnętrznej stopy zwrotu, ekonomicznej bieżącej wartości netto oraz współczynnika korzyści/koszty. Szczegółowe informacje na temat metodyki przeprowadzania analizy kosztów i korzyści można znaleźć w </w:t>
      </w:r>
      <w:r w:rsidRPr="004B77D6">
        <w:rPr>
          <w:rFonts w:asciiTheme="minorHAnsi" w:hAnsiTheme="minorHAnsi" w:cstheme="minorHAnsi"/>
          <w:color w:val="000000" w:themeColor="text1"/>
          <w:szCs w:val="24"/>
        </w:rPr>
        <w:t xml:space="preserve">Rozdziale 7 </w:t>
      </w:r>
      <w:r w:rsidR="00EA2AAE" w:rsidRPr="00C94172">
        <w:rPr>
          <w:rFonts w:asciiTheme="minorHAnsi" w:hAnsiTheme="minorHAnsi" w:cstheme="minorHAnsi"/>
          <w:i/>
          <w:iCs/>
          <w:color w:val="000000" w:themeColor="text1"/>
          <w:szCs w:val="24"/>
        </w:rPr>
        <w:t xml:space="preserve">Wytycznych dotyczących zagadnień związanych </w:t>
      </w:r>
      <w:r w:rsidR="00BE7F4F">
        <w:rPr>
          <w:rFonts w:asciiTheme="minorHAnsi" w:hAnsiTheme="minorHAnsi" w:cstheme="minorHAnsi"/>
          <w:i/>
          <w:iCs/>
          <w:color w:val="000000" w:themeColor="text1"/>
          <w:szCs w:val="24"/>
        </w:rPr>
        <w:br/>
      </w:r>
      <w:r w:rsidR="00EA2AAE" w:rsidRPr="00C94172">
        <w:rPr>
          <w:rFonts w:asciiTheme="minorHAnsi" w:hAnsiTheme="minorHAnsi" w:cstheme="minorHAnsi"/>
          <w:i/>
          <w:iCs/>
          <w:color w:val="000000" w:themeColor="text1"/>
          <w:szCs w:val="24"/>
        </w:rPr>
        <w:t>z przygotowaniem projektów inwestycyjnych, w tym hybrydowych na lata 2021-2027</w:t>
      </w:r>
      <w:r w:rsidRPr="004B77D6">
        <w:rPr>
          <w:rFonts w:asciiTheme="minorHAnsi" w:hAnsiTheme="minorHAnsi" w:cstheme="minorHAnsi"/>
          <w:color w:val="000000" w:themeColor="text1"/>
          <w:szCs w:val="24"/>
        </w:rPr>
        <w:t xml:space="preserve">. </w:t>
      </w:r>
    </w:p>
    <w:p w14:paraId="0BB03359" w14:textId="7E42390C" w:rsidR="00C2071D" w:rsidRPr="004B77D6" w:rsidRDefault="00C2071D" w:rsidP="00E438CC">
      <w:pPr>
        <w:suppressAutoHyphens w:val="0"/>
        <w:spacing w:after="120" w:line="276" w:lineRule="auto"/>
        <w:rPr>
          <w:rFonts w:asciiTheme="minorHAnsi" w:hAnsiTheme="minorHAnsi" w:cstheme="minorHAnsi"/>
          <w:b/>
          <w:bCs/>
          <w:szCs w:val="24"/>
        </w:rPr>
      </w:pPr>
      <w:r w:rsidRPr="004B77D6">
        <w:rPr>
          <w:rFonts w:asciiTheme="minorHAnsi" w:hAnsiTheme="minorHAnsi" w:cstheme="minorHAnsi"/>
          <w:b/>
          <w:bCs/>
          <w:szCs w:val="24"/>
        </w:rPr>
        <w:t>Analiza ryzyka</w:t>
      </w:r>
      <w:r w:rsidRPr="004B77D6">
        <w:rPr>
          <w:rFonts w:asciiTheme="minorHAnsi" w:hAnsiTheme="minorHAnsi" w:cstheme="minorHAnsi"/>
          <w:bCs/>
          <w:szCs w:val="24"/>
        </w:rPr>
        <w:t>:</w:t>
      </w:r>
      <w:r w:rsidRPr="004B77D6">
        <w:rPr>
          <w:rFonts w:asciiTheme="minorHAnsi" w:hAnsiTheme="minorHAnsi" w:cstheme="minorHAnsi"/>
          <w:b/>
          <w:bCs/>
          <w:szCs w:val="24"/>
        </w:rPr>
        <w:t xml:space="preserve"> </w:t>
      </w:r>
      <w:r w:rsidRPr="004B77D6">
        <w:rPr>
          <w:rFonts w:asciiTheme="minorHAnsi" w:hAnsiTheme="minorHAnsi" w:cstheme="minorHAnsi"/>
          <w:bCs/>
          <w:szCs w:val="24"/>
        </w:rPr>
        <w:t xml:space="preserve">analiza, której celem jest ustalenie </w:t>
      </w:r>
      <w:r w:rsidRPr="004B77D6">
        <w:rPr>
          <w:rFonts w:asciiTheme="minorHAnsi" w:hAnsiTheme="minorHAnsi" w:cstheme="minorHAnsi"/>
          <w:szCs w:val="24"/>
        </w:rPr>
        <w:t>prawdopodobieństwa wygenerowania przez projekt określonych wyników, jak również ustalenie najbardziej prawdopodobnego przedziału odchyleń tych wyników od wartości reprezentującej najbardziej dokładny ich szacunek.</w:t>
      </w:r>
    </w:p>
    <w:p w14:paraId="01AEA5CB" w14:textId="289D1019" w:rsidR="00C2071D" w:rsidRPr="004B77D6" w:rsidRDefault="00C2071D" w:rsidP="00E438CC">
      <w:pPr>
        <w:suppressAutoHyphens w:val="0"/>
        <w:spacing w:after="120" w:line="276" w:lineRule="auto"/>
        <w:rPr>
          <w:rFonts w:asciiTheme="minorHAnsi" w:hAnsiTheme="minorHAnsi" w:cstheme="minorHAnsi"/>
          <w:b/>
          <w:bCs/>
          <w:szCs w:val="24"/>
        </w:rPr>
      </w:pPr>
      <w:r w:rsidRPr="004B77D6">
        <w:rPr>
          <w:rFonts w:asciiTheme="minorHAnsi" w:hAnsiTheme="minorHAnsi" w:cstheme="minorHAnsi"/>
          <w:b/>
          <w:bCs/>
          <w:szCs w:val="24"/>
        </w:rPr>
        <w:t>Analiza skonsolidowana</w:t>
      </w:r>
      <w:r w:rsidRPr="004B77D6">
        <w:rPr>
          <w:rFonts w:asciiTheme="minorHAnsi" w:hAnsiTheme="minorHAnsi" w:cstheme="minorHAnsi"/>
          <w:bCs/>
          <w:szCs w:val="24"/>
        </w:rPr>
        <w:t>:</w:t>
      </w:r>
      <w:r w:rsidRPr="004B77D6">
        <w:rPr>
          <w:rFonts w:asciiTheme="minorHAnsi" w:hAnsiTheme="minorHAnsi" w:cstheme="minorHAnsi"/>
          <w:b/>
          <w:bCs/>
          <w:szCs w:val="24"/>
        </w:rPr>
        <w:t xml:space="preserve"> </w:t>
      </w:r>
      <w:r w:rsidRPr="004B77D6">
        <w:rPr>
          <w:rFonts w:asciiTheme="minorHAnsi" w:hAnsiTheme="minorHAnsi" w:cstheme="minorHAnsi"/>
          <w:szCs w:val="24"/>
        </w:rPr>
        <w:t>szczególne podejście w ramach analizy finansowej, stosowane w</w:t>
      </w:r>
      <w:r w:rsidR="00E438CC">
        <w:rPr>
          <w:rFonts w:asciiTheme="minorHAnsi" w:hAnsiTheme="minorHAnsi" w:cstheme="minorHAnsi"/>
          <w:szCs w:val="24"/>
        </w:rPr>
        <w:t> </w:t>
      </w:r>
      <w:r w:rsidRPr="004B77D6">
        <w:rPr>
          <w:rFonts w:asciiTheme="minorHAnsi" w:hAnsiTheme="minorHAnsi" w:cstheme="minorHAnsi"/>
          <w:szCs w:val="24"/>
        </w:rPr>
        <w:t>przypadku projektów realizowanych w systemie kilku podmiotów, w których:</w:t>
      </w:r>
    </w:p>
    <w:p w14:paraId="241B02A9" w14:textId="35AEF412" w:rsidR="00C2071D" w:rsidRPr="004B77D6" w:rsidRDefault="00C2071D" w:rsidP="004D0859">
      <w:pPr>
        <w:numPr>
          <w:ilvl w:val="0"/>
          <w:numId w:val="45"/>
        </w:numPr>
        <w:suppressAutoHyphens w:val="0"/>
        <w:spacing w:after="120" w:line="276" w:lineRule="auto"/>
        <w:ind w:left="426" w:hanging="425"/>
        <w:rPr>
          <w:rFonts w:asciiTheme="minorHAnsi" w:hAnsiTheme="minorHAnsi" w:cstheme="minorHAnsi"/>
          <w:szCs w:val="24"/>
        </w:rPr>
      </w:pPr>
      <w:r w:rsidRPr="004B77D6">
        <w:rPr>
          <w:rFonts w:asciiTheme="minorHAnsi" w:hAnsiTheme="minorHAnsi" w:cstheme="minorHAnsi"/>
          <w:szCs w:val="24"/>
        </w:rPr>
        <w:t>obok beneficjenta występuje operator (system beneficjent – operator), przy czym operator to podmiot odpowiedzialny za eksploatację majątku powstałego lub zmodernizowanego w wyniku zrealizowanych przez beneficjenta umów związanych z przeprowadzanym projektem inwestycyjnym. Operator może stać się właścicielem majątku wytworzonego w ramach powyższych umów, z poszanowaniem zasady trwałości projektu;</w:t>
      </w:r>
    </w:p>
    <w:p w14:paraId="3B41E3CA" w14:textId="179B327D" w:rsidR="00C2071D" w:rsidRPr="004B77D6" w:rsidRDefault="00C2071D" w:rsidP="004D0859">
      <w:pPr>
        <w:numPr>
          <w:ilvl w:val="0"/>
          <w:numId w:val="45"/>
        </w:numPr>
        <w:suppressAutoHyphens w:val="0"/>
        <w:spacing w:after="120" w:line="276" w:lineRule="auto"/>
        <w:ind w:left="426" w:hanging="425"/>
        <w:rPr>
          <w:rFonts w:asciiTheme="minorHAnsi" w:hAnsiTheme="minorHAnsi" w:cstheme="minorHAnsi"/>
          <w:szCs w:val="24"/>
        </w:rPr>
      </w:pPr>
      <w:r w:rsidRPr="004B77D6">
        <w:rPr>
          <w:rFonts w:asciiTheme="minorHAnsi" w:hAnsiTheme="minorHAnsi" w:cstheme="minorHAnsi"/>
          <w:szCs w:val="24"/>
        </w:rPr>
        <w:t>występuje wiele podmiotów (system wielu podmiotów).</w:t>
      </w:r>
    </w:p>
    <w:p w14:paraId="69CC976B" w14:textId="143361F9" w:rsidR="00C2071D" w:rsidRPr="004B77D6" w:rsidRDefault="00C2071D" w:rsidP="00F3330D">
      <w:pPr>
        <w:suppressAutoHyphens w:val="0"/>
        <w:spacing w:after="120" w:line="276" w:lineRule="auto"/>
        <w:ind w:left="426"/>
        <w:rPr>
          <w:rFonts w:asciiTheme="minorHAnsi" w:hAnsiTheme="minorHAnsi" w:cstheme="minorHAnsi"/>
          <w:b/>
          <w:bCs/>
          <w:szCs w:val="24"/>
        </w:rPr>
      </w:pPr>
      <w:r w:rsidRPr="004B77D6">
        <w:rPr>
          <w:rFonts w:asciiTheme="minorHAnsi" w:hAnsiTheme="minorHAnsi" w:cstheme="minorHAnsi"/>
          <w:szCs w:val="24"/>
        </w:rPr>
        <w:t xml:space="preserve">W przypadku analizowania projektu, w którego realizację zaangażowany jest więcej </w:t>
      </w:r>
      <w:r w:rsidRPr="004B77D6">
        <w:rPr>
          <w:rFonts w:asciiTheme="minorHAnsi" w:hAnsiTheme="minorHAnsi" w:cstheme="minorHAnsi"/>
          <w:szCs w:val="24"/>
        </w:rPr>
        <w:br/>
        <w:t xml:space="preserve">niż jeden podmiot, rekomendowane jest przeprowadzenie analizy dla projektu oddzielnie z punktu widzenia każdego z tych podmiotów (np. gdy projekt budowy drogi jest realizowany przez kilka gmin), a następnie sporządzenie analizy skonsolidowanej (tzn. ujęcie przepływów wcześniej wyliczonych dla podmiotów zaangażowanych </w:t>
      </w:r>
      <w:r w:rsidR="00EA2AAE" w:rsidRPr="004B77D6">
        <w:rPr>
          <w:rFonts w:asciiTheme="minorHAnsi" w:hAnsiTheme="minorHAnsi" w:cstheme="minorHAnsi"/>
          <w:szCs w:val="24"/>
        </w:rPr>
        <w:br/>
      </w:r>
      <w:r w:rsidRPr="004B77D6">
        <w:rPr>
          <w:rFonts w:asciiTheme="minorHAnsi" w:hAnsiTheme="minorHAnsi" w:cstheme="minorHAnsi"/>
          <w:szCs w:val="24"/>
        </w:rPr>
        <w:t xml:space="preserve">w realizację projektu i wyeliminowanie wzajemnych rozliczeń między nimi związanych </w:t>
      </w:r>
      <w:r w:rsidR="00EA2AAE" w:rsidRPr="004B77D6">
        <w:rPr>
          <w:rFonts w:asciiTheme="minorHAnsi" w:hAnsiTheme="minorHAnsi" w:cstheme="minorHAnsi"/>
          <w:szCs w:val="24"/>
        </w:rPr>
        <w:br/>
      </w:r>
      <w:r w:rsidRPr="004B77D6">
        <w:rPr>
          <w:rFonts w:asciiTheme="minorHAnsi" w:hAnsiTheme="minorHAnsi" w:cstheme="minorHAnsi"/>
          <w:szCs w:val="24"/>
        </w:rPr>
        <w:t>z realizacją projektu). Dla potrzeb dalszych analiz (analizy ekonomicznej oraz analizy ryzyka i wrażliwości) należy wykorzystywać wyniki analizy skonsolidowanej.</w:t>
      </w:r>
    </w:p>
    <w:p w14:paraId="68D9D84F" w14:textId="66C2880C" w:rsidR="00C2071D" w:rsidRPr="004B77D6" w:rsidRDefault="00C2071D" w:rsidP="00E438CC">
      <w:pPr>
        <w:pStyle w:val="Akapitzlist"/>
        <w:spacing w:after="120"/>
        <w:ind w:left="0"/>
        <w:rPr>
          <w:rFonts w:asciiTheme="minorHAnsi" w:hAnsiTheme="minorHAnsi" w:cstheme="minorHAnsi"/>
          <w:sz w:val="24"/>
          <w:szCs w:val="24"/>
        </w:rPr>
      </w:pPr>
      <w:r w:rsidRPr="004B77D6">
        <w:rPr>
          <w:rFonts w:asciiTheme="minorHAnsi" w:hAnsiTheme="minorHAnsi" w:cstheme="minorHAnsi"/>
          <w:b/>
          <w:bCs/>
          <w:sz w:val="24"/>
          <w:szCs w:val="24"/>
        </w:rPr>
        <w:lastRenderedPageBreak/>
        <w:t>Analiza trwałości finansowej</w:t>
      </w:r>
      <w:r w:rsidRPr="004B77D6">
        <w:rPr>
          <w:rFonts w:asciiTheme="minorHAnsi" w:hAnsiTheme="minorHAnsi" w:cstheme="minorHAnsi"/>
          <w:bCs/>
          <w:sz w:val="24"/>
          <w:szCs w:val="24"/>
        </w:rPr>
        <w:t>:</w:t>
      </w:r>
      <w:r w:rsidRPr="004B77D6">
        <w:rPr>
          <w:rFonts w:asciiTheme="minorHAnsi" w:hAnsiTheme="minorHAnsi" w:cstheme="minorHAnsi"/>
          <w:b/>
          <w:bCs/>
          <w:sz w:val="24"/>
          <w:szCs w:val="24"/>
        </w:rPr>
        <w:t xml:space="preserve"> </w:t>
      </w:r>
      <w:r w:rsidRPr="004B77D6">
        <w:rPr>
          <w:rFonts w:asciiTheme="minorHAnsi" w:hAnsiTheme="minorHAnsi" w:cstheme="minorHAnsi"/>
          <w:bCs/>
          <w:sz w:val="24"/>
          <w:szCs w:val="24"/>
        </w:rPr>
        <w:t xml:space="preserve">analiza mająca </w:t>
      </w:r>
      <w:r w:rsidRPr="004B77D6">
        <w:rPr>
          <w:rFonts w:asciiTheme="minorHAnsi" w:hAnsiTheme="minorHAnsi" w:cstheme="minorHAnsi"/>
          <w:sz w:val="24"/>
          <w:szCs w:val="24"/>
        </w:rPr>
        <w:t>na celu weryfikację faktu, czy wpływy finansowe (źródła finansowania projektu, łącznie z przychodami oraz innymi wpływami) wystarczą na pokrycie wszystkich kosztów, w tym finansowych</w:t>
      </w:r>
      <w:r w:rsidR="001E59E4">
        <w:rPr>
          <w:rFonts w:asciiTheme="minorHAnsi" w:hAnsiTheme="minorHAnsi" w:cstheme="minorHAnsi"/>
          <w:sz w:val="24"/>
          <w:szCs w:val="24"/>
        </w:rPr>
        <w:t xml:space="preserve"> do końca okresu trwałości inwestycji</w:t>
      </w:r>
      <w:r w:rsidRPr="004B77D6">
        <w:rPr>
          <w:rFonts w:asciiTheme="minorHAnsi" w:hAnsiTheme="minorHAnsi" w:cstheme="minorHAnsi"/>
          <w:sz w:val="24"/>
          <w:szCs w:val="24"/>
        </w:rPr>
        <w:t xml:space="preserve">, rok po roku, na przestrzeni całego okresu odniesienia. Trwałość finansowa inwestycji zostaje potwierdzona, jeśli skumulowane przepływy pieniężne netto nie są ujemne w żadnym roku analizy. Trwałość finansowa powinna zostać zbadana także </w:t>
      </w:r>
      <w:r w:rsidR="00BA5C81">
        <w:rPr>
          <w:rFonts w:asciiTheme="minorHAnsi" w:hAnsiTheme="minorHAnsi" w:cstheme="minorHAnsi"/>
          <w:sz w:val="24"/>
          <w:szCs w:val="24"/>
        </w:rPr>
        <w:br/>
      </w:r>
      <w:r w:rsidRPr="004B77D6">
        <w:rPr>
          <w:rFonts w:asciiTheme="minorHAnsi" w:hAnsiTheme="minorHAnsi" w:cstheme="minorHAnsi"/>
          <w:sz w:val="24"/>
          <w:szCs w:val="24"/>
        </w:rPr>
        <w:t xml:space="preserve">w odniesieniu do beneficjenta/operatora z projektem. Należy ją przeprowadzać </w:t>
      </w:r>
      <w:r w:rsidR="00BA5C81">
        <w:rPr>
          <w:rFonts w:asciiTheme="minorHAnsi" w:hAnsiTheme="minorHAnsi" w:cstheme="minorHAnsi"/>
          <w:sz w:val="24"/>
          <w:szCs w:val="24"/>
        </w:rPr>
        <w:br/>
      </w:r>
      <w:r w:rsidRPr="004B77D6">
        <w:rPr>
          <w:rFonts w:asciiTheme="minorHAnsi" w:hAnsiTheme="minorHAnsi" w:cstheme="minorHAnsi"/>
          <w:sz w:val="24"/>
          <w:szCs w:val="24"/>
        </w:rPr>
        <w:t>w wartościach niezdyskontowanych.</w:t>
      </w:r>
    </w:p>
    <w:p w14:paraId="084C32E2" w14:textId="7FAA7E89" w:rsidR="00C2071D" w:rsidRPr="004B77D6" w:rsidRDefault="00C2071D" w:rsidP="00E438CC">
      <w:pPr>
        <w:keepNext/>
        <w:suppressAutoHyphens w:val="0"/>
        <w:autoSpaceDE w:val="0"/>
        <w:autoSpaceDN w:val="0"/>
        <w:adjustRightInd w:val="0"/>
        <w:spacing w:after="120" w:line="276" w:lineRule="auto"/>
        <w:rPr>
          <w:rFonts w:asciiTheme="minorHAnsi" w:hAnsiTheme="minorHAnsi" w:cstheme="minorHAnsi"/>
          <w:szCs w:val="24"/>
        </w:rPr>
      </w:pPr>
      <w:r w:rsidRPr="004B77D6">
        <w:rPr>
          <w:rFonts w:asciiTheme="minorHAnsi" w:hAnsiTheme="minorHAnsi" w:cstheme="minorHAnsi"/>
          <w:b/>
          <w:bCs/>
          <w:szCs w:val="24"/>
        </w:rPr>
        <w:t>Analiza wrażliwości</w:t>
      </w:r>
      <w:r w:rsidRPr="004B77D6">
        <w:rPr>
          <w:rFonts w:asciiTheme="minorHAnsi" w:hAnsiTheme="minorHAnsi" w:cstheme="minorHAnsi"/>
          <w:bCs/>
          <w:szCs w:val="24"/>
        </w:rPr>
        <w:t>:</w:t>
      </w:r>
      <w:r w:rsidRPr="004B77D6">
        <w:rPr>
          <w:rFonts w:asciiTheme="minorHAnsi" w:hAnsiTheme="minorHAnsi" w:cstheme="minorHAnsi"/>
          <w:b/>
          <w:bCs/>
          <w:szCs w:val="24"/>
        </w:rPr>
        <w:t xml:space="preserve"> </w:t>
      </w:r>
      <w:r w:rsidRPr="004B77D6">
        <w:rPr>
          <w:rFonts w:asciiTheme="minorHAnsi" w:hAnsiTheme="minorHAnsi" w:cstheme="minorHAnsi"/>
          <w:szCs w:val="24"/>
        </w:rPr>
        <w:t xml:space="preserve">analiza umożliwiająca systematyczne badanie tego, co dzieje się </w:t>
      </w:r>
      <w:r w:rsidRPr="004B77D6">
        <w:rPr>
          <w:rFonts w:asciiTheme="minorHAnsi" w:hAnsiTheme="minorHAnsi" w:cstheme="minorHAnsi"/>
          <w:szCs w:val="24"/>
        </w:rPr>
        <w:br/>
        <w:t xml:space="preserve">z wynikami projektu w sytuacji, kiedy zdarzenia odbiegają od ich wartości szacunkowych ustalonych na etapie prognozowania. Polega ona na określeniu wpływu zmiany pojedynczych zmiennych krytycznych o określoną procentowo wartość, na wartość finansowych i ekonomicznych wskaźników efektywności projektu oraz trwałość finansową projektu (i trwałość finansową beneficjenta/operatora z projektem) wraz z obliczeniem wartości progowych zmiennych w celu określenia, jaka zmiana procentowa zmiennych krytycznych zrównałaby NPV (ekonomiczną lub finansową) z zerem. Istotą analizy wrażliwości jest zasada, iż modyfikacji poddawana być powinna tylko jedna zmienna, podczas gdy inne parametry powinny pozostać niezmienione (por. </w:t>
      </w:r>
      <w:r w:rsidRPr="004B77D6">
        <w:rPr>
          <w:rFonts w:asciiTheme="minorHAnsi" w:hAnsiTheme="minorHAnsi" w:cstheme="minorHAnsi"/>
          <w:i/>
          <w:szCs w:val="24"/>
        </w:rPr>
        <w:t>Przewodnik AKK</w:t>
      </w:r>
      <w:r w:rsidRPr="004B77D6">
        <w:rPr>
          <w:rFonts w:asciiTheme="minorHAnsi" w:hAnsiTheme="minorHAnsi" w:cstheme="minorHAnsi"/>
          <w:szCs w:val="24"/>
        </w:rPr>
        <w:t>).</w:t>
      </w:r>
    </w:p>
    <w:p w14:paraId="6E48B5F5" w14:textId="5EC65FF3" w:rsidR="00C2071D" w:rsidRPr="004B77D6" w:rsidRDefault="00C2071D" w:rsidP="00E438CC">
      <w:pPr>
        <w:keepNext/>
        <w:suppressAutoHyphens w:val="0"/>
        <w:autoSpaceDE w:val="0"/>
        <w:autoSpaceDN w:val="0"/>
        <w:adjustRightInd w:val="0"/>
        <w:spacing w:after="120" w:line="276" w:lineRule="auto"/>
        <w:rPr>
          <w:rFonts w:asciiTheme="minorHAnsi" w:hAnsiTheme="minorHAnsi" w:cstheme="minorHAnsi"/>
          <w:szCs w:val="24"/>
        </w:rPr>
      </w:pPr>
      <w:r w:rsidRPr="004B77D6">
        <w:rPr>
          <w:rFonts w:asciiTheme="minorHAnsi" w:hAnsiTheme="minorHAnsi" w:cstheme="minorHAnsi"/>
          <w:b/>
          <w:bCs/>
          <w:szCs w:val="24"/>
        </w:rPr>
        <w:t xml:space="preserve">Bieżąca wartość netto </w:t>
      </w:r>
      <w:r w:rsidRPr="004B77D6">
        <w:rPr>
          <w:rFonts w:asciiTheme="minorHAnsi" w:hAnsiTheme="minorHAnsi" w:cstheme="minorHAnsi"/>
          <w:bCs/>
          <w:szCs w:val="24"/>
        </w:rPr>
        <w:t xml:space="preserve">(ang. </w:t>
      </w:r>
      <w:r w:rsidRPr="004B77D6">
        <w:rPr>
          <w:rFonts w:asciiTheme="minorHAnsi" w:hAnsiTheme="minorHAnsi" w:cstheme="minorHAnsi"/>
          <w:bCs/>
          <w:i/>
          <w:szCs w:val="24"/>
        </w:rPr>
        <w:t xml:space="preserve">Net </w:t>
      </w:r>
      <w:proofErr w:type="spellStart"/>
      <w:r w:rsidRPr="004B77D6">
        <w:rPr>
          <w:rFonts w:asciiTheme="minorHAnsi" w:hAnsiTheme="minorHAnsi" w:cstheme="minorHAnsi"/>
          <w:bCs/>
          <w:i/>
          <w:szCs w:val="24"/>
        </w:rPr>
        <w:t>Present</w:t>
      </w:r>
      <w:proofErr w:type="spellEnd"/>
      <w:r w:rsidRPr="004B77D6">
        <w:rPr>
          <w:rFonts w:asciiTheme="minorHAnsi" w:hAnsiTheme="minorHAnsi" w:cstheme="minorHAnsi"/>
          <w:bCs/>
          <w:i/>
          <w:szCs w:val="24"/>
        </w:rPr>
        <w:t xml:space="preserve"> Value</w:t>
      </w:r>
      <w:r w:rsidRPr="004B77D6">
        <w:rPr>
          <w:rFonts w:asciiTheme="minorHAnsi" w:hAnsiTheme="minorHAnsi" w:cstheme="minorHAnsi"/>
          <w:bCs/>
          <w:szCs w:val="24"/>
        </w:rPr>
        <w:t xml:space="preserve"> – NPV):</w:t>
      </w:r>
      <w:r w:rsidRPr="004B77D6">
        <w:rPr>
          <w:rFonts w:asciiTheme="minorHAnsi" w:hAnsiTheme="minorHAnsi" w:cstheme="minorHAnsi"/>
          <w:szCs w:val="24"/>
        </w:rPr>
        <w:t xml:space="preserve"> suma zdyskontowanych oddzielnie dla każdego roku przepływów pieniężnych netto (różnica pomiędzy wpływami </w:t>
      </w:r>
      <w:r w:rsidRPr="004B77D6">
        <w:rPr>
          <w:rFonts w:asciiTheme="minorHAnsi" w:hAnsiTheme="minorHAnsi" w:cstheme="minorHAnsi"/>
          <w:szCs w:val="24"/>
        </w:rPr>
        <w:br/>
        <w:t xml:space="preserve">i wydatkami) zaobserwowanych w całym okresie odniesienia, przy założonym stałym poziomie stopy dyskontowej. W ramach analizy finansowej wylicza się finansową bieżącą wartość netto – FNPV. </w:t>
      </w:r>
    </w:p>
    <w:p w14:paraId="76795822" w14:textId="0FF4A1E5" w:rsidR="00C2071D" w:rsidRPr="004B77D6" w:rsidRDefault="00C2071D" w:rsidP="00F3330D">
      <w:pPr>
        <w:keepNext/>
        <w:suppressAutoHyphens w:val="0"/>
        <w:autoSpaceDE w:val="0"/>
        <w:autoSpaceDN w:val="0"/>
        <w:adjustRightInd w:val="0"/>
        <w:spacing w:after="120" w:line="276" w:lineRule="auto"/>
        <w:rPr>
          <w:rFonts w:asciiTheme="minorHAnsi" w:hAnsiTheme="minorHAnsi" w:cstheme="minorHAnsi"/>
          <w:szCs w:val="24"/>
        </w:rPr>
      </w:pPr>
      <w:r w:rsidRPr="004B77D6">
        <w:rPr>
          <w:rFonts w:asciiTheme="minorHAnsi" w:hAnsiTheme="minorHAnsi" w:cstheme="minorHAnsi"/>
          <w:szCs w:val="24"/>
        </w:rPr>
        <w:t xml:space="preserve">Wyróżnia się finansową bieżącą wartość netto inwestycji (FNPV/C), która jest sumą zdyskontowanych strumieni pieniężnych netto generowanych przez projekt obliczoną bez względu na strukturę finansowania projektu oraz finansową bieżącą wartość netto kapitału (FNPV/K), będącą sumą zdyskontowanych strumieni pieniężnych netto wygenerowanych </w:t>
      </w:r>
      <w:r w:rsidRPr="004B77D6">
        <w:rPr>
          <w:rFonts w:asciiTheme="minorHAnsi" w:hAnsiTheme="minorHAnsi" w:cstheme="minorHAnsi"/>
          <w:szCs w:val="24"/>
        </w:rPr>
        <w:br/>
        <w:t xml:space="preserve">dla beneficjenta w wyniku realizacji rozważanej inwestycji, pozwalającą ocenić rentowność zaangażowanych środków własnych. </w:t>
      </w:r>
    </w:p>
    <w:p w14:paraId="2837125B" w14:textId="0E19E40E" w:rsidR="00C2071D" w:rsidRPr="004B77D6" w:rsidRDefault="00C2071D" w:rsidP="00CB5F67">
      <w:pPr>
        <w:keepNext/>
        <w:suppressAutoHyphens w:val="0"/>
        <w:autoSpaceDE w:val="0"/>
        <w:autoSpaceDN w:val="0"/>
        <w:adjustRightInd w:val="0"/>
        <w:spacing w:after="120" w:line="276" w:lineRule="auto"/>
        <w:rPr>
          <w:rFonts w:asciiTheme="minorHAnsi" w:hAnsiTheme="minorHAnsi" w:cstheme="minorHAnsi"/>
          <w:szCs w:val="24"/>
        </w:rPr>
      </w:pPr>
      <w:r w:rsidRPr="004B77D6">
        <w:rPr>
          <w:rFonts w:asciiTheme="minorHAnsi" w:hAnsiTheme="minorHAnsi" w:cstheme="minorHAnsi"/>
          <w:szCs w:val="24"/>
        </w:rPr>
        <w:t xml:space="preserve">W ramach analizy ekonomicznej ustala się ekonomiczną bieżącą wartość netto </w:t>
      </w:r>
      <w:r w:rsidRPr="004B77D6">
        <w:rPr>
          <w:rFonts w:asciiTheme="minorHAnsi" w:hAnsiTheme="minorHAnsi" w:cstheme="minorHAnsi"/>
          <w:bCs/>
          <w:szCs w:val="24"/>
        </w:rPr>
        <w:t>–</w:t>
      </w:r>
      <w:r w:rsidRPr="004B77D6">
        <w:rPr>
          <w:rFonts w:asciiTheme="minorHAnsi" w:hAnsiTheme="minorHAnsi" w:cstheme="minorHAnsi"/>
          <w:szCs w:val="24"/>
        </w:rPr>
        <w:t xml:space="preserve"> ENPV. Ekonomiczna bieżąca wartość netto (ENPV) jest sumą zdyskontowanych oddzielnie </w:t>
      </w:r>
      <w:r w:rsidRPr="004B77D6">
        <w:rPr>
          <w:rFonts w:asciiTheme="minorHAnsi" w:hAnsiTheme="minorHAnsi" w:cstheme="minorHAnsi"/>
          <w:szCs w:val="24"/>
        </w:rPr>
        <w:br/>
        <w:t xml:space="preserve">dla każdego roku korzyści społecznych netto (różnica ogółu zdyskontowanych korzyści społecznych i kosztów społecznych związanych z projektem) zaobserwowanych w całym okresie odniesienia, przy założonym stałym poziomie społecznej stopy dyskontowej. </w:t>
      </w:r>
    </w:p>
    <w:p w14:paraId="63C7E63A" w14:textId="06398A15" w:rsidR="00C2071D" w:rsidRPr="004B77D6" w:rsidRDefault="00C2071D" w:rsidP="00F3330D">
      <w:pPr>
        <w:keepNext/>
        <w:suppressAutoHyphens w:val="0"/>
        <w:autoSpaceDE w:val="0"/>
        <w:autoSpaceDN w:val="0"/>
        <w:adjustRightInd w:val="0"/>
        <w:spacing w:after="120" w:line="276" w:lineRule="auto"/>
        <w:rPr>
          <w:rFonts w:asciiTheme="minorHAnsi" w:hAnsiTheme="minorHAnsi" w:cstheme="minorHAnsi"/>
          <w:szCs w:val="24"/>
        </w:rPr>
      </w:pPr>
      <w:r w:rsidRPr="004B77D6">
        <w:rPr>
          <w:rFonts w:asciiTheme="minorHAnsi" w:hAnsiTheme="minorHAnsi" w:cstheme="minorHAnsi"/>
          <w:szCs w:val="24"/>
        </w:rPr>
        <w:t xml:space="preserve">Szczegółowy zakres przepływów pieniężnych uwzględnianych w celu wyliczenia poszczególnych wskaźników oraz wzory dla ich wyliczenia przedstawiono w </w:t>
      </w:r>
      <w:r w:rsidRPr="004B77D6">
        <w:rPr>
          <w:rFonts w:asciiTheme="minorHAnsi" w:hAnsiTheme="minorHAnsi" w:cstheme="minorHAnsi"/>
          <w:color w:val="000000" w:themeColor="text1"/>
          <w:szCs w:val="24"/>
        </w:rPr>
        <w:t xml:space="preserve">Załączniku 1 </w:t>
      </w:r>
      <w:r w:rsidRPr="004B77D6">
        <w:rPr>
          <w:rFonts w:asciiTheme="minorHAnsi" w:hAnsiTheme="minorHAnsi" w:cstheme="minorHAnsi"/>
          <w:color w:val="000000" w:themeColor="text1"/>
          <w:szCs w:val="24"/>
        </w:rPr>
        <w:br/>
      </w:r>
      <w:r w:rsidRPr="004B77D6">
        <w:rPr>
          <w:rFonts w:asciiTheme="minorHAnsi" w:hAnsiTheme="minorHAnsi" w:cstheme="minorHAnsi"/>
          <w:color w:val="000000" w:themeColor="text1"/>
          <w:szCs w:val="24"/>
        </w:rPr>
        <w:lastRenderedPageBreak/>
        <w:t xml:space="preserve">do </w:t>
      </w:r>
      <w:r w:rsidR="00EA2AAE" w:rsidRPr="004B77D6">
        <w:rPr>
          <w:rFonts w:asciiTheme="minorHAnsi" w:hAnsiTheme="minorHAnsi" w:cstheme="minorHAnsi"/>
          <w:color w:val="000000" w:themeColor="text1"/>
          <w:szCs w:val="24"/>
        </w:rPr>
        <w:t>Wytycznych dotyczących zagadnień związanych z przygotowaniem projektów inwestycyjnych, w tym hybrydowych na lata 2021-2027</w:t>
      </w:r>
      <w:r w:rsidR="00EA2AAE" w:rsidRPr="004B77D6">
        <w:rPr>
          <w:rFonts w:asciiTheme="minorHAnsi" w:hAnsiTheme="minorHAnsi" w:cstheme="minorHAnsi"/>
          <w:i/>
          <w:color w:val="000000" w:themeColor="text1"/>
          <w:szCs w:val="24"/>
        </w:rPr>
        <w:t>.</w:t>
      </w:r>
      <w:r w:rsidRPr="004B77D6">
        <w:rPr>
          <w:rFonts w:asciiTheme="minorHAnsi" w:hAnsiTheme="minorHAnsi" w:cstheme="minorHAnsi"/>
          <w:i/>
          <w:color w:val="000000" w:themeColor="text1"/>
          <w:szCs w:val="24"/>
        </w:rPr>
        <w:t xml:space="preserve"> </w:t>
      </w:r>
    </w:p>
    <w:p w14:paraId="06D82F9E" w14:textId="5ACAF4CD" w:rsidR="00C2071D" w:rsidRPr="004B77D6" w:rsidRDefault="00C2071D" w:rsidP="00E438CC">
      <w:pPr>
        <w:keepNext/>
        <w:suppressAutoHyphens w:val="0"/>
        <w:autoSpaceDE w:val="0"/>
        <w:autoSpaceDN w:val="0"/>
        <w:adjustRightInd w:val="0"/>
        <w:spacing w:after="120" w:line="276" w:lineRule="auto"/>
        <w:rPr>
          <w:rFonts w:asciiTheme="minorHAnsi" w:hAnsiTheme="minorHAnsi" w:cstheme="minorHAnsi"/>
          <w:szCs w:val="24"/>
        </w:rPr>
      </w:pPr>
      <w:r w:rsidRPr="004B77D6">
        <w:rPr>
          <w:rFonts w:asciiTheme="minorHAnsi" w:hAnsiTheme="minorHAnsi" w:cstheme="minorHAnsi"/>
          <w:b/>
          <w:szCs w:val="24"/>
        </w:rPr>
        <w:t>Całkowity koszt projektu/inwestycji:</w:t>
      </w:r>
      <w:r w:rsidRPr="004B77D6">
        <w:rPr>
          <w:rFonts w:asciiTheme="minorHAnsi" w:hAnsiTheme="minorHAnsi" w:cstheme="minorHAnsi"/>
          <w:szCs w:val="24"/>
        </w:rPr>
        <w:t xml:space="preserve"> wydatki kwalifikowalne i niekwalifikowalne </w:t>
      </w:r>
      <w:r w:rsidRPr="004B77D6">
        <w:rPr>
          <w:rFonts w:asciiTheme="minorHAnsi" w:hAnsiTheme="minorHAnsi" w:cstheme="minorHAnsi"/>
          <w:szCs w:val="24"/>
        </w:rPr>
        <w:br/>
        <w:t xml:space="preserve">w rozumieniu </w:t>
      </w:r>
      <w:r w:rsidRPr="00C94172">
        <w:rPr>
          <w:rFonts w:asciiTheme="minorHAnsi" w:hAnsiTheme="minorHAnsi" w:cstheme="minorHAnsi"/>
          <w:i/>
          <w:iCs/>
          <w:szCs w:val="24"/>
        </w:rPr>
        <w:t>Wytycznych w zakresie kwalifikowalności wydatków</w:t>
      </w:r>
      <w:r w:rsidRPr="004B77D6">
        <w:rPr>
          <w:rFonts w:asciiTheme="minorHAnsi" w:hAnsiTheme="minorHAnsi" w:cstheme="minorHAnsi"/>
          <w:szCs w:val="24"/>
        </w:rPr>
        <w:t>,</w:t>
      </w:r>
      <w:r w:rsidRPr="004B77D6">
        <w:rPr>
          <w:rFonts w:asciiTheme="minorHAnsi" w:hAnsiTheme="minorHAnsi" w:cstheme="minorHAnsi"/>
          <w:i/>
          <w:szCs w:val="24"/>
        </w:rPr>
        <w:t xml:space="preserve"> </w:t>
      </w:r>
      <w:r w:rsidRPr="004B77D6">
        <w:rPr>
          <w:rFonts w:asciiTheme="minorHAnsi" w:hAnsiTheme="minorHAnsi" w:cstheme="minorHAnsi"/>
          <w:szCs w:val="24"/>
        </w:rPr>
        <w:t xml:space="preserve">ponoszone do momentu ukończenia realizacji projektu. Obejmuje m.in. nakłady inwestycyjne na realizację projektu, powiększone o ewentualne rezerwy na nieprzewidziane wydatki (jeżeli instytucja zarządzająca przewiduje taką możliwość), koszty ogólne oraz inne koszty nie mające charakteru pieniężnego, o których mowa w ww. wytycznych, których wartość ustalana jest na zasadach określonych w tych wytycznych. Całkowity koszt inwestycji powinien zawierać podatek VAT, niezależnie od tego, czy podlega on zwrotowi.  </w:t>
      </w:r>
    </w:p>
    <w:p w14:paraId="64A36EF0" w14:textId="77777777" w:rsidR="002450D7" w:rsidRPr="004B77D6" w:rsidRDefault="002450D7" w:rsidP="00E438CC">
      <w:pPr>
        <w:keepNext/>
        <w:suppressAutoHyphens w:val="0"/>
        <w:autoSpaceDE w:val="0"/>
        <w:autoSpaceDN w:val="0"/>
        <w:adjustRightInd w:val="0"/>
        <w:spacing w:after="120" w:line="276" w:lineRule="auto"/>
        <w:rPr>
          <w:rFonts w:asciiTheme="minorHAnsi" w:hAnsiTheme="minorHAnsi" w:cstheme="minorHAnsi"/>
          <w:szCs w:val="24"/>
        </w:rPr>
      </w:pPr>
      <w:r w:rsidRPr="004B77D6">
        <w:rPr>
          <w:rFonts w:asciiTheme="minorHAnsi" w:hAnsiTheme="minorHAnsi" w:cstheme="minorHAnsi"/>
          <w:b/>
          <w:bCs/>
          <w:szCs w:val="24"/>
        </w:rPr>
        <w:t>Całkowity koszt kwalifikowalny projektu/inwestycji (EC)</w:t>
      </w:r>
      <w:r w:rsidRPr="004B77D6">
        <w:rPr>
          <w:rFonts w:asciiTheme="minorHAnsi" w:hAnsiTheme="minorHAnsi" w:cstheme="minorHAnsi"/>
          <w:szCs w:val="24"/>
        </w:rPr>
        <w:t xml:space="preserve">: wydatki kwalifikowalne </w:t>
      </w:r>
      <w:r w:rsidRPr="004B77D6">
        <w:rPr>
          <w:rFonts w:asciiTheme="minorHAnsi" w:hAnsiTheme="minorHAnsi" w:cstheme="minorHAnsi"/>
          <w:szCs w:val="24"/>
        </w:rPr>
        <w:br/>
        <w:t>w rozumieniu art. 63 rozporządzenia nr 2021/1060 oraz Wytycznych dot. kwalifikowalności wydatków na lata 2021-2027 ponoszone do momentu ukończenia projektu.</w:t>
      </w:r>
    </w:p>
    <w:p w14:paraId="2739AD97" w14:textId="2CFFDFCE" w:rsidR="00C2071D" w:rsidRPr="004B77D6" w:rsidRDefault="00C2071D" w:rsidP="00E438CC">
      <w:pPr>
        <w:keepNext/>
        <w:suppressAutoHyphens w:val="0"/>
        <w:autoSpaceDE w:val="0"/>
        <w:autoSpaceDN w:val="0"/>
        <w:adjustRightInd w:val="0"/>
        <w:spacing w:after="120" w:line="276" w:lineRule="auto"/>
        <w:rPr>
          <w:rFonts w:asciiTheme="minorHAnsi" w:hAnsiTheme="minorHAnsi" w:cstheme="minorHAnsi"/>
          <w:szCs w:val="24"/>
        </w:rPr>
      </w:pPr>
      <w:r w:rsidRPr="004B77D6">
        <w:rPr>
          <w:rFonts w:asciiTheme="minorHAnsi" w:hAnsiTheme="minorHAnsi" w:cstheme="minorHAnsi"/>
          <w:b/>
          <w:bCs/>
          <w:szCs w:val="24"/>
        </w:rPr>
        <w:t xml:space="preserve">Ceny rozrachunkowe </w:t>
      </w:r>
      <w:r w:rsidRPr="004B77D6">
        <w:rPr>
          <w:rFonts w:asciiTheme="minorHAnsi" w:hAnsiTheme="minorHAnsi" w:cstheme="minorHAnsi"/>
          <w:b/>
          <w:szCs w:val="24"/>
        </w:rPr>
        <w:t xml:space="preserve">ukryte </w:t>
      </w:r>
      <w:r w:rsidRPr="004B77D6">
        <w:rPr>
          <w:rFonts w:asciiTheme="minorHAnsi" w:hAnsiTheme="minorHAnsi" w:cstheme="minorHAnsi"/>
          <w:szCs w:val="24"/>
        </w:rPr>
        <w:t xml:space="preserve">– (ang. </w:t>
      </w:r>
      <w:proofErr w:type="spellStart"/>
      <w:r w:rsidRPr="004B77D6">
        <w:rPr>
          <w:rFonts w:asciiTheme="minorHAnsi" w:hAnsiTheme="minorHAnsi" w:cstheme="minorHAnsi"/>
          <w:i/>
          <w:szCs w:val="24"/>
        </w:rPr>
        <w:t>shadow</w:t>
      </w:r>
      <w:proofErr w:type="spellEnd"/>
      <w:r w:rsidRPr="004B77D6">
        <w:rPr>
          <w:rFonts w:asciiTheme="minorHAnsi" w:hAnsiTheme="minorHAnsi" w:cstheme="minorHAnsi"/>
          <w:i/>
          <w:szCs w:val="24"/>
        </w:rPr>
        <w:t xml:space="preserve"> </w:t>
      </w:r>
      <w:proofErr w:type="spellStart"/>
      <w:r w:rsidRPr="004B77D6">
        <w:rPr>
          <w:rFonts w:asciiTheme="minorHAnsi" w:hAnsiTheme="minorHAnsi" w:cstheme="minorHAnsi"/>
          <w:i/>
          <w:szCs w:val="24"/>
        </w:rPr>
        <w:t>prices</w:t>
      </w:r>
      <w:proofErr w:type="spellEnd"/>
      <w:r w:rsidRPr="004B77D6">
        <w:rPr>
          <w:rFonts w:asciiTheme="minorHAnsi" w:hAnsiTheme="minorHAnsi" w:cstheme="minorHAnsi"/>
          <w:szCs w:val="24"/>
        </w:rPr>
        <w:t>)</w:t>
      </w:r>
      <w:r w:rsidRPr="004B77D6">
        <w:rPr>
          <w:rFonts w:asciiTheme="minorHAnsi" w:hAnsiTheme="minorHAnsi" w:cstheme="minorHAnsi"/>
          <w:bCs/>
          <w:szCs w:val="24"/>
        </w:rPr>
        <w:t>:</w:t>
      </w:r>
      <w:r w:rsidRPr="004B77D6">
        <w:rPr>
          <w:rFonts w:asciiTheme="minorHAnsi" w:hAnsiTheme="minorHAnsi" w:cstheme="minorHAnsi"/>
          <w:b/>
          <w:bCs/>
          <w:szCs w:val="24"/>
        </w:rPr>
        <w:t xml:space="preserve"> </w:t>
      </w:r>
      <w:r w:rsidRPr="004B77D6">
        <w:rPr>
          <w:rFonts w:asciiTheme="minorHAnsi" w:hAnsiTheme="minorHAnsi" w:cstheme="minorHAnsi"/>
          <w:szCs w:val="24"/>
        </w:rPr>
        <w:t>alternatywny koszt dóbr, który zazwyczaj różni się od cen rynkowych i od wysokości regulowanych taryf. Użycie cen rozrachunkowych w ramach analizy ekonomicznej projektu pozwala ująć w bardziej adekwatny sposób rzeczywiste koszty i rzeczywiste korzyści dla społeczeństwa. Szczegółowe informacje na temat przekształcania cen rynkowych na ceny rozrachunkowe wraz z przykładowymi czynnikami konwersji przedstawione zostały w </w:t>
      </w:r>
      <w:r w:rsidRPr="004B77D6">
        <w:rPr>
          <w:rFonts w:asciiTheme="minorHAnsi" w:hAnsiTheme="minorHAnsi" w:cstheme="minorHAnsi"/>
          <w:i/>
          <w:szCs w:val="24"/>
        </w:rPr>
        <w:t>Przewodniku AKK</w:t>
      </w:r>
      <w:r w:rsidRPr="004B77D6">
        <w:rPr>
          <w:rFonts w:asciiTheme="minorHAnsi" w:hAnsiTheme="minorHAnsi" w:cstheme="minorHAnsi"/>
          <w:szCs w:val="24"/>
        </w:rPr>
        <w:t>.</w:t>
      </w:r>
    </w:p>
    <w:p w14:paraId="058038BE" w14:textId="0DBCE3F6" w:rsidR="002450D7" w:rsidRPr="004B77D6" w:rsidRDefault="002450D7" w:rsidP="00E438CC">
      <w:pPr>
        <w:keepNext/>
        <w:suppressAutoHyphens w:val="0"/>
        <w:autoSpaceDE w:val="0"/>
        <w:autoSpaceDN w:val="0"/>
        <w:adjustRightInd w:val="0"/>
        <w:spacing w:after="120" w:line="276" w:lineRule="auto"/>
        <w:rPr>
          <w:rFonts w:asciiTheme="minorHAnsi" w:hAnsiTheme="minorHAnsi" w:cstheme="minorHAnsi"/>
          <w:szCs w:val="24"/>
        </w:rPr>
      </w:pPr>
      <w:r w:rsidRPr="004B77D6">
        <w:rPr>
          <w:rFonts w:asciiTheme="minorHAnsi" w:hAnsiTheme="minorHAnsi" w:cstheme="minorHAnsi"/>
          <w:b/>
          <w:bCs/>
          <w:szCs w:val="24"/>
        </w:rPr>
        <w:t>Ceny bieżące (</w:t>
      </w:r>
      <w:r w:rsidRPr="004B77D6">
        <w:rPr>
          <w:rFonts w:asciiTheme="minorHAnsi" w:hAnsiTheme="minorHAnsi" w:cstheme="minorHAnsi"/>
          <w:b/>
          <w:szCs w:val="24"/>
        </w:rPr>
        <w:t>nominalne)</w:t>
      </w:r>
      <w:r w:rsidRPr="004B77D6">
        <w:rPr>
          <w:rFonts w:asciiTheme="minorHAnsi" w:hAnsiTheme="minorHAnsi" w:cstheme="minorHAnsi"/>
          <w:bCs/>
          <w:szCs w:val="24"/>
        </w:rPr>
        <w:t>:</w:t>
      </w:r>
      <w:r w:rsidRPr="004B77D6">
        <w:rPr>
          <w:rFonts w:asciiTheme="minorHAnsi" w:hAnsiTheme="minorHAnsi" w:cstheme="minorHAnsi"/>
          <w:b/>
          <w:bCs/>
          <w:szCs w:val="24"/>
        </w:rPr>
        <w:t xml:space="preserve"> </w:t>
      </w:r>
      <w:r w:rsidRPr="004B77D6">
        <w:rPr>
          <w:rFonts w:asciiTheme="minorHAnsi" w:hAnsiTheme="minorHAnsi" w:cstheme="minorHAnsi"/>
          <w:szCs w:val="24"/>
        </w:rPr>
        <w:t>są to ceny występujące faktycznie w danym czasie. Ceny takie uwzględniają efekt ogólnej inflacji i należy je odróżniać od cen stałych.</w:t>
      </w:r>
    </w:p>
    <w:p w14:paraId="6AC54CB9" w14:textId="5A17F382" w:rsidR="00C2071D" w:rsidRPr="004B77D6" w:rsidRDefault="00C2071D" w:rsidP="00E438CC">
      <w:pPr>
        <w:suppressAutoHyphens w:val="0"/>
        <w:autoSpaceDE w:val="0"/>
        <w:autoSpaceDN w:val="0"/>
        <w:adjustRightInd w:val="0"/>
        <w:spacing w:after="120" w:line="276" w:lineRule="auto"/>
        <w:rPr>
          <w:rFonts w:asciiTheme="minorHAnsi" w:hAnsiTheme="minorHAnsi" w:cstheme="minorHAnsi"/>
          <w:szCs w:val="24"/>
        </w:rPr>
      </w:pPr>
      <w:r w:rsidRPr="004B77D6">
        <w:rPr>
          <w:rFonts w:asciiTheme="minorHAnsi" w:hAnsiTheme="minorHAnsi" w:cstheme="minorHAnsi"/>
          <w:b/>
          <w:bCs/>
          <w:szCs w:val="24"/>
        </w:rPr>
        <w:t>Ceny stałe (realne)</w:t>
      </w:r>
      <w:r w:rsidRPr="004B77D6">
        <w:rPr>
          <w:rFonts w:asciiTheme="minorHAnsi" w:hAnsiTheme="minorHAnsi" w:cstheme="minorHAnsi"/>
          <w:bCs/>
          <w:szCs w:val="24"/>
        </w:rPr>
        <w:t>:</w:t>
      </w:r>
      <w:r w:rsidRPr="004B77D6">
        <w:rPr>
          <w:rFonts w:asciiTheme="minorHAnsi" w:hAnsiTheme="minorHAnsi" w:cstheme="minorHAnsi"/>
          <w:b/>
          <w:bCs/>
          <w:szCs w:val="24"/>
        </w:rPr>
        <w:t xml:space="preserve"> </w:t>
      </w:r>
      <w:r w:rsidRPr="004B77D6">
        <w:rPr>
          <w:rFonts w:asciiTheme="minorHAnsi" w:hAnsiTheme="minorHAnsi" w:cstheme="minorHAnsi"/>
          <w:szCs w:val="24"/>
        </w:rPr>
        <w:t>ceny według roku bazowego (tj. pierwszego roku przyjętego okresu odniesienia), których stosowanie pozwala wyeliminować wpływ inflacji na dane finansowe i ekonomiczne. Należy odróżniać je od cen bieżących.</w:t>
      </w:r>
    </w:p>
    <w:p w14:paraId="3E86474D" w14:textId="51BEDC36" w:rsidR="00C2071D" w:rsidRPr="004B77D6" w:rsidRDefault="00C2071D" w:rsidP="00E438CC">
      <w:pPr>
        <w:keepNext/>
        <w:suppressAutoHyphens w:val="0"/>
        <w:autoSpaceDE w:val="0"/>
        <w:autoSpaceDN w:val="0"/>
        <w:adjustRightInd w:val="0"/>
        <w:spacing w:after="120" w:line="276" w:lineRule="auto"/>
        <w:rPr>
          <w:rFonts w:asciiTheme="minorHAnsi" w:hAnsiTheme="minorHAnsi" w:cstheme="minorHAnsi"/>
          <w:szCs w:val="24"/>
        </w:rPr>
      </w:pPr>
      <w:r w:rsidRPr="004B77D6">
        <w:rPr>
          <w:rFonts w:asciiTheme="minorHAnsi" w:hAnsiTheme="minorHAnsi" w:cstheme="minorHAnsi"/>
          <w:b/>
          <w:szCs w:val="24"/>
        </w:rPr>
        <w:t>Dostępność cenowa taryf</w:t>
      </w:r>
      <w:r w:rsidRPr="004B77D6">
        <w:rPr>
          <w:rFonts w:asciiTheme="minorHAnsi" w:hAnsiTheme="minorHAnsi" w:cstheme="minorHAnsi"/>
          <w:szCs w:val="24"/>
        </w:rPr>
        <w:t xml:space="preserve">: zasada mówiąca, iż poziom taryf powinien uwzględniać zdolność gospodarstw domowych do płacenia za dobra i usługi. Poziom taryf może zostać ustalony poprzez odniesienie się do określonego procentu dochodu do dyspozycji gospodarstw domowych. </w:t>
      </w:r>
    </w:p>
    <w:p w14:paraId="577C11BB" w14:textId="4FEA305D" w:rsidR="00C2071D" w:rsidRPr="004B77D6" w:rsidRDefault="00C2071D" w:rsidP="00E438CC">
      <w:pPr>
        <w:keepNext/>
        <w:suppressAutoHyphens w:val="0"/>
        <w:autoSpaceDE w:val="0"/>
        <w:autoSpaceDN w:val="0"/>
        <w:adjustRightInd w:val="0"/>
        <w:spacing w:after="120" w:line="276" w:lineRule="auto"/>
        <w:rPr>
          <w:rFonts w:asciiTheme="minorHAnsi" w:hAnsiTheme="minorHAnsi" w:cstheme="minorHAnsi"/>
          <w:szCs w:val="24"/>
        </w:rPr>
      </w:pPr>
      <w:r w:rsidRPr="004B77D6">
        <w:rPr>
          <w:rFonts w:asciiTheme="minorHAnsi" w:hAnsiTheme="minorHAnsi" w:cstheme="minorHAnsi"/>
          <w:b/>
          <w:bCs/>
          <w:szCs w:val="24"/>
        </w:rPr>
        <w:t>Dyskontowanie</w:t>
      </w:r>
      <w:r w:rsidRPr="004B77D6">
        <w:rPr>
          <w:rFonts w:asciiTheme="minorHAnsi" w:hAnsiTheme="minorHAnsi" w:cstheme="minorHAnsi"/>
          <w:bCs/>
          <w:szCs w:val="24"/>
        </w:rPr>
        <w:t>:</w:t>
      </w:r>
      <w:r w:rsidRPr="004B77D6">
        <w:rPr>
          <w:rFonts w:asciiTheme="minorHAnsi" w:hAnsiTheme="minorHAnsi" w:cstheme="minorHAnsi"/>
          <w:b/>
          <w:bCs/>
          <w:szCs w:val="24"/>
        </w:rPr>
        <w:t xml:space="preserve"> </w:t>
      </w:r>
      <w:r w:rsidRPr="004B77D6">
        <w:rPr>
          <w:rFonts w:asciiTheme="minorHAnsi" w:hAnsiTheme="minorHAnsi" w:cstheme="minorHAnsi"/>
          <w:szCs w:val="24"/>
        </w:rPr>
        <w:t xml:space="preserve">proces dostosowywania przyszłej wartości kosztu lub korzyści do ich obecnej wartości przy użyciu stopy dyskontowej, w celu ujęcia zmiany wartości pieniądza </w:t>
      </w:r>
      <w:r w:rsidRPr="004B77D6">
        <w:rPr>
          <w:rFonts w:asciiTheme="minorHAnsi" w:hAnsiTheme="minorHAnsi" w:cstheme="minorHAnsi"/>
          <w:szCs w:val="24"/>
        </w:rPr>
        <w:br/>
        <w:t>w czasie. Dyskontowanie odbywa się poprzez przemnożenie przyszłej wartości kosztu lub korzyści przez współczynnik dyskontowy, który maleje wraz z upływem czasu. Wzór na współczynnik dyskontowy przedstawiony został w Załączniku 1 do</w:t>
      </w:r>
      <w:r w:rsidRPr="004B77D6">
        <w:rPr>
          <w:rFonts w:asciiTheme="minorHAnsi" w:hAnsiTheme="minorHAnsi" w:cstheme="minorHAnsi"/>
          <w:i/>
          <w:szCs w:val="24"/>
        </w:rPr>
        <w:t xml:space="preserve"> Wytycznych w zakresie zagadnień związanych z przygotowaniem projektów inwestycyjnych, w tym hybrydowych </w:t>
      </w:r>
      <w:r w:rsidR="00BA5C81">
        <w:rPr>
          <w:rFonts w:asciiTheme="minorHAnsi" w:hAnsiTheme="minorHAnsi" w:cstheme="minorHAnsi"/>
          <w:i/>
          <w:szCs w:val="24"/>
        </w:rPr>
        <w:br/>
      </w:r>
      <w:r w:rsidRPr="004B77D6">
        <w:rPr>
          <w:rFonts w:asciiTheme="minorHAnsi" w:hAnsiTheme="minorHAnsi" w:cstheme="minorHAnsi"/>
          <w:i/>
          <w:szCs w:val="24"/>
        </w:rPr>
        <w:t>na lata 2021-2027</w:t>
      </w:r>
      <w:r w:rsidRPr="004B77D6">
        <w:rPr>
          <w:rFonts w:asciiTheme="minorHAnsi" w:hAnsiTheme="minorHAnsi" w:cstheme="minorHAnsi"/>
          <w:szCs w:val="24"/>
        </w:rPr>
        <w:t xml:space="preserve">. W związku z faktem, iż na potrzeby dyskontowania pierwszy rok okresu odniesienia traktowany jest jako „rok zerowy” (t=0; współczynnik dyskontowy=1) prognoza przepływów pieniężnych powinna obejmować okres od roku zerowego do roku </w:t>
      </w:r>
      <w:r w:rsidRPr="004B77D6">
        <w:rPr>
          <w:rFonts w:asciiTheme="minorHAnsi" w:hAnsiTheme="minorHAnsi" w:cstheme="minorHAnsi"/>
          <w:i/>
          <w:szCs w:val="24"/>
        </w:rPr>
        <w:t>n</w:t>
      </w:r>
      <w:r w:rsidRPr="004B77D6">
        <w:rPr>
          <w:rFonts w:asciiTheme="minorHAnsi" w:hAnsiTheme="minorHAnsi" w:cstheme="minorHAnsi"/>
          <w:szCs w:val="24"/>
        </w:rPr>
        <w:t xml:space="preserve">, gdzie </w:t>
      </w:r>
      <w:r w:rsidR="00BE7F4F">
        <w:rPr>
          <w:rFonts w:asciiTheme="minorHAnsi" w:hAnsiTheme="minorHAnsi" w:cstheme="minorHAnsi"/>
          <w:szCs w:val="24"/>
        </w:rPr>
        <w:br/>
      </w:r>
      <w:r w:rsidRPr="004B77D6">
        <w:rPr>
          <w:rFonts w:asciiTheme="minorHAnsi" w:hAnsiTheme="minorHAnsi" w:cstheme="minorHAnsi"/>
          <w:i/>
          <w:szCs w:val="24"/>
        </w:rPr>
        <w:t>n</w:t>
      </w:r>
      <w:r w:rsidRPr="004B77D6">
        <w:rPr>
          <w:rFonts w:asciiTheme="minorHAnsi" w:hAnsiTheme="minorHAnsi" w:cstheme="minorHAnsi"/>
          <w:szCs w:val="24"/>
        </w:rPr>
        <w:t xml:space="preserve"> oznacza liczbę lat okresu odniesienia przyjętego do analizy pomniejszoną o 1 (patrz:</w:t>
      </w:r>
      <w:r w:rsidR="002450D7" w:rsidRPr="004B77D6">
        <w:rPr>
          <w:rFonts w:asciiTheme="minorHAnsi" w:hAnsiTheme="minorHAnsi" w:cstheme="minorHAnsi"/>
          <w:szCs w:val="24"/>
        </w:rPr>
        <w:t xml:space="preserve"> </w:t>
      </w:r>
      <w:r w:rsidRPr="004B77D6">
        <w:rPr>
          <w:rFonts w:asciiTheme="minorHAnsi" w:hAnsiTheme="minorHAnsi" w:cstheme="minorHAnsi"/>
          <w:szCs w:val="24"/>
        </w:rPr>
        <w:lastRenderedPageBreak/>
        <w:t>Załącznik 1 do</w:t>
      </w:r>
      <w:r w:rsidR="00F3330D" w:rsidRPr="004B77D6">
        <w:rPr>
          <w:rFonts w:asciiTheme="minorHAnsi" w:hAnsiTheme="minorHAnsi" w:cstheme="minorHAnsi"/>
          <w:szCs w:val="24"/>
        </w:rPr>
        <w:t xml:space="preserve"> </w:t>
      </w:r>
      <w:r w:rsidR="0075519A" w:rsidRPr="000E6DC5">
        <w:rPr>
          <w:rFonts w:asciiTheme="minorHAnsi" w:hAnsiTheme="minorHAnsi" w:cstheme="minorHAnsi"/>
          <w:i/>
          <w:iCs/>
          <w:szCs w:val="24"/>
        </w:rPr>
        <w:t>Wytycznych dotyczących zagadnień związanych z przygotowaniem projektów inwestycyjnych, w tym hybrydowych na lata 2021-2027</w:t>
      </w:r>
      <w:r w:rsidRPr="004B77D6">
        <w:rPr>
          <w:rFonts w:asciiTheme="minorHAnsi" w:hAnsiTheme="minorHAnsi" w:cstheme="minorHAnsi"/>
          <w:szCs w:val="24"/>
        </w:rPr>
        <w:t xml:space="preserve">). </w:t>
      </w:r>
    </w:p>
    <w:p w14:paraId="4DC1067A" w14:textId="05703171" w:rsidR="00C2071D" w:rsidRPr="004B77D6" w:rsidRDefault="00C2071D" w:rsidP="00E438CC">
      <w:pPr>
        <w:keepNext/>
        <w:suppressAutoHyphens w:val="0"/>
        <w:autoSpaceDE w:val="0"/>
        <w:autoSpaceDN w:val="0"/>
        <w:adjustRightInd w:val="0"/>
        <w:spacing w:after="120" w:line="276" w:lineRule="auto"/>
        <w:rPr>
          <w:rFonts w:asciiTheme="minorHAnsi" w:hAnsiTheme="minorHAnsi" w:cstheme="minorHAnsi"/>
          <w:szCs w:val="24"/>
        </w:rPr>
      </w:pPr>
      <w:r w:rsidRPr="004B77D6">
        <w:rPr>
          <w:rFonts w:asciiTheme="minorHAnsi" w:hAnsiTheme="minorHAnsi" w:cstheme="minorHAnsi"/>
          <w:b/>
          <w:szCs w:val="24"/>
        </w:rPr>
        <w:t>Efekt zewnętrzny</w:t>
      </w:r>
      <w:r w:rsidRPr="004B77D6">
        <w:rPr>
          <w:rFonts w:asciiTheme="minorHAnsi" w:hAnsiTheme="minorHAnsi" w:cstheme="minorHAnsi"/>
          <w:szCs w:val="24"/>
        </w:rPr>
        <w:t xml:space="preserve">: koszty lub korzyści generowane </w:t>
      </w:r>
      <w:r w:rsidR="006E53A8" w:rsidRPr="004B77D6">
        <w:rPr>
          <w:rFonts w:asciiTheme="minorHAnsi" w:hAnsiTheme="minorHAnsi" w:cstheme="minorHAnsi"/>
          <w:szCs w:val="24"/>
        </w:rPr>
        <w:t>przez projekt</w:t>
      </w:r>
      <w:r w:rsidRPr="004B77D6">
        <w:rPr>
          <w:rFonts w:asciiTheme="minorHAnsi" w:hAnsiTheme="minorHAnsi" w:cstheme="minorHAnsi"/>
          <w:szCs w:val="24"/>
        </w:rPr>
        <w:t xml:space="preserve"> współfinansowany ze środków UE, przenoszone na podmioty trzecie niezależnie od ich woli bez odpowiedniej rekompensaty pieniężnej.  </w:t>
      </w:r>
    </w:p>
    <w:p w14:paraId="01226478" w14:textId="051749FE" w:rsidR="00C2071D" w:rsidRPr="004B77D6" w:rsidRDefault="00C2071D" w:rsidP="00F3330D">
      <w:pPr>
        <w:keepNext/>
        <w:suppressAutoHyphens w:val="0"/>
        <w:autoSpaceDE w:val="0"/>
        <w:autoSpaceDN w:val="0"/>
        <w:adjustRightInd w:val="0"/>
        <w:spacing w:after="120" w:line="276" w:lineRule="auto"/>
        <w:rPr>
          <w:rFonts w:asciiTheme="minorHAnsi" w:hAnsiTheme="minorHAnsi" w:cstheme="minorHAnsi"/>
          <w:szCs w:val="24"/>
        </w:rPr>
      </w:pPr>
      <w:r w:rsidRPr="004B77D6">
        <w:rPr>
          <w:rFonts w:asciiTheme="minorHAnsi" w:hAnsiTheme="minorHAnsi" w:cstheme="minorHAnsi"/>
          <w:szCs w:val="24"/>
        </w:rPr>
        <w:t xml:space="preserve">Teoria ekonomii wyróżnia efekty zewnętrzne pieniężne powstające za pośrednictwem mechanizmu rynkowego oraz efekty zewnętrzne niepieniężne (inaczej technologiczne) zachodzące poza mechanizmem rynkowym. </w:t>
      </w:r>
    </w:p>
    <w:p w14:paraId="1F750385" w14:textId="4F95BE1F" w:rsidR="00C2071D" w:rsidRPr="004B77D6" w:rsidRDefault="00C2071D" w:rsidP="00F3330D">
      <w:pPr>
        <w:keepNext/>
        <w:suppressAutoHyphens w:val="0"/>
        <w:autoSpaceDE w:val="0"/>
        <w:autoSpaceDN w:val="0"/>
        <w:adjustRightInd w:val="0"/>
        <w:spacing w:after="120" w:line="276" w:lineRule="auto"/>
        <w:rPr>
          <w:rFonts w:asciiTheme="minorHAnsi" w:hAnsiTheme="minorHAnsi" w:cstheme="minorHAnsi"/>
          <w:szCs w:val="24"/>
        </w:rPr>
      </w:pPr>
      <w:r w:rsidRPr="004B77D6">
        <w:rPr>
          <w:rFonts w:asciiTheme="minorHAnsi" w:hAnsiTheme="minorHAnsi" w:cstheme="minorHAnsi"/>
          <w:szCs w:val="24"/>
        </w:rPr>
        <w:t xml:space="preserve">Efekty zewnętrzne projektów UE, które analizuje się w ramach analizy ekonomicznej </w:t>
      </w:r>
      <w:r w:rsidR="00BA5C81">
        <w:rPr>
          <w:rFonts w:asciiTheme="minorHAnsi" w:hAnsiTheme="minorHAnsi" w:cstheme="minorHAnsi"/>
          <w:szCs w:val="24"/>
        </w:rPr>
        <w:br/>
      </w:r>
      <w:r w:rsidRPr="004B77D6">
        <w:rPr>
          <w:rFonts w:asciiTheme="minorHAnsi" w:hAnsiTheme="minorHAnsi" w:cstheme="minorHAnsi"/>
          <w:szCs w:val="24"/>
        </w:rPr>
        <w:t xml:space="preserve">to efekty zewnętrzne niepieniężne. Przykładem niepieniężnych efektów zewnętrznych </w:t>
      </w:r>
      <w:r w:rsidR="00BA5C81">
        <w:rPr>
          <w:rFonts w:asciiTheme="minorHAnsi" w:hAnsiTheme="minorHAnsi" w:cstheme="minorHAnsi"/>
          <w:szCs w:val="24"/>
        </w:rPr>
        <w:br/>
      </w:r>
      <w:r w:rsidRPr="004B77D6">
        <w:rPr>
          <w:rFonts w:asciiTheme="minorHAnsi" w:hAnsiTheme="minorHAnsi" w:cstheme="minorHAnsi"/>
          <w:szCs w:val="24"/>
        </w:rPr>
        <w:t>są efekty środowiskowe, np. koszty zanieczyszczenia środowiska wynikające z emisji spalin. Niepieniężne efekty zewnętrzne nie są przedmiotem transakcji rynkowych, nie są przez</w:t>
      </w:r>
      <w:r w:rsidR="001A4538">
        <w:rPr>
          <w:rFonts w:asciiTheme="minorHAnsi" w:hAnsiTheme="minorHAnsi" w:cstheme="minorHAnsi"/>
          <w:szCs w:val="24"/>
        </w:rPr>
        <w:t xml:space="preserve"> </w:t>
      </w:r>
      <w:r w:rsidRPr="004B77D6">
        <w:rPr>
          <w:rFonts w:asciiTheme="minorHAnsi" w:hAnsiTheme="minorHAnsi" w:cstheme="minorHAnsi"/>
          <w:szCs w:val="24"/>
        </w:rPr>
        <w:t xml:space="preserve">rynek wycenianie, a to w praktyce oznacza, że beneficjent nie ujmuje ich w swojej analizie finansowej. Wycena efektów zewnętrznych jest więc przedmiotem analizy ekonomicznej </w:t>
      </w:r>
      <w:r w:rsidRPr="004B77D6">
        <w:rPr>
          <w:rFonts w:asciiTheme="minorHAnsi" w:hAnsiTheme="minorHAnsi" w:cstheme="minorHAnsi"/>
          <w:szCs w:val="24"/>
        </w:rPr>
        <w:br/>
        <w:t xml:space="preserve">– do rachunku finansowego projektu dodaje się </w:t>
      </w:r>
      <w:proofErr w:type="spellStart"/>
      <w:r w:rsidRPr="004B77D6">
        <w:rPr>
          <w:rFonts w:asciiTheme="minorHAnsi" w:hAnsiTheme="minorHAnsi" w:cstheme="minorHAnsi"/>
          <w:szCs w:val="24"/>
        </w:rPr>
        <w:t>zmonetyzowane</w:t>
      </w:r>
      <w:proofErr w:type="spellEnd"/>
      <w:r w:rsidRPr="004B77D6">
        <w:rPr>
          <w:rFonts w:asciiTheme="minorHAnsi" w:hAnsiTheme="minorHAnsi" w:cstheme="minorHAnsi"/>
          <w:szCs w:val="24"/>
        </w:rPr>
        <w:t xml:space="preserve"> efekty zewnętrzne. </w:t>
      </w:r>
      <w:proofErr w:type="spellStart"/>
      <w:r w:rsidRPr="004B77D6">
        <w:rPr>
          <w:rFonts w:asciiTheme="minorHAnsi" w:hAnsiTheme="minorHAnsi" w:cstheme="minorHAnsi"/>
          <w:szCs w:val="24"/>
        </w:rPr>
        <w:t>Monetyzacja</w:t>
      </w:r>
      <w:proofErr w:type="spellEnd"/>
      <w:r w:rsidRPr="004B77D6">
        <w:rPr>
          <w:rFonts w:asciiTheme="minorHAnsi" w:hAnsiTheme="minorHAnsi" w:cstheme="minorHAnsi"/>
          <w:szCs w:val="24"/>
        </w:rPr>
        <w:t xml:space="preserve"> efektów zewnętrznych polega zaś na ich wycenie na ściśle określonych zasadach i podaniu ich na użytek analizy w wartościach pieniężnych.</w:t>
      </w:r>
    </w:p>
    <w:p w14:paraId="1E7766FD" w14:textId="6DBD3900" w:rsidR="0075519A" w:rsidRPr="004B77D6" w:rsidRDefault="00C2071D" w:rsidP="00E438CC">
      <w:pPr>
        <w:keepNext/>
        <w:suppressAutoHyphens w:val="0"/>
        <w:autoSpaceDE w:val="0"/>
        <w:autoSpaceDN w:val="0"/>
        <w:adjustRightInd w:val="0"/>
        <w:spacing w:after="120" w:line="276" w:lineRule="auto"/>
        <w:rPr>
          <w:rFonts w:asciiTheme="minorHAnsi" w:hAnsiTheme="minorHAnsi" w:cstheme="minorHAnsi"/>
          <w:szCs w:val="24"/>
        </w:rPr>
      </w:pPr>
      <w:r w:rsidRPr="004B77D6">
        <w:rPr>
          <w:rFonts w:asciiTheme="minorHAnsi" w:hAnsiTheme="minorHAnsi" w:cstheme="minorHAnsi"/>
          <w:b/>
          <w:szCs w:val="24"/>
        </w:rPr>
        <w:t>Finansowanie krzyżowe (</w:t>
      </w:r>
      <w:r w:rsidRPr="004B77D6">
        <w:rPr>
          <w:rFonts w:asciiTheme="minorHAnsi" w:hAnsiTheme="minorHAnsi" w:cstheme="minorHAnsi"/>
          <w:b/>
          <w:i/>
          <w:szCs w:val="24"/>
        </w:rPr>
        <w:t>cross-</w:t>
      </w:r>
      <w:proofErr w:type="spellStart"/>
      <w:r w:rsidRPr="004B77D6">
        <w:rPr>
          <w:rFonts w:asciiTheme="minorHAnsi" w:hAnsiTheme="minorHAnsi" w:cstheme="minorHAnsi"/>
          <w:b/>
          <w:i/>
          <w:szCs w:val="24"/>
        </w:rPr>
        <w:t>financing</w:t>
      </w:r>
      <w:proofErr w:type="spellEnd"/>
      <w:r w:rsidRPr="004B77D6">
        <w:rPr>
          <w:rFonts w:asciiTheme="minorHAnsi" w:hAnsiTheme="minorHAnsi" w:cstheme="minorHAnsi"/>
          <w:b/>
          <w:szCs w:val="24"/>
        </w:rPr>
        <w:t>)</w:t>
      </w:r>
      <w:r w:rsidRPr="004B77D6">
        <w:rPr>
          <w:rFonts w:asciiTheme="minorHAnsi" w:hAnsiTheme="minorHAnsi" w:cstheme="minorHAnsi"/>
          <w:szCs w:val="24"/>
        </w:rPr>
        <w:t>:</w:t>
      </w:r>
      <w:r w:rsidRPr="004B77D6">
        <w:rPr>
          <w:rFonts w:asciiTheme="minorHAnsi" w:hAnsiTheme="minorHAnsi" w:cstheme="minorHAnsi"/>
          <w:b/>
          <w:szCs w:val="24"/>
        </w:rPr>
        <w:t xml:space="preserve"> </w:t>
      </w:r>
      <w:r w:rsidR="0075519A" w:rsidRPr="004B77D6">
        <w:rPr>
          <w:rFonts w:asciiTheme="minorHAnsi" w:hAnsiTheme="minorHAnsi" w:cstheme="minorHAnsi"/>
          <w:szCs w:val="24"/>
        </w:rPr>
        <w:t>zasada</w:t>
      </w:r>
      <w:r w:rsidRPr="004B77D6">
        <w:rPr>
          <w:rFonts w:asciiTheme="minorHAnsi" w:hAnsiTheme="minorHAnsi" w:cstheme="minorHAnsi"/>
          <w:szCs w:val="24"/>
        </w:rPr>
        <w:t xml:space="preserve"> </w:t>
      </w:r>
      <w:r w:rsidR="0075519A" w:rsidRPr="004B77D6">
        <w:rPr>
          <w:rFonts w:asciiTheme="minorHAnsi" w:hAnsiTheme="minorHAnsi" w:cstheme="minorHAnsi"/>
          <w:szCs w:val="24"/>
        </w:rPr>
        <w:t xml:space="preserve">polegająca </w:t>
      </w:r>
      <w:r w:rsidRPr="004B77D6">
        <w:rPr>
          <w:rFonts w:asciiTheme="minorHAnsi" w:hAnsiTheme="minorHAnsi" w:cstheme="minorHAnsi"/>
          <w:szCs w:val="24"/>
        </w:rPr>
        <w:t xml:space="preserve">na możliwości finansowania działań w sposób komplementarny ze środków EFRR i EFS+, w przypadku, gdy dane działanie z jednego funduszu objęte jest zakresem pomocy drugiego </w:t>
      </w:r>
      <w:r w:rsidR="0075519A" w:rsidRPr="004B77D6">
        <w:rPr>
          <w:rFonts w:asciiTheme="minorHAnsi" w:hAnsiTheme="minorHAnsi" w:cstheme="minorHAnsi"/>
          <w:szCs w:val="24"/>
        </w:rPr>
        <w:t>Funduszu - z zastrzeżeniem ograniczenia do 15 % wsparcia z tych Funduszy na rzecz każdego priorytetu danego programu, całość lub część operacji, w przypadku której koszty kwalifikują się do wsparcia z</w:t>
      </w:r>
      <w:r w:rsidR="00E438CC">
        <w:rPr>
          <w:rFonts w:asciiTheme="minorHAnsi" w:hAnsiTheme="minorHAnsi" w:cstheme="minorHAnsi"/>
          <w:szCs w:val="24"/>
        </w:rPr>
        <w:t> </w:t>
      </w:r>
      <w:r w:rsidR="0075519A" w:rsidRPr="004B77D6">
        <w:rPr>
          <w:rFonts w:asciiTheme="minorHAnsi" w:hAnsiTheme="minorHAnsi" w:cstheme="minorHAnsi"/>
          <w:szCs w:val="24"/>
        </w:rPr>
        <w:t>tego drugiego Funduszu w oparciu o zasady kwalifikowalności mające zastosowanie do tego Funduszu, pod warunkiem że koszty takie są konieczne do celów wdrażania.</w:t>
      </w:r>
    </w:p>
    <w:p w14:paraId="4BF0DF17" w14:textId="21268A90" w:rsidR="00C2071D" w:rsidRPr="004B77D6" w:rsidRDefault="00C2071D" w:rsidP="001A4538">
      <w:pPr>
        <w:pStyle w:val="Tekstprzypisudolnego"/>
        <w:rPr>
          <w:rFonts w:asciiTheme="minorHAnsi" w:hAnsiTheme="minorHAnsi" w:cstheme="minorHAnsi"/>
          <w:szCs w:val="24"/>
        </w:rPr>
      </w:pPr>
      <w:r w:rsidRPr="004B77D6">
        <w:rPr>
          <w:rFonts w:asciiTheme="minorHAnsi" w:hAnsiTheme="minorHAnsi" w:cstheme="minorHAnsi"/>
          <w:b/>
          <w:bCs/>
          <w:szCs w:val="24"/>
        </w:rPr>
        <w:t>Koszty operacyjne</w:t>
      </w:r>
      <w:r w:rsidRPr="004B77D6">
        <w:rPr>
          <w:rFonts w:asciiTheme="minorHAnsi" w:hAnsiTheme="minorHAnsi" w:cstheme="minorHAnsi"/>
          <w:bCs/>
          <w:szCs w:val="24"/>
        </w:rPr>
        <w:t>:</w:t>
      </w:r>
      <w:r w:rsidRPr="004B77D6">
        <w:rPr>
          <w:rFonts w:asciiTheme="minorHAnsi" w:hAnsiTheme="minorHAnsi" w:cstheme="minorHAnsi"/>
          <w:b/>
          <w:bCs/>
          <w:szCs w:val="24"/>
        </w:rPr>
        <w:t xml:space="preserve"> </w:t>
      </w:r>
      <w:r w:rsidRPr="004B77D6">
        <w:rPr>
          <w:rFonts w:asciiTheme="minorHAnsi" w:hAnsiTheme="minorHAnsi" w:cstheme="minorHAnsi"/>
          <w:bCs/>
          <w:szCs w:val="24"/>
        </w:rPr>
        <w:t>dla potrzeb ustalania wskaźników efektywności finansowej oraz wyliczania wartości dofinansowania przyjmuje się, że są to</w:t>
      </w:r>
      <w:r w:rsidRPr="004B77D6">
        <w:rPr>
          <w:rFonts w:asciiTheme="minorHAnsi" w:hAnsiTheme="minorHAnsi" w:cstheme="minorHAnsi"/>
          <w:b/>
          <w:bCs/>
          <w:szCs w:val="24"/>
        </w:rPr>
        <w:t xml:space="preserve"> </w:t>
      </w:r>
      <w:r w:rsidRPr="004B77D6">
        <w:rPr>
          <w:rFonts w:asciiTheme="minorHAnsi" w:hAnsiTheme="minorHAnsi" w:cstheme="minorHAnsi"/>
          <w:szCs w:val="24"/>
        </w:rPr>
        <w:t>koszty eksploatacji i utrzymania (np. wynagrodzenia, surowce, elektryczność), koszty administracyjne i ogólne, koszty związane ze sprzedażą i dystrybucją. Przy określaniu kosztów operacyjnych na potrzeby analizy projektu nie należy uwzględniać pozycji, które nie powodują rzeczywistego wydatku pieniężnego, nawet jeżeli są one zazwyczaj wykazywane w bilansie lub rachunku zysków i strat. Do kosztów operacyjnych nie należy zatem zaliczać kosztów amortyzacji oraz rezerw na nieprzewidziane wydatki. Jako koszty operacyjne nie są również traktowane koszt</w:t>
      </w:r>
      <w:r w:rsidR="006403DA">
        <w:rPr>
          <w:rFonts w:asciiTheme="minorHAnsi" w:hAnsiTheme="minorHAnsi" w:cstheme="minorHAnsi"/>
          <w:szCs w:val="24"/>
        </w:rPr>
        <w:t>y</w:t>
      </w:r>
      <w:r w:rsidR="001A4538">
        <w:rPr>
          <w:rFonts w:asciiTheme="minorHAnsi" w:hAnsiTheme="minorHAnsi" w:cstheme="minorHAnsi"/>
          <w:szCs w:val="24"/>
        </w:rPr>
        <w:t xml:space="preserve"> f</w:t>
      </w:r>
      <w:r w:rsidRPr="004B77D6">
        <w:rPr>
          <w:rFonts w:asciiTheme="minorHAnsi" w:hAnsiTheme="minorHAnsi" w:cstheme="minorHAnsi"/>
          <w:szCs w:val="24"/>
        </w:rPr>
        <w:t xml:space="preserve">inansowania (np. odsetki od kredytów). </w:t>
      </w:r>
      <w:r w:rsidR="001A4538" w:rsidRPr="0011322D">
        <w:t>Koszty finansowania, np. odsetki od zaciągniętych kredytów nie są uwzględniane w analizie finansowej efektywności inwestycji</w:t>
      </w:r>
      <w:r w:rsidR="001A4538" w:rsidRPr="0011322D">
        <w:rPr>
          <w:lang w:val="pl-PL"/>
        </w:rPr>
        <w:t xml:space="preserve">. </w:t>
      </w:r>
      <w:r w:rsidR="001A4538" w:rsidRPr="0011322D">
        <w:t>Brane są one natomiast pod uwagę w analizie trwałości finansowej projektu oraz przy obliczaniu efektywności kapitału krajowego.</w:t>
      </w:r>
      <w:r w:rsidR="001A4538">
        <w:t xml:space="preserve"> </w:t>
      </w:r>
      <w:r w:rsidR="001A4538">
        <w:br/>
      </w:r>
      <w:r w:rsidRPr="004B77D6">
        <w:rPr>
          <w:rFonts w:asciiTheme="minorHAnsi" w:hAnsiTheme="minorHAnsi" w:cstheme="minorHAnsi"/>
          <w:szCs w:val="24"/>
        </w:rPr>
        <w:t xml:space="preserve">Podatki bezpośrednie (m.in. podatek od nieruchomości) powinny być uwzględniane jako koszt wyłącznie w ramach analizy trwałości. </w:t>
      </w:r>
    </w:p>
    <w:p w14:paraId="72AB59AF" w14:textId="081B4DF4" w:rsidR="00C2071D" w:rsidRPr="004B77D6" w:rsidRDefault="00C2071D" w:rsidP="00E438CC">
      <w:pPr>
        <w:keepNext/>
        <w:suppressAutoHyphens w:val="0"/>
        <w:autoSpaceDE w:val="0"/>
        <w:autoSpaceDN w:val="0"/>
        <w:adjustRightInd w:val="0"/>
        <w:spacing w:after="120" w:line="276" w:lineRule="auto"/>
        <w:rPr>
          <w:rFonts w:asciiTheme="minorHAnsi" w:hAnsiTheme="minorHAnsi" w:cstheme="minorHAnsi"/>
          <w:szCs w:val="24"/>
        </w:rPr>
      </w:pPr>
      <w:r w:rsidRPr="004B77D6">
        <w:rPr>
          <w:rFonts w:asciiTheme="minorHAnsi" w:hAnsiTheme="minorHAnsi" w:cstheme="minorHAnsi"/>
          <w:b/>
          <w:szCs w:val="24"/>
        </w:rPr>
        <w:lastRenderedPageBreak/>
        <w:t xml:space="preserve">Metoda/zasada kasowa: </w:t>
      </w:r>
      <w:r w:rsidRPr="004B77D6">
        <w:rPr>
          <w:rFonts w:asciiTheme="minorHAnsi" w:hAnsiTheme="minorHAnsi" w:cstheme="minorHAnsi"/>
          <w:szCs w:val="24"/>
        </w:rPr>
        <w:t>metoda rachunkowa polegająca na ujmowaniu operacji księgowych tylko wtedy, gdy następuje wpływ środków pieniężnych lub ponoszone są wydatki. Zasadę tę należy odróżniać od zasady memoriału, zgodnie z którą w księgach rachunkowych ujmuje się wszystkie przychody oraz koszty dotyczącego danego roku obrotowego, niezależnie od terminu ich spłaty.</w:t>
      </w:r>
    </w:p>
    <w:p w14:paraId="329C70BB" w14:textId="424E68AC" w:rsidR="00C2071D" w:rsidRPr="004B77D6" w:rsidRDefault="00C2071D" w:rsidP="00E438CC">
      <w:pPr>
        <w:keepNext/>
        <w:suppressAutoHyphens w:val="0"/>
        <w:autoSpaceDE w:val="0"/>
        <w:autoSpaceDN w:val="0"/>
        <w:adjustRightInd w:val="0"/>
        <w:spacing w:after="120" w:line="276" w:lineRule="auto"/>
        <w:rPr>
          <w:rFonts w:asciiTheme="minorHAnsi" w:hAnsiTheme="minorHAnsi" w:cstheme="minorHAnsi"/>
          <w:szCs w:val="24"/>
        </w:rPr>
      </w:pPr>
      <w:r w:rsidRPr="004B77D6">
        <w:rPr>
          <w:rFonts w:asciiTheme="minorHAnsi" w:hAnsiTheme="minorHAnsi" w:cstheme="minorHAnsi"/>
          <w:b/>
          <w:szCs w:val="24"/>
        </w:rPr>
        <w:t xml:space="preserve">Nakłady inwestycyjne na realizację projektu (koszty inwestycyjne, inwestycja początkowa): </w:t>
      </w:r>
      <w:r w:rsidRPr="004B77D6">
        <w:rPr>
          <w:rFonts w:asciiTheme="minorHAnsi" w:hAnsiTheme="minorHAnsi" w:cstheme="minorHAnsi"/>
          <w:szCs w:val="24"/>
        </w:rPr>
        <w:t>wydatki ponoszone w związku z realizacją projektu do momentu oddania powstałego majątku do użytkowania. Nakłady inwestycyjne na realizację projektu obejmują głównie nakłady na środki trwałe, wartości niematerialne i prawne oraz nakłady na przygotowanie projektu (w tym przygotowanie dokumentacji projektowej, doradztwo)</w:t>
      </w:r>
      <w:r w:rsidRPr="004B77D6">
        <w:rPr>
          <w:rFonts w:asciiTheme="minorHAnsi" w:hAnsiTheme="minorHAnsi" w:cstheme="minorHAnsi"/>
          <w:szCs w:val="24"/>
          <w:vertAlign w:val="superscript"/>
        </w:rPr>
        <w:t>8</w:t>
      </w:r>
      <w:r w:rsidRPr="004B77D6">
        <w:rPr>
          <w:rFonts w:asciiTheme="minorHAnsi" w:hAnsiTheme="minorHAnsi" w:cstheme="minorHAnsi"/>
          <w:color w:val="FFFFFF"/>
          <w:szCs w:val="24"/>
          <w:vertAlign w:val="superscript"/>
        </w:rPr>
        <w:footnoteReference w:id="2"/>
      </w:r>
      <w:r w:rsidRPr="004B77D6">
        <w:rPr>
          <w:rFonts w:asciiTheme="minorHAnsi" w:hAnsiTheme="minorHAnsi" w:cstheme="minorHAnsi"/>
          <w:szCs w:val="24"/>
        </w:rPr>
        <w:t xml:space="preserve">. Zdyskontowane nakłady inwestycyjne na realizację projektu (bez ewentualnych rezerw na nieprzewidziane wydatki, które nie są brane pod uwagę w analizie przepływów finansowych) stanowią zdyskontowany koszt inwestycji (ang. </w:t>
      </w:r>
      <w:proofErr w:type="spellStart"/>
      <w:r w:rsidRPr="004B77D6">
        <w:rPr>
          <w:rFonts w:asciiTheme="minorHAnsi" w:hAnsiTheme="minorHAnsi" w:cstheme="minorHAnsi"/>
          <w:i/>
          <w:szCs w:val="24"/>
        </w:rPr>
        <w:t>Discounted</w:t>
      </w:r>
      <w:proofErr w:type="spellEnd"/>
      <w:r w:rsidRPr="004B77D6">
        <w:rPr>
          <w:rFonts w:asciiTheme="minorHAnsi" w:hAnsiTheme="minorHAnsi" w:cstheme="minorHAnsi"/>
          <w:i/>
          <w:szCs w:val="24"/>
        </w:rPr>
        <w:t xml:space="preserve"> Investment </w:t>
      </w:r>
      <w:proofErr w:type="spellStart"/>
      <w:r w:rsidRPr="004B77D6">
        <w:rPr>
          <w:rFonts w:asciiTheme="minorHAnsi" w:hAnsiTheme="minorHAnsi" w:cstheme="minorHAnsi"/>
          <w:i/>
          <w:szCs w:val="24"/>
        </w:rPr>
        <w:t>Cost</w:t>
      </w:r>
      <w:proofErr w:type="spellEnd"/>
      <w:r w:rsidRPr="004B77D6">
        <w:rPr>
          <w:rFonts w:asciiTheme="minorHAnsi" w:hAnsiTheme="minorHAnsi" w:cstheme="minorHAnsi"/>
          <w:i/>
          <w:szCs w:val="24"/>
        </w:rPr>
        <w:t xml:space="preserve"> – </w:t>
      </w:r>
      <w:r w:rsidRPr="004B77D6">
        <w:rPr>
          <w:rFonts w:asciiTheme="minorHAnsi" w:hAnsiTheme="minorHAnsi" w:cstheme="minorHAnsi"/>
          <w:szCs w:val="24"/>
        </w:rPr>
        <w:t>DIC).</w:t>
      </w:r>
    </w:p>
    <w:p w14:paraId="369D8DFA" w14:textId="33AFB9DC" w:rsidR="00C2071D" w:rsidRPr="004B77D6" w:rsidRDefault="00C2071D" w:rsidP="00E438CC">
      <w:pPr>
        <w:keepNext/>
        <w:suppressAutoHyphens w:val="0"/>
        <w:autoSpaceDE w:val="0"/>
        <w:autoSpaceDN w:val="0"/>
        <w:adjustRightInd w:val="0"/>
        <w:spacing w:after="120" w:line="276" w:lineRule="auto"/>
        <w:rPr>
          <w:rFonts w:asciiTheme="minorHAnsi" w:hAnsiTheme="minorHAnsi" w:cstheme="minorHAnsi"/>
          <w:szCs w:val="24"/>
        </w:rPr>
      </w:pPr>
      <w:r w:rsidRPr="004B77D6">
        <w:rPr>
          <w:rFonts w:asciiTheme="minorHAnsi" w:hAnsiTheme="minorHAnsi" w:cstheme="minorHAnsi"/>
          <w:b/>
          <w:bCs/>
          <w:szCs w:val="24"/>
        </w:rPr>
        <w:t xml:space="preserve">Nakłady odtworzeniowe: </w:t>
      </w:r>
      <w:r w:rsidRPr="004B77D6">
        <w:rPr>
          <w:rFonts w:asciiTheme="minorHAnsi" w:hAnsiTheme="minorHAnsi" w:cstheme="minorHAnsi"/>
          <w:bCs/>
          <w:szCs w:val="24"/>
        </w:rPr>
        <w:t>nakłady o charakterze inwestycyjnym ponoszone w fazie operacyjnej projektu, przeznaczone na niezbędne odtworzenie tych elementów projektu, których okres użytkowania jest krótszy niż okres odniesienia analizy. Nakłady te muszą mieć charakter niezbędny dla zapewnienia operacyjności projektu w przyjętym okresie odniesienia. Wnioskodawca powinien szczegółowo uzasadnić we wniosku o dofinansowanie konieczność poniesienia tych nakładów dla zapewnienia operacyjności projektu.</w:t>
      </w:r>
    </w:p>
    <w:p w14:paraId="23D5866D" w14:textId="45B5D33E" w:rsidR="00DF7510" w:rsidRPr="004B77D6" w:rsidRDefault="00C2071D" w:rsidP="00E438CC">
      <w:pPr>
        <w:keepNext/>
        <w:suppressAutoHyphens w:val="0"/>
        <w:autoSpaceDE w:val="0"/>
        <w:autoSpaceDN w:val="0"/>
        <w:adjustRightInd w:val="0"/>
        <w:spacing w:after="120" w:line="276" w:lineRule="auto"/>
        <w:rPr>
          <w:rFonts w:asciiTheme="minorHAnsi" w:hAnsiTheme="minorHAnsi" w:cstheme="minorHAnsi"/>
          <w:bCs/>
          <w:szCs w:val="24"/>
        </w:rPr>
      </w:pPr>
      <w:r w:rsidRPr="004B77D6">
        <w:rPr>
          <w:rFonts w:asciiTheme="minorHAnsi" w:hAnsiTheme="minorHAnsi" w:cstheme="minorHAnsi"/>
          <w:b/>
          <w:bCs/>
          <w:szCs w:val="24"/>
        </w:rPr>
        <w:t xml:space="preserve">Okres odniesienia (horyzont czasowy inwestycji): </w:t>
      </w:r>
      <w:r w:rsidR="00DF7510" w:rsidRPr="004B77D6">
        <w:rPr>
          <w:rFonts w:asciiTheme="minorHAnsi" w:hAnsiTheme="minorHAnsi" w:cstheme="minorHAnsi"/>
          <w:szCs w:val="24"/>
        </w:rPr>
        <w:t xml:space="preserve">okres, za który należy sporządzić prognozę przepływów pieniężnych w projekcie, uwzględniający zarówno okres realizacji projektu, jak i okres po jego ukończeniu, tj. fazę inwestycyjną i operacyjną. Wskazania co do możliwych do zastosowania okresów odniesienia zawarto w Vademecum AE (Część II – zastosowania w sektorach). Wymiar okresu odniesienia jest taki sam w analizie finansowej </w:t>
      </w:r>
      <w:r w:rsidR="00FD57E5" w:rsidRPr="004B77D6">
        <w:rPr>
          <w:rFonts w:asciiTheme="minorHAnsi" w:hAnsiTheme="minorHAnsi" w:cstheme="minorHAnsi"/>
          <w:szCs w:val="24"/>
        </w:rPr>
        <w:br/>
      </w:r>
      <w:r w:rsidR="00DF7510" w:rsidRPr="004B77D6">
        <w:rPr>
          <w:rFonts w:asciiTheme="minorHAnsi" w:hAnsiTheme="minorHAnsi" w:cstheme="minorHAnsi"/>
          <w:szCs w:val="24"/>
        </w:rPr>
        <w:t xml:space="preserve">i w analizie ekonomicznej. Rokiem bazowym w analizie finansowej i ekonomicznej powinien być założony w analizie rok rozpoczęcia realizacji projektu (np. rok rozpoczęcia robót budowlanych). Wyjątkiem od tej zasady jest sytuacja, w której wniosek o dofinansowanie został sporządzony na etapie, gdy realizacja projektu została już rozpoczęta. Wówczas rokiem bazowym jest rok złożenia wniosku o dofinansowanie. Zakupu gruntów oraz prac przygotowawczych (np. prac geodezyjnych lub uzyskania </w:t>
      </w:r>
      <w:r w:rsidR="006E53A8" w:rsidRPr="004B77D6">
        <w:rPr>
          <w:rFonts w:asciiTheme="minorHAnsi" w:hAnsiTheme="minorHAnsi" w:cstheme="minorHAnsi"/>
          <w:szCs w:val="24"/>
        </w:rPr>
        <w:t>zezwoleń</w:t>
      </w:r>
      <w:r w:rsidR="00DF7510" w:rsidRPr="004B77D6">
        <w:rPr>
          <w:rFonts w:asciiTheme="minorHAnsi" w:hAnsiTheme="minorHAnsi" w:cstheme="minorHAnsi"/>
          <w:szCs w:val="24"/>
        </w:rPr>
        <w:t xml:space="preserve"> czy przeprowadzenia studiów wykonalności) nie uznaje się za rozpoczęcie rzeczowej realizacji projektu. Szczegółowe zasady dot. wyznaczania okresu odniesienia określa instytucja zarządzająca. </w:t>
      </w:r>
    </w:p>
    <w:p w14:paraId="4417DCC5" w14:textId="08284F2B" w:rsidR="00DF7510" w:rsidRPr="001A4538" w:rsidRDefault="00DF7510" w:rsidP="00E438CC">
      <w:pPr>
        <w:pStyle w:val="Draftmaintext"/>
        <w:numPr>
          <w:ilvl w:val="0"/>
          <w:numId w:val="0"/>
        </w:numPr>
        <w:rPr>
          <w:lang w:val="pl-PL"/>
        </w:rPr>
      </w:pPr>
      <w:r w:rsidRPr="001A4538">
        <w:rPr>
          <w:b/>
          <w:bCs/>
          <w:lang w:val="pl-PL"/>
        </w:rPr>
        <w:t>Oszczędności kosztów operacyjnych</w:t>
      </w:r>
      <w:r w:rsidRPr="001A4538">
        <w:rPr>
          <w:lang w:val="pl-PL"/>
        </w:rPr>
        <w:t>: spadek poziomu kosztów operacyjnych</w:t>
      </w:r>
      <w:r w:rsidR="000E6DC5" w:rsidRPr="001A4538">
        <w:rPr>
          <w:lang w:val="pl-PL"/>
        </w:rPr>
        <w:t xml:space="preserve"> </w:t>
      </w:r>
      <w:r w:rsidRPr="001A4538">
        <w:rPr>
          <w:lang w:val="pl-PL"/>
        </w:rPr>
        <w:t>związanych z</w:t>
      </w:r>
      <w:r w:rsidR="00E438CC" w:rsidRPr="001A4538">
        <w:rPr>
          <w:lang w:val="pl-PL"/>
        </w:rPr>
        <w:t> </w:t>
      </w:r>
      <w:r w:rsidRPr="001A4538">
        <w:rPr>
          <w:lang w:val="pl-PL"/>
        </w:rPr>
        <w:t xml:space="preserve">funkcjonowaniem infrastruktury, powstały w wyniku realizacji projektu. Wartość oszczędności ustala się poprzez porównanie poziomu kosztów operacyjnych dla scenariusza </w:t>
      </w:r>
      <w:r w:rsidRPr="001A4538">
        <w:rPr>
          <w:lang w:val="pl-PL"/>
        </w:rPr>
        <w:lastRenderedPageBreak/>
        <w:t xml:space="preserve">„z projektem” oraz scenariusza „bez projektu” (patrz: Wykaz pojęć – różnicowy </w:t>
      </w:r>
      <w:r w:rsidR="00CB5F67" w:rsidRPr="001A4538">
        <w:rPr>
          <w:lang w:val="pl-PL"/>
        </w:rPr>
        <w:t>Opłata za dostępność: Zryczałtowane wynagrodzenie pieniężne wypłacane cyklicznie przez podmiot publiczny na rzecz partnera prywatnego w fazie eksploatacji infrastruktury</w:t>
      </w:r>
      <w:r w:rsidR="00CB5F67" w:rsidRPr="001A4538">
        <w:rPr>
          <w:vertAlign w:val="superscript"/>
          <w:lang w:val="pl-PL"/>
        </w:rPr>
        <w:t>9</w:t>
      </w:r>
      <w:r w:rsidR="00CB5F67" w:rsidRPr="001A4538">
        <w:rPr>
          <w:color w:val="FFFFFF"/>
          <w:vertAlign w:val="superscript"/>
          <w:lang w:val="pl-PL"/>
        </w:rPr>
        <w:footnoteReference w:id="3"/>
      </w:r>
      <w:r w:rsidRPr="001A4538">
        <w:rPr>
          <w:lang w:val="pl-PL"/>
        </w:rPr>
        <w:t xml:space="preserve">model finansowy). </w:t>
      </w:r>
    </w:p>
    <w:p w14:paraId="2875A443" w14:textId="7CFFA7A4" w:rsidR="00C2071D" w:rsidRPr="004B77D6" w:rsidRDefault="00C2071D" w:rsidP="00E438CC">
      <w:pPr>
        <w:keepNext/>
        <w:suppressAutoHyphens w:val="0"/>
        <w:autoSpaceDE w:val="0"/>
        <w:autoSpaceDN w:val="0"/>
        <w:adjustRightInd w:val="0"/>
        <w:spacing w:after="120" w:line="276" w:lineRule="auto"/>
        <w:rPr>
          <w:rFonts w:asciiTheme="minorHAnsi" w:hAnsiTheme="minorHAnsi" w:cstheme="minorHAnsi"/>
          <w:szCs w:val="24"/>
        </w:rPr>
      </w:pPr>
      <w:r w:rsidRPr="004B77D6">
        <w:rPr>
          <w:rFonts w:asciiTheme="minorHAnsi" w:hAnsiTheme="minorHAnsi" w:cstheme="minorHAnsi"/>
          <w:b/>
          <w:bCs/>
          <w:szCs w:val="24"/>
        </w:rPr>
        <w:t xml:space="preserve">Projekt: </w:t>
      </w:r>
      <w:r w:rsidRPr="004B77D6">
        <w:rPr>
          <w:rFonts w:asciiTheme="minorHAnsi" w:hAnsiTheme="minorHAnsi" w:cstheme="minorHAnsi"/>
          <w:bCs/>
          <w:szCs w:val="24"/>
        </w:rPr>
        <w:t>przedsięwzięcie inwestycyjne zmierzające do osiągnięcia założonego celu określonego wskaźnikami, posiadające określony początek i koniec realizacji, zgłoszone do</w:t>
      </w:r>
      <w:r w:rsidR="00E438CC">
        <w:rPr>
          <w:rFonts w:asciiTheme="minorHAnsi" w:hAnsiTheme="minorHAnsi" w:cstheme="minorHAnsi"/>
          <w:bCs/>
          <w:szCs w:val="24"/>
        </w:rPr>
        <w:t> </w:t>
      </w:r>
      <w:r w:rsidRPr="004B77D6">
        <w:rPr>
          <w:rFonts w:asciiTheme="minorHAnsi" w:hAnsiTheme="minorHAnsi" w:cstheme="minorHAnsi"/>
          <w:bCs/>
          <w:szCs w:val="24"/>
        </w:rPr>
        <w:t>objęcia albo objęte współfinansowaniem w ramach środków EFSI.</w:t>
      </w:r>
      <w:r w:rsidRPr="004B77D6">
        <w:rPr>
          <w:rFonts w:asciiTheme="minorHAnsi" w:hAnsiTheme="minorHAnsi" w:cstheme="minorHAnsi"/>
          <w:szCs w:val="24"/>
        </w:rPr>
        <w:t xml:space="preserve"> </w:t>
      </w:r>
    </w:p>
    <w:p w14:paraId="2E56A4DD" w14:textId="4E9BE021" w:rsidR="00C2071D" w:rsidRPr="004B77D6" w:rsidRDefault="00C2071D" w:rsidP="00E438CC">
      <w:pPr>
        <w:suppressAutoHyphens w:val="0"/>
        <w:autoSpaceDE w:val="0"/>
        <w:autoSpaceDN w:val="0"/>
        <w:adjustRightInd w:val="0"/>
        <w:spacing w:after="120" w:line="276" w:lineRule="auto"/>
        <w:rPr>
          <w:rFonts w:asciiTheme="minorHAnsi" w:hAnsiTheme="minorHAnsi" w:cstheme="minorHAnsi"/>
          <w:szCs w:val="24"/>
        </w:rPr>
      </w:pPr>
      <w:r w:rsidRPr="004B77D6">
        <w:rPr>
          <w:rFonts w:asciiTheme="minorHAnsi" w:hAnsiTheme="minorHAnsi" w:cstheme="minorHAnsi"/>
          <w:b/>
          <w:bCs/>
          <w:szCs w:val="24"/>
        </w:rPr>
        <w:t>Przewodnik AKK</w:t>
      </w:r>
      <w:r w:rsidRPr="004B77D6">
        <w:rPr>
          <w:rStyle w:val="Odwoanieprzypisudolnego"/>
          <w:rFonts w:asciiTheme="minorHAnsi" w:hAnsiTheme="minorHAnsi" w:cstheme="minorHAnsi"/>
          <w:szCs w:val="24"/>
        </w:rPr>
        <w:footnoteReference w:id="4"/>
      </w:r>
      <w:r w:rsidRPr="004B77D6">
        <w:rPr>
          <w:rFonts w:asciiTheme="minorHAnsi" w:hAnsiTheme="minorHAnsi" w:cstheme="minorHAnsi"/>
          <w:szCs w:val="24"/>
        </w:rPr>
        <w:t xml:space="preserve">: </w:t>
      </w:r>
      <w:r w:rsidR="00FD57E5" w:rsidRPr="004B77D6">
        <w:rPr>
          <w:rFonts w:asciiTheme="minorHAnsi" w:hAnsiTheme="minorHAnsi" w:cstheme="minorHAnsi"/>
          <w:szCs w:val="24"/>
        </w:rPr>
        <w:t xml:space="preserve">Przewodnik do analizy kosztów i korzyści projektów inwestycyjnych (ang. </w:t>
      </w:r>
      <w:r w:rsidR="00FD57E5" w:rsidRPr="004B77D6">
        <w:rPr>
          <w:rFonts w:asciiTheme="minorHAnsi" w:hAnsiTheme="minorHAnsi" w:cstheme="minorHAnsi"/>
          <w:szCs w:val="24"/>
          <w:lang w:val="en-US"/>
        </w:rPr>
        <w:t xml:space="preserve">Guide to cost-benefit Analysis of Investment Projects), </w:t>
      </w:r>
      <w:proofErr w:type="spellStart"/>
      <w:r w:rsidR="00FD57E5" w:rsidRPr="004B77D6">
        <w:rPr>
          <w:rFonts w:asciiTheme="minorHAnsi" w:hAnsiTheme="minorHAnsi" w:cstheme="minorHAnsi"/>
          <w:szCs w:val="24"/>
          <w:lang w:val="en-US"/>
        </w:rPr>
        <w:t>Komisja</w:t>
      </w:r>
      <w:proofErr w:type="spellEnd"/>
      <w:r w:rsidR="00FD57E5" w:rsidRPr="004B77D6">
        <w:rPr>
          <w:rFonts w:asciiTheme="minorHAnsi" w:hAnsiTheme="minorHAnsi" w:cstheme="minorHAnsi"/>
          <w:szCs w:val="24"/>
          <w:lang w:val="en-US"/>
        </w:rPr>
        <w:t xml:space="preserve"> </w:t>
      </w:r>
      <w:proofErr w:type="spellStart"/>
      <w:r w:rsidR="00FD57E5" w:rsidRPr="004B77D6">
        <w:rPr>
          <w:rFonts w:asciiTheme="minorHAnsi" w:hAnsiTheme="minorHAnsi" w:cstheme="minorHAnsi"/>
          <w:szCs w:val="24"/>
          <w:lang w:val="en-US"/>
        </w:rPr>
        <w:t>Europejska</w:t>
      </w:r>
      <w:proofErr w:type="spellEnd"/>
      <w:r w:rsidR="00FD57E5" w:rsidRPr="004B77D6">
        <w:rPr>
          <w:rFonts w:asciiTheme="minorHAnsi" w:hAnsiTheme="minorHAnsi" w:cstheme="minorHAnsi"/>
          <w:szCs w:val="24"/>
          <w:lang w:val="en-US"/>
        </w:rPr>
        <w:t xml:space="preserve">, </w:t>
      </w:r>
      <w:proofErr w:type="spellStart"/>
      <w:r w:rsidR="00FD57E5" w:rsidRPr="004B77D6">
        <w:rPr>
          <w:rFonts w:asciiTheme="minorHAnsi" w:hAnsiTheme="minorHAnsi" w:cstheme="minorHAnsi"/>
          <w:szCs w:val="24"/>
          <w:lang w:val="en-US"/>
        </w:rPr>
        <w:t>grudzień</w:t>
      </w:r>
      <w:proofErr w:type="spellEnd"/>
      <w:r w:rsidR="00FD57E5" w:rsidRPr="004B77D6">
        <w:rPr>
          <w:rFonts w:asciiTheme="minorHAnsi" w:hAnsiTheme="minorHAnsi" w:cstheme="minorHAnsi"/>
          <w:szCs w:val="24"/>
          <w:lang w:val="en-US"/>
        </w:rPr>
        <w:t xml:space="preserve"> 2014. </w:t>
      </w:r>
      <w:r w:rsidR="00FD57E5" w:rsidRPr="004B77D6">
        <w:rPr>
          <w:rFonts w:asciiTheme="minorHAnsi" w:hAnsiTheme="minorHAnsi" w:cstheme="minorHAnsi"/>
          <w:szCs w:val="24"/>
        </w:rPr>
        <w:t>Pomimo faktu, iż Przewodnik AKK został opracowany jako dokument metodologiczny dla projektów inwestycyjnych z perspektywy finansowej 2014-2020 i formalnie nie obowiązuje w perspektywie finansowej 2021-2027, zaleca się stosowanie jego postanowień, zwłaszcza w</w:t>
      </w:r>
      <w:r w:rsidR="00E438CC">
        <w:rPr>
          <w:rFonts w:asciiTheme="minorHAnsi" w:hAnsiTheme="minorHAnsi" w:cstheme="minorHAnsi"/>
          <w:szCs w:val="24"/>
        </w:rPr>
        <w:t> </w:t>
      </w:r>
      <w:r w:rsidR="00FD57E5" w:rsidRPr="004B77D6">
        <w:rPr>
          <w:rFonts w:asciiTheme="minorHAnsi" w:hAnsiTheme="minorHAnsi" w:cstheme="minorHAnsi"/>
          <w:szCs w:val="24"/>
        </w:rPr>
        <w:t xml:space="preserve">odniesieniu do kwestii, w których do tego dokumentu odsyłają postanowienia Vademecum AE (patrz: Wykaz pojęć – Vademecum AE). </w:t>
      </w:r>
    </w:p>
    <w:p w14:paraId="5BE2581F" w14:textId="64009AE9" w:rsidR="00E053DC" w:rsidRPr="004B77D6" w:rsidRDefault="00C2071D" w:rsidP="00E438CC">
      <w:pPr>
        <w:suppressAutoHyphens w:val="0"/>
        <w:autoSpaceDE w:val="0"/>
        <w:autoSpaceDN w:val="0"/>
        <w:adjustRightInd w:val="0"/>
        <w:spacing w:after="120" w:line="276" w:lineRule="auto"/>
        <w:rPr>
          <w:rFonts w:asciiTheme="minorHAnsi" w:hAnsiTheme="minorHAnsi" w:cstheme="minorHAnsi"/>
          <w:szCs w:val="24"/>
        </w:rPr>
      </w:pPr>
      <w:r w:rsidRPr="004B77D6">
        <w:rPr>
          <w:rFonts w:asciiTheme="minorHAnsi" w:hAnsiTheme="minorHAnsi" w:cstheme="minorHAnsi"/>
          <w:b/>
          <w:szCs w:val="24"/>
        </w:rPr>
        <w:t>Przychód:</w:t>
      </w:r>
      <w:r w:rsidRPr="004B77D6">
        <w:rPr>
          <w:rFonts w:asciiTheme="minorHAnsi" w:hAnsiTheme="minorHAnsi" w:cstheme="minorHAnsi"/>
          <w:szCs w:val="24"/>
        </w:rPr>
        <w:t xml:space="preserve"> </w:t>
      </w:r>
      <w:r w:rsidR="00E053DC" w:rsidRPr="004B77D6">
        <w:rPr>
          <w:rFonts w:asciiTheme="minorHAnsi" w:hAnsiTheme="minorHAnsi" w:cstheme="minorHAnsi"/>
          <w:szCs w:val="24"/>
        </w:rPr>
        <w:t>wpływ środków pieniężnych powstały w związku z projektem, najczęściej mający postać opłat za towary lub usługi zapewnione przez projekt. Podstawowym kryterium weryfikacji, czy dany wpływ środków pieniężnych ma związek z projektem jest kryterium bezpośredniości – czy wpływ (na rzecz beneficjenta) miałby miejsce, gdyby projekt nie został zrealizowany; czy dany towar lub usługa byłaby świadczona (przez beneficjenta), gdyby projekt nie został zrealizowany. Należy mieć na uwadze, iż podmiotem płacącym za usługi może być zarówno ich bezpośredni odbiorca, jak i określona podmiot/instytucja, natomiast w kalkulacji wskaźników efektywności finansowej uwzględniany jest przychód od użytkowników nawet jeżeli jest pobierany przez inny podmiot; inne przepływy pomiędzy podmiotami zaangażowanymi w projekt wykazujemy wyłączenie w analizie trwałości finansowej.</w:t>
      </w:r>
    </w:p>
    <w:p w14:paraId="6DEE953C" w14:textId="0E10E49C" w:rsidR="00C2071D" w:rsidRPr="004B77D6" w:rsidRDefault="00C2071D" w:rsidP="00E438CC">
      <w:pPr>
        <w:suppressAutoHyphens w:val="0"/>
        <w:autoSpaceDE w:val="0"/>
        <w:autoSpaceDN w:val="0"/>
        <w:adjustRightInd w:val="0"/>
        <w:spacing w:after="120" w:line="276" w:lineRule="auto"/>
        <w:rPr>
          <w:rFonts w:asciiTheme="minorHAnsi" w:hAnsiTheme="minorHAnsi" w:cstheme="minorHAnsi"/>
          <w:szCs w:val="24"/>
        </w:rPr>
      </w:pPr>
      <w:r w:rsidRPr="004B77D6">
        <w:rPr>
          <w:rFonts w:asciiTheme="minorHAnsi" w:hAnsiTheme="minorHAnsi" w:cstheme="minorHAnsi"/>
          <w:b/>
          <w:szCs w:val="24"/>
        </w:rPr>
        <w:t>Rachunek powierniczy:</w:t>
      </w:r>
      <w:r w:rsidRPr="004B77D6">
        <w:rPr>
          <w:rFonts w:asciiTheme="minorHAnsi" w:hAnsiTheme="minorHAnsi" w:cstheme="minorHAnsi"/>
          <w:szCs w:val="24"/>
        </w:rPr>
        <w:t xml:space="preserve"> </w:t>
      </w:r>
      <w:r w:rsidR="00E053DC" w:rsidRPr="004B77D6">
        <w:rPr>
          <w:rFonts w:asciiTheme="minorHAnsi" w:hAnsiTheme="minorHAnsi" w:cstheme="minorHAnsi"/>
          <w:szCs w:val="24"/>
        </w:rPr>
        <w:t xml:space="preserve">zgodnie z art. 2 pkt 39 rozporządzenia nr 2021/1060, rachunek bankowy prowadzony na podstawie pisemnej umowy zawartej między podmiotem publicznym będącym beneficjentem a partnerem prywatnym i zatwierdzonej przez instytucję </w:t>
      </w:r>
      <w:r w:rsidR="00E053DC" w:rsidRPr="004B77D6">
        <w:rPr>
          <w:rFonts w:asciiTheme="minorHAnsi" w:hAnsiTheme="minorHAnsi" w:cstheme="minorHAnsi"/>
          <w:szCs w:val="24"/>
        </w:rPr>
        <w:lastRenderedPageBreak/>
        <w:t>zarządzającą lub pośredniczącą, wykorzystywany do płatności w trakcie okresu kwalifikowalności lub po jego upływie.</w:t>
      </w:r>
    </w:p>
    <w:p w14:paraId="26FBBCC6" w14:textId="6FCCDA06" w:rsidR="006350E5" w:rsidRPr="004B77D6" w:rsidRDefault="00C2071D" w:rsidP="00B34EE2">
      <w:pPr>
        <w:spacing w:after="120" w:line="276" w:lineRule="auto"/>
        <w:rPr>
          <w:rFonts w:asciiTheme="minorHAnsi" w:hAnsiTheme="minorHAnsi" w:cstheme="minorHAnsi"/>
          <w:szCs w:val="24"/>
        </w:rPr>
      </w:pPr>
      <w:r w:rsidRPr="004B77D6">
        <w:rPr>
          <w:rFonts w:asciiTheme="minorHAnsi" w:hAnsiTheme="minorHAnsi" w:cstheme="minorHAnsi"/>
          <w:b/>
          <w:bCs/>
          <w:szCs w:val="24"/>
        </w:rPr>
        <w:t xml:space="preserve">Różnicowy model finansowy: </w:t>
      </w:r>
      <w:r w:rsidR="00E053DC" w:rsidRPr="004B77D6">
        <w:rPr>
          <w:rFonts w:asciiTheme="minorHAnsi" w:hAnsiTheme="minorHAnsi" w:cstheme="minorHAnsi"/>
          <w:szCs w:val="24"/>
        </w:rPr>
        <w:t>model finansowy sporządzany dla projektu, w którym zestawia się ze sobą przepływy pieniężne dla scenariusza „podmiot (lub działalność gospodarcza) z projektem” oraz scenariusza „podmiot (lub działalność gospodarcza) bez projektu” i poprzez ich porównanie ustala się przepływy różnicowe, stanowiące podstawę dla ustalenia wartości wskaźników efektywności finansowej projektu. Model ten polega na oszacowaniu przyszłych przepływów pieniężnych w dwóch scenariuszach – inwestycyjnym i bez inwestycji (projektu). Analiza finansowa przedstawia koszty i przychody wynikające z pierwszego scenariusza, pomniejszone o koszty i przychody wynikające ze scenariusza drugiego.</w:t>
      </w:r>
    </w:p>
    <w:p w14:paraId="761BBEF3" w14:textId="0E75D32E" w:rsidR="00C2071D" w:rsidRPr="004B77D6" w:rsidRDefault="00C2071D" w:rsidP="00E438CC">
      <w:pPr>
        <w:pStyle w:val="Akapitzlist"/>
        <w:spacing w:after="120"/>
        <w:ind w:left="0"/>
        <w:rPr>
          <w:rFonts w:asciiTheme="minorHAnsi" w:hAnsiTheme="minorHAnsi" w:cstheme="minorHAnsi"/>
          <w:bCs/>
          <w:szCs w:val="24"/>
        </w:rPr>
      </w:pPr>
      <w:r w:rsidRPr="00CF5A4B">
        <w:rPr>
          <w:rFonts w:asciiTheme="minorHAnsi" w:hAnsiTheme="minorHAnsi" w:cstheme="minorHAnsi"/>
          <w:b/>
          <w:sz w:val="24"/>
          <w:szCs w:val="24"/>
        </w:rPr>
        <w:t xml:space="preserve">Scenariusz (wariant) bezinwestycyjny (kontrfaktyczny): </w:t>
      </w:r>
      <w:r w:rsidRPr="00CF5A4B">
        <w:rPr>
          <w:rFonts w:asciiTheme="minorHAnsi" w:hAnsiTheme="minorHAnsi" w:cstheme="minorHAnsi"/>
          <w:sz w:val="24"/>
          <w:szCs w:val="24"/>
        </w:rPr>
        <w:t>W scenariuszu bez inwestycji (projektu UE) należy ująć wszystkie nakłady inwestycyjne, operacyjne i odtworzeniowe, które beneficjent poniósłby w danym okresie odniesienia oraz przychody, które uzyskałby w tym okresie, w sytuacji, gdyby nie zrealizował inwestycji (projektu UE). Scenariusz ten powinien charakteryzować się możliwie najwyższym stopniem prawdopodobieństwa.</w:t>
      </w:r>
      <w:r w:rsidR="006350E5" w:rsidRPr="00CF5A4B">
        <w:rPr>
          <w:rFonts w:asciiTheme="minorHAnsi" w:hAnsiTheme="minorHAnsi" w:cstheme="minorHAnsi"/>
          <w:sz w:val="24"/>
          <w:szCs w:val="24"/>
        </w:rPr>
        <w:t xml:space="preserve"> </w:t>
      </w:r>
      <w:r w:rsidRPr="00CF5A4B">
        <w:rPr>
          <w:rFonts w:asciiTheme="minorHAnsi" w:hAnsiTheme="minorHAnsi" w:cstheme="minorHAnsi"/>
          <w:bCs/>
          <w:sz w:val="24"/>
          <w:szCs w:val="24"/>
        </w:rPr>
        <w:t xml:space="preserve">Zgodnie </w:t>
      </w:r>
      <w:r w:rsidR="00BA5C81">
        <w:rPr>
          <w:rFonts w:asciiTheme="minorHAnsi" w:hAnsiTheme="minorHAnsi" w:cstheme="minorHAnsi"/>
          <w:bCs/>
          <w:sz w:val="24"/>
          <w:szCs w:val="24"/>
        </w:rPr>
        <w:br/>
      </w:r>
      <w:r w:rsidRPr="00CF5A4B">
        <w:rPr>
          <w:rFonts w:asciiTheme="minorHAnsi" w:hAnsiTheme="minorHAnsi" w:cstheme="minorHAnsi"/>
          <w:bCs/>
          <w:sz w:val="24"/>
          <w:szCs w:val="24"/>
        </w:rPr>
        <w:t>z Przewodnikiem AKK  scenariusz ten powinien zakładać ponoszenie wszelkich kosztów, koniecznych do zapewnienia minimalnego poziomu świadczonych usług.</w:t>
      </w:r>
      <w:r w:rsidR="006350E5" w:rsidRPr="00CF5A4B">
        <w:rPr>
          <w:rFonts w:asciiTheme="minorHAnsi" w:hAnsiTheme="minorHAnsi" w:cstheme="minorHAnsi"/>
          <w:bCs/>
          <w:sz w:val="24"/>
          <w:szCs w:val="24"/>
        </w:rPr>
        <w:t xml:space="preserve"> </w:t>
      </w:r>
      <w:r w:rsidRPr="00CF5A4B">
        <w:rPr>
          <w:rFonts w:asciiTheme="minorHAnsi" w:hAnsiTheme="minorHAnsi" w:cstheme="minorHAnsi"/>
          <w:bCs/>
          <w:sz w:val="24"/>
          <w:szCs w:val="24"/>
        </w:rPr>
        <w:t>Jeśli scenariusz bezinwestycyjny będzie zakładał poniesienie  dodatkowych nakładów celem zapewnienia funkcjonalności infrastruktury , należy ująć je pod pozycją nakładów odtworzeniowych. Ponadto, w scenariuszu bezinwestycyjnym należy uwzględnić wszystkie kategorie kosztów, które są niezbędne do przeprowadzenia analizy</w:t>
      </w:r>
      <w:r w:rsidRPr="004B77D6">
        <w:rPr>
          <w:rFonts w:asciiTheme="minorHAnsi" w:hAnsiTheme="minorHAnsi" w:cstheme="minorHAnsi"/>
          <w:bCs/>
          <w:sz w:val="24"/>
          <w:szCs w:val="24"/>
        </w:rPr>
        <w:t xml:space="preserve"> trwałości beneficjenta z projektem, w tym również tych ponoszonych poza projektem. Należy pamiętać, że jeżeli przedmiotowe koszty zostaną ujęte zarówno w ramach wariantu bezinwestycyjnego, jak i inwestycyjnego, </w:t>
      </w:r>
      <w:r w:rsidR="00BA5C81">
        <w:rPr>
          <w:rFonts w:asciiTheme="minorHAnsi" w:hAnsiTheme="minorHAnsi" w:cstheme="minorHAnsi"/>
          <w:bCs/>
          <w:sz w:val="24"/>
          <w:szCs w:val="24"/>
        </w:rPr>
        <w:br/>
      </w:r>
      <w:r w:rsidRPr="004B77D6">
        <w:rPr>
          <w:rFonts w:asciiTheme="minorHAnsi" w:hAnsiTheme="minorHAnsi" w:cstheme="minorHAnsi"/>
          <w:bCs/>
          <w:sz w:val="24"/>
          <w:szCs w:val="24"/>
        </w:rPr>
        <w:t>to w rachunku różnicowym zniosą się wzajemnie, a zatem nie będą miały wpływu na analizę finansową projektu</w:t>
      </w:r>
      <w:r w:rsidRPr="004B77D6">
        <w:rPr>
          <w:rStyle w:val="Odwoanieprzypisudolnego"/>
          <w:rFonts w:asciiTheme="minorHAnsi" w:hAnsiTheme="minorHAnsi" w:cstheme="minorHAnsi"/>
          <w:bCs/>
          <w:sz w:val="24"/>
          <w:szCs w:val="24"/>
        </w:rPr>
        <w:footnoteReference w:id="5"/>
      </w:r>
      <w:r w:rsidRPr="004B77D6">
        <w:rPr>
          <w:rFonts w:asciiTheme="minorHAnsi" w:hAnsiTheme="minorHAnsi" w:cstheme="minorHAnsi"/>
          <w:bCs/>
          <w:sz w:val="24"/>
          <w:szCs w:val="24"/>
        </w:rPr>
        <w:t>.</w:t>
      </w:r>
    </w:p>
    <w:p w14:paraId="4C24A1B0" w14:textId="1993DEF4" w:rsidR="00C2071D" w:rsidRPr="004B77D6" w:rsidRDefault="00C2071D" w:rsidP="00E438CC">
      <w:pPr>
        <w:keepNext/>
        <w:suppressAutoHyphens w:val="0"/>
        <w:autoSpaceDE w:val="0"/>
        <w:autoSpaceDN w:val="0"/>
        <w:adjustRightInd w:val="0"/>
        <w:spacing w:after="120" w:line="276" w:lineRule="auto"/>
        <w:rPr>
          <w:rFonts w:asciiTheme="minorHAnsi" w:hAnsiTheme="minorHAnsi" w:cstheme="minorHAnsi"/>
          <w:szCs w:val="24"/>
        </w:rPr>
      </w:pPr>
      <w:r w:rsidRPr="004B77D6">
        <w:rPr>
          <w:rFonts w:asciiTheme="minorHAnsi" w:hAnsiTheme="minorHAnsi" w:cstheme="minorHAnsi"/>
          <w:b/>
          <w:bCs/>
          <w:szCs w:val="24"/>
        </w:rPr>
        <w:lastRenderedPageBreak/>
        <w:t xml:space="preserve">Stopa dyskontowa: </w:t>
      </w:r>
      <w:r w:rsidRPr="004B77D6">
        <w:rPr>
          <w:rFonts w:asciiTheme="minorHAnsi" w:hAnsiTheme="minorHAnsi" w:cstheme="minorHAnsi"/>
          <w:szCs w:val="24"/>
        </w:rPr>
        <w:t>stopa, przy użyciu której przyszłe wartości sprowadza się do wartości bieżącej, wyrażająca alternatywny koszt kapitału.</w:t>
      </w:r>
    </w:p>
    <w:p w14:paraId="3AF9EBFE" w14:textId="571D249C" w:rsidR="006350E5" w:rsidRPr="004B77D6" w:rsidRDefault="006350E5" w:rsidP="00E438CC">
      <w:pPr>
        <w:keepNext/>
        <w:suppressAutoHyphens w:val="0"/>
        <w:autoSpaceDE w:val="0"/>
        <w:autoSpaceDN w:val="0"/>
        <w:adjustRightInd w:val="0"/>
        <w:spacing w:after="120" w:line="276" w:lineRule="auto"/>
        <w:rPr>
          <w:rFonts w:asciiTheme="minorHAnsi" w:hAnsiTheme="minorHAnsi" w:cstheme="minorHAnsi"/>
          <w:szCs w:val="24"/>
        </w:rPr>
      </w:pPr>
      <w:r w:rsidRPr="004B77D6">
        <w:rPr>
          <w:rFonts w:asciiTheme="minorHAnsi" w:hAnsiTheme="minorHAnsi" w:cstheme="minorHAnsi"/>
          <w:b/>
          <w:bCs/>
          <w:szCs w:val="24"/>
        </w:rPr>
        <w:t>Ustawa wdrożeniowa</w:t>
      </w:r>
      <w:r w:rsidRPr="004B77D6">
        <w:rPr>
          <w:rFonts w:asciiTheme="minorHAnsi" w:hAnsiTheme="minorHAnsi" w:cstheme="minorHAnsi"/>
          <w:szCs w:val="24"/>
        </w:rPr>
        <w:t>: ustawa z dnia 28 kwietnia 2022 r. o zasadach realizacji zadań finansowanych ze środków europejskich w perspektywie finansowej 2021-2027 (</w:t>
      </w:r>
      <w:proofErr w:type="spellStart"/>
      <w:r w:rsidR="00837A71" w:rsidRPr="0030661B">
        <w:rPr>
          <w:rFonts w:asciiTheme="minorHAnsi" w:hAnsiTheme="minorHAnsi" w:cstheme="minorHAnsi"/>
          <w:szCs w:val="24"/>
        </w:rPr>
        <w:t>t.j</w:t>
      </w:r>
      <w:proofErr w:type="spellEnd"/>
      <w:r w:rsidR="00837A71" w:rsidRPr="0030661B">
        <w:rPr>
          <w:rFonts w:asciiTheme="minorHAnsi" w:hAnsiTheme="minorHAnsi" w:cstheme="minorHAnsi"/>
          <w:szCs w:val="24"/>
        </w:rPr>
        <w:t>. Dz.U. 2025 poz. 1733 ze zm.</w:t>
      </w:r>
      <w:r w:rsidRPr="004B77D6">
        <w:rPr>
          <w:rFonts w:asciiTheme="minorHAnsi" w:hAnsiTheme="minorHAnsi" w:cstheme="minorHAnsi"/>
          <w:szCs w:val="24"/>
        </w:rPr>
        <w:t>).</w:t>
      </w:r>
    </w:p>
    <w:p w14:paraId="445B3859" w14:textId="08D5738B" w:rsidR="006350E5" w:rsidRPr="004B77D6" w:rsidRDefault="006350E5" w:rsidP="00E438CC">
      <w:pPr>
        <w:keepNext/>
        <w:suppressAutoHyphens w:val="0"/>
        <w:autoSpaceDE w:val="0"/>
        <w:autoSpaceDN w:val="0"/>
        <w:adjustRightInd w:val="0"/>
        <w:spacing w:after="120" w:line="276" w:lineRule="auto"/>
        <w:rPr>
          <w:rFonts w:asciiTheme="minorHAnsi" w:hAnsiTheme="minorHAnsi" w:cstheme="minorHAnsi"/>
          <w:szCs w:val="24"/>
        </w:rPr>
      </w:pPr>
      <w:r w:rsidRPr="004B77D6">
        <w:rPr>
          <w:rFonts w:asciiTheme="minorHAnsi" w:hAnsiTheme="minorHAnsi" w:cstheme="minorHAnsi"/>
          <w:b/>
          <w:bCs/>
          <w:szCs w:val="24"/>
        </w:rPr>
        <w:t>Vademecum AE</w:t>
      </w:r>
      <w:r w:rsidRPr="004B77D6">
        <w:rPr>
          <w:rStyle w:val="Odwoanieprzypisudolnego"/>
          <w:rFonts w:asciiTheme="minorHAnsi" w:hAnsiTheme="minorHAnsi" w:cstheme="minorHAnsi"/>
          <w:b/>
          <w:bCs/>
          <w:szCs w:val="24"/>
        </w:rPr>
        <w:footnoteReference w:id="6"/>
      </w:r>
      <w:r w:rsidRPr="004B77D6">
        <w:rPr>
          <w:rFonts w:asciiTheme="minorHAnsi" w:hAnsiTheme="minorHAnsi" w:cstheme="minorHAnsi"/>
          <w:b/>
          <w:bCs/>
          <w:szCs w:val="24"/>
        </w:rPr>
        <w:t>:</w:t>
      </w:r>
      <w:r w:rsidRPr="004B77D6">
        <w:rPr>
          <w:rFonts w:asciiTheme="minorHAnsi" w:hAnsiTheme="minorHAnsi" w:cstheme="minorHAnsi"/>
          <w:szCs w:val="24"/>
        </w:rPr>
        <w:t xml:space="preserve"> Vademecum analizy ekonomicznej (ang. </w:t>
      </w:r>
      <w:proofErr w:type="spellStart"/>
      <w:r w:rsidRPr="004B77D6">
        <w:rPr>
          <w:rFonts w:asciiTheme="minorHAnsi" w:hAnsiTheme="minorHAnsi" w:cstheme="minorHAnsi"/>
          <w:szCs w:val="24"/>
        </w:rPr>
        <w:t>Economic</w:t>
      </w:r>
      <w:proofErr w:type="spellEnd"/>
      <w:r w:rsidRPr="004B77D6">
        <w:rPr>
          <w:rFonts w:asciiTheme="minorHAnsi" w:hAnsiTheme="minorHAnsi" w:cstheme="minorHAnsi"/>
          <w:szCs w:val="24"/>
        </w:rPr>
        <w:t xml:space="preserve"> </w:t>
      </w:r>
      <w:proofErr w:type="spellStart"/>
      <w:r w:rsidRPr="004B77D6">
        <w:rPr>
          <w:rFonts w:asciiTheme="minorHAnsi" w:hAnsiTheme="minorHAnsi" w:cstheme="minorHAnsi"/>
          <w:szCs w:val="24"/>
        </w:rPr>
        <w:t>Appraisal</w:t>
      </w:r>
      <w:proofErr w:type="spellEnd"/>
      <w:r w:rsidRPr="004B77D6">
        <w:rPr>
          <w:rFonts w:asciiTheme="minorHAnsi" w:hAnsiTheme="minorHAnsi" w:cstheme="minorHAnsi"/>
          <w:szCs w:val="24"/>
        </w:rPr>
        <w:t xml:space="preserve"> Vademecum 2021-2027), Komisja Europejska, wrzesień 2021. Dokument odnosi się przede wszystkim do analizy ekonomicznej, ale zawiera również odniesienia do analizy finansowej. Składa się z 2 części – ogólnej i sektorowej. Uzupełnienie dokumentu stanowi arkusz kalkulacyjny, który instytucje zarządzające mogą wykorzystać (bezpośrednio lub po uprzednim dostosowaniu) jako narzędzie do przeprowadzenia analizy ekonomicznej i ew. finansowej. Dokumentem powiązanym z Vademecum AE jest Przewodnik AKK (patrz: Wykaz pojęć – Przewodnik AKK)</w:t>
      </w:r>
    </w:p>
    <w:p w14:paraId="336B8247" w14:textId="49D6BCB4" w:rsidR="00F3330D" w:rsidRPr="004B77D6" w:rsidRDefault="00C2071D" w:rsidP="00E438CC">
      <w:pPr>
        <w:suppressAutoHyphens w:val="0"/>
        <w:spacing w:after="120" w:line="276" w:lineRule="auto"/>
        <w:rPr>
          <w:rFonts w:asciiTheme="minorHAnsi" w:hAnsiTheme="minorHAnsi" w:cstheme="minorHAnsi"/>
          <w:szCs w:val="24"/>
        </w:rPr>
      </w:pPr>
      <w:r w:rsidRPr="004B77D6">
        <w:rPr>
          <w:rFonts w:asciiTheme="minorHAnsi" w:hAnsiTheme="minorHAnsi" w:cstheme="minorHAnsi"/>
          <w:b/>
          <w:bCs/>
          <w:szCs w:val="24"/>
        </w:rPr>
        <w:t xml:space="preserve">Wartość rezydualna: </w:t>
      </w:r>
      <w:r w:rsidR="00F3330D" w:rsidRPr="004B77D6">
        <w:rPr>
          <w:rFonts w:asciiTheme="minorHAnsi" w:hAnsiTheme="minorHAnsi" w:cstheme="minorHAnsi"/>
          <w:szCs w:val="24"/>
        </w:rPr>
        <w:t xml:space="preserve">potencjał finansowy lub ekonomiczny projektu w pozostałych latach jego trwania (życia ekonomicznego), obliczony w ostatnim roku okresu odniesienia przyjętego do analizy. Wartość ta będzie zerowa lub bliska </w:t>
      </w:r>
      <w:r w:rsidR="006E53A8" w:rsidRPr="004B77D6">
        <w:rPr>
          <w:rFonts w:asciiTheme="minorHAnsi" w:hAnsiTheme="minorHAnsi" w:cstheme="minorHAnsi"/>
          <w:szCs w:val="24"/>
        </w:rPr>
        <w:t>zeru,</w:t>
      </w:r>
      <w:r w:rsidR="00F3330D" w:rsidRPr="004B77D6">
        <w:rPr>
          <w:rFonts w:asciiTheme="minorHAnsi" w:hAnsiTheme="minorHAnsi" w:cstheme="minorHAnsi"/>
          <w:szCs w:val="24"/>
        </w:rPr>
        <w:t xml:space="preserve"> jeżeli okres odniesienia będzie zbliżony do okresu życia ekonomicznego danych aktywów trwałych. Jeżeli okres życia ekonomicznego aktywów trwałych przekracza okres odniesienia, wówczas okres ten kończy się z upływem roku, w którym całkowicie zamortyzują się te aktywa. Jeżeli natomiast okres życia ekonomicznego aktywów trwałych jest krótszy niż okres odniesienia, wówczas okres ten kończy się z upływem roku, w którym całkowicie zamortyzują się nakłady odtworzeniowe poniesione w okresie odniesienia, w czasie trwania amortyzacji. W analizie finansowej wartość rezydualna określana jest w oparciu o: a) bieżącą wartość netto przepływów pieniężnych, wygenerowanych przez projekt w pozostałych latach jego trwania (życia ekonomicznego), następujących po zakończeniu okresu odniesienia (patrz: Wykaz pojęć – okres odniesienia), b) inne metody, np. wycenę wartości aktywów trwałych netto, określoną przy wykorzystaniu metody i okresu amortyzacji zgodnych z polityką rachunkowości beneficjenta/operatora. W przypadku analizy ekonomicznej, metoda określania wartości rezydualnej jest zależna od metody zastosowanej w analizie finansowej: </w:t>
      </w:r>
    </w:p>
    <w:p w14:paraId="0F941687" w14:textId="77777777" w:rsidR="0011322D" w:rsidRPr="0011322D" w:rsidRDefault="00F3330D" w:rsidP="004D0859">
      <w:pPr>
        <w:pStyle w:val="Akapitzlist"/>
        <w:numPr>
          <w:ilvl w:val="0"/>
          <w:numId w:val="73"/>
        </w:numPr>
        <w:spacing w:after="120"/>
        <w:rPr>
          <w:rFonts w:asciiTheme="minorHAnsi" w:hAnsiTheme="minorHAnsi" w:cstheme="minorHAnsi"/>
          <w:sz w:val="24"/>
          <w:szCs w:val="28"/>
        </w:rPr>
      </w:pPr>
      <w:r w:rsidRPr="0011322D">
        <w:rPr>
          <w:rFonts w:asciiTheme="minorHAnsi" w:hAnsiTheme="minorHAnsi" w:cstheme="minorHAnsi"/>
          <w:sz w:val="24"/>
          <w:szCs w:val="28"/>
        </w:rPr>
        <w:t xml:space="preserve">metoda bieżącą wartość netto przepływów ekonomicznych, wygenerowanych przez projekt w pozostałych latach jego trwania (życia ekonomicznego), następujących po zakończeniu okresu odniesienia (patrz: Wykaz pojęć – okres odniesienia), jeśli tę metodę zastosowana w analizie finansowej; </w:t>
      </w:r>
    </w:p>
    <w:p w14:paraId="758D255A" w14:textId="39C9D8EF" w:rsidR="00F3330D" w:rsidRPr="0011322D" w:rsidRDefault="00F3330D" w:rsidP="004D0859">
      <w:pPr>
        <w:pStyle w:val="Akapitzlist"/>
        <w:numPr>
          <w:ilvl w:val="0"/>
          <w:numId w:val="73"/>
        </w:numPr>
        <w:spacing w:after="120"/>
        <w:rPr>
          <w:rFonts w:asciiTheme="minorHAnsi" w:hAnsiTheme="minorHAnsi" w:cstheme="minorHAnsi"/>
          <w:sz w:val="24"/>
          <w:szCs w:val="28"/>
        </w:rPr>
      </w:pPr>
      <w:r w:rsidRPr="0011322D">
        <w:rPr>
          <w:rFonts w:asciiTheme="minorHAnsi" w:hAnsiTheme="minorHAnsi" w:cstheme="minorHAnsi"/>
          <w:sz w:val="24"/>
          <w:szCs w:val="28"/>
        </w:rPr>
        <w:t xml:space="preserve">zastosowanie odpowiedniego wskaźnika konwersji w stosunku do oszacowanej wartości aktywów trwałych, jeśli w analizie finansowej zastosowano jedną z „innych metod”, </w:t>
      </w:r>
      <w:r w:rsidRPr="0011322D">
        <w:rPr>
          <w:rFonts w:asciiTheme="minorHAnsi" w:hAnsiTheme="minorHAnsi" w:cstheme="minorHAnsi"/>
          <w:sz w:val="24"/>
          <w:szCs w:val="28"/>
        </w:rPr>
        <w:br/>
        <w:t xml:space="preserve">o których mowa w punkcie b) powyżej. </w:t>
      </w:r>
    </w:p>
    <w:p w14:paraId="6BBF1E79" w14:textId="1D1CB34C" w:rsidR="00C2071D" w:rsidRPr="004B77D6" w:rsidRDefault="00F3330D" w:rsidP="00F3330D">
      <w:pPr>
        <w:suppressAutoHyphens w:val="0"/>
        <w:spacing w:after="120" w:line="276" w:lineRule="auto"/>
        <w:rPr>
          <w:rFonts w:asciiTheme="minorHAnsi" w:hAnsiTheme="minorHAnsi" w:cstheme="minorHAnsi"/>
          <w:szCs w:val="24"/>
        </w:rPr>
      </w:pPr>
      <w:r w:rsidRPr="004B77D6">
        <w:rPr>
          <w:rFonts w:asciiTheme="minorHAnsi" w:hAnsiTheme="minorHAnsi" w:cstheme="minorHAnsi"/>
          <w:szCs w:val="24"/>
        </w:rPr>
        <w:lastRenderedPageBreak/>
        <w:t xml:space="preserve">Wybór metody obliczania wartości rezydualnej w analizie finansowej i ekonomicznej, którą należy stosować w odniesieniu do danego typu projektu/działania w ramach priorytetu programu leży w kompetencji instytucji zarządzającej, z zastrzeżeniem, że wybrane przez nią podejście będzie stosowane przez wszystkich </w:t>
      </w:r>
      <w:r w:rsidR="004E4EE7">
        <w:rPr>
          <w:rFonts w:asciiTheme="minorHAnsi" w:hAnsiTheme="minorHAnsi" w:cstheme="minorHAnsi"/>
          <w:szCs w:val="24"/>
        </w:rPr>
        <w:t>W</w:t>
      </w:r>
      <w:r w:rsidRPr="004B77D6">
        <w:rPr>
          <w:rFonts w:asciiTheme="minorHAnsi" w:hAnsiTheme="minorHAnsi" w:cstheme="minorHAnsi"/>
          <w:szCs w:val="24"/>
        </w:rPr>
        <w:t xml:space="preserve">nioskodawców, w ramach tego samego typu projektu/działania w ramach programu. Dopuszczalne jest, aby w ramach jednego projektu zastosowana została zarówno metoda oparta na bieżącej wartości netto przepływów pieniężnych, jak i inna metoda, np. metoda wyceny wartości aktywów trwałych netto. Należy przy tym pamiętać, że zastosowanie metody innej niż metody opartej o wartość przepływów pieniężnych wymaga uzasadnienia. Takie uzasadnienie może stanowić fakt, że dany składnik projektu nie generuje przychodów, ani oszczędności kosztów operacyjnych. W przypadku, </w:t>
      </w:r>
      <w:r w:rsidRPr="004B77D6">
        <w:rPr>
          <w:rFonts w:asciiTheme="minorHAnsi" w:hAnsiTheme="minorHAnsi" w:cstheme="minorHAnsi"/>
          <w:szCs w:val="24"/>
        </w:rPr>
        <w:br/>
        <w:t>w którym budynki użyteczności publicznej (w rozumieniu rozporządzenia Ministra Infrastruktury z dnia 12 kwietnia 2002 r. w sprawie warunków technicznych, jakim powinny odpowiadać budynki i ich usytuowanie (</w:t>
      </w:r>
      <w:proofErr w:type="spellStart"/>
      <w:r w:rsidR="00672030">
        <w:rPr>
          <w:rFonts w:asciiTheme="minorHAnsi" w:hAnsiTheme="minorHAnsi" w:cstheme="minorHAnsi"/>
          <w:szCs w:val="24"/>
        </w:rPr>
        <w:t>t.j</w:t>
      </w:r>
      <w:proofErr w:type="spellEnd"/>
      <w:r w:rsidR="00672030">
        <w:rPr>
          <w:rFonts w:asciiTheme="minorHAnsi" w:hAnsiTheme="minorHAnsi" w:cstheme="minorHAnsi"/>
          <w:szCs w:val="24"/>
        </w:rPr>
        <w:t xml:space="preserve">. </w:t>
      </w:r>
      <w:r w:rsidRPr="004B77D6">
        <w:rPr>
          <w:rFonts w:asciiTheme="minorHAnsi" w:hAnsiTheme="minorHAnsi" w:cstheme="minorHAnsi"/>
          <w:szCs w:val="24"/>
        </w:rPr>
        <w:t>Dz. U. z 2022 r. poz. 1225) lub budynki mieszkalne wielorodzinne, będące przedmiotem projektu, będą wykorzystywane w ten sam sposób po zakończeniu okresu odniesienia, a ponadto nie ma możliwości potencjalnego osiągnięcia korzyści finansowej w wyniku ich sprzedaży, dopuszczalne jest przyjęcie założenia, iż wartość rezydualna wynosi 0</w:t>
      </w:r>
      <w:r w:rsidRPr="004B77D6">
        <w:rPr>
          <w:rStyle w:val="Odwoanieprzypisudolnego"/>
          <w:rFonts w:asciiTheme="minorHAnsi" w:hAnsiTheme="minorHAnsi" w:cstheme="minorHAnsi"/>
          <w:szCs w:val="24"/>
        </w:rPr>
        <w:footnoteReference w:id="7"/>
      </w:r>
      <w:r w:rsidRPr="004B77D6">
        <w:rPr>
          <w:rFonts w:asciiTheme="minorHAnsi" w:hAnsiTheme="minorHAnsi" w:cstheme="minorHAnsi"/>
          <w:szCs w:val="24"/>
        </w:rPr>
        <w:t>.</w:t>
      </w:r>
    </w:p>
    <w:p w14:paraId="6B75AF24" w14:textId="65C76CE6" w:rsidR="00F3330D" w:rsidRPr="004B77D6" w:rsidRDefault="00C2071D" w:rsidP="00E438CC">
      <w:pPr>
        <w:suppressAutoHyphens w:val="0"/>
        <w:autoSpaceDE w:val="0"/>
        <w:autoSpaceDN w:val="0"/>
        <w:adjustRightInd w:val="0"/>
        <w:spacing w:after="120" w:line="276" w:lineRule="auto"/>
        <w:rPr>
          <w:rFonts w:asciiTheme="minorHAnsi" w:hAnsiTheme="minorHAnsi" w:cstheme="minorHAnsi"/>
          <w:szCs w:val="24"/>
        </w:rPr>
      </w:pPr>
      <w:r w:rsidRPr="004B77D6">
        <w:rPr>
          <w:rFonts w:asciiTheme="minorHAnsi" w:hAnsiTheme="minorHAnsi" w:cstheme="minorHAnsi"/>
          <w:b/>
          <w:bCs/>
          <w:szCs w:val="24"/>
        </w:rPr>
        <w:t xml:space="preserve">Wewnętrzna stopa zwrotu </w:t>
      </w:r>
      <w:r w:rsidRPr="004B77D6">
        <w:rPr>
          <w:rFonts w:asciiTheme="minorHAnsi" w:hAnsiTheme="minorHAnsi" w:cstheme="minorHAnsi"/>
          <w:bCs/>
          <w:szCs w:val="24"/>
        </w:rPr>
        <w:t xml:space="preserve">(ang. </w:t>
      </w:r>
      <w:proofErr w:type="spellStart"/>
      <w:r w:rsidRPr="004B77D6">
        <w:rPr>
          <w:rFonts w:asciiTheme="minorHAnsi" w:hAnsiTheme="minorHAnsi" w:cstheme="minorHAnsi"/>
          <w:bCs/>
          <w:i/>
          <w:szCs w:val="24"/>
        </w:rPr>
        <w:t>Internal</w:t>
      </w:r>
      <w:proofErr w:type="spellEnd"/>
      <w:r w:rsidRPr="004B77D6">
        <w:rPr>
          <w:rFonts w:asciiTheme="minorHAnsi" w:hAnsiTheme="minorHAnsi" w:cstheme="minorHAnsi"/>
          <w:bCs/>
          <w:i/>
          <w:szCs w:val="24"/>
        </w:rPr>
        <w:t xml:space="preserve"> </w:t>
      </w:r>
      <w:proofErr w:type="spellStart"/>
      <w:r w:rsidRPr="004B77D6">
        <w:rPr>
          <w:rFonts w:asciiTheme="minorHAnsi" w:hAnsiTheme="minorHAnsi" w:cstheme="minorHAnsi"/>
          <w:bCs/>
          <w:i/>
          <w:szCs w:val="24"/>
        </w:rPr>
        <w:t>Rate</w:t>
      </w:r>
      <w:proofErr w:type="spellEnd"/>
      <w:r w:rsidRPr="004B77D6">
        <w:rPr>
          <w:rFonts w:asciiTheme="minorHAnsi" w:hAnsiTheme="minorHAnsi" w:cstheme="minorHAnsi"/>
          <w:bCs/>
          <w:i/>
          <w:szCs w:val="24"/>
        </w:rPr>
        <w:t xml:space="preserve"> of Return – </w:t>
      </w:r>
      <w:r w:rsidRPr="004B77D6">
        <w:rPr>
          <w:rFonts w:asciiTheme="minorHAnsi" w:hAnsiTheme="minorHAnsi" w:cstheme="minorHAnsi"/>
          <w:bCs/>
          <w:szCs w:val="24"/>
        </w:rPr>
        <w:t>IRR)</w:t>
      </w:r>
      <w:r w:rsidRPr="004B77D6">
        <w:rPr>
          <w:rFonts w:asciiTheme="minorHAnsi" w:hAnsiTheme="minorHAnsi" w:cstheme="minorHAnsi"/>
          <w:b/>
          <w:bCs/>
          <w:szCs w:val="24"/>
        </w:rPr>
        <w:t xml:space="preserve">: </w:t>
      </w:r>
      <w:r w:rsidR="00F3330D" w:rsidRPr="004B77D6">
        <w:rPr>
          <w:rFonts w:asciiTheme="minorHAnsi" w:hAnsiTheme="minorHAnsi" w:cstheme="minorHAnsi"/>
          <w:szCs w:val="24"/>
        </w:rPr>
        <w:t>stopa dyskontowa, przy której bieżąca wartość netto strumienia kosztów i korzyści jest równa 0. W ramach analizy finansowej ustalana jest FRR. Natomiast w ramach analizy ekonomicznej otrzymujemy ekonomiczną stopę zwrotu ERR. Wewnętrzną stopę zwrotu porównuje się z wysokością wskaźnika wzorcowego (np. wysokością stopy dyskontowej przyjętej do analizy, wyrażającej alternatywny koszt kapitału), aby ocenić efektywność proponowanego projektu.</w:t>
      </w:r>
    </w:p>
    <w:p w14:paraId="4A346AAB" w14:textId="651F9145" w:rsidR="00C2071D" w:rsidRPr="004B77D6" w:rsidRDefault="00C2071D" w:rsidP="00E438CC">
      <w:pPr>
        <w:suppressAutoHyphens w:val="0"/>
        <w:autoSpaceDE w:val="0"/>
        <w:autoSpaceDN w:val="0"/>
        <w:adjustRightInd w:val="0"/>
        <w:spacing w:after="120" w:line="276" w:lineRule="auto"/>
        <w:rPr>
          <w:rFonts w:asciiTheme="minorHAnsi" w:hAnsiTheme="minorHAnsi" w:cstheme="minorHAnsi"/>
          <w:bCs/>
          <w:szCs w:val="24"/>
        </w:rPr>
      </w:pPr>
      <w:r w:rsidRPr="004B77D6">
        <w:rPr>
          <w:rFonts w:asciiTheme="minorHAnsi" w:hAnsiTheme="minorHAnsi" w:cstheme="minorHAnsi"/>
          <w:b/>
          <w:bCs/>
          <w:szCs w:val="24"/>
        </w:rPr>
        <w:t xml:space="preserve">Wynagrodzenie ukryte: </w:t>
      </w:r>
      <w:r w:rsidRPr="004B77D6">
        <w:rPr>
          <w:rFonts w:asciiTheme="minorHAnsi" w:hAnsiTheme="minorHAnsi" w:cstheme="minorHAnsi"/>
          <w:bCs/>
          <w:szCs w:val="24"/>
        </w:rPr>
        <w:t>wynagrodzenie odzwierciedlające rzeczywisty alternatywny koszt pracy, o poziomie innym (na ogół niższym) niż wynagrodzenie obserwowane w gospodarce (tzw. wynagrodzenie finansowe), na skutek zniekształceń rynku pracy (takich jak płace minimalne, świadczenia z tytułu bezrobocia itp.)</w:t>
      </w:r>
    </w:p>
    <w:p w14:paraId="585D95DB" w14:textId="74093E24" w:rsidR="00F3330D" w:rsidRPr="004B77D6" w:rsidRDefault="00C2071D" w:rsidP="00E438CC">
      <w:pPr>
        <w:suppressAutoHyphens w:val="0"/>
        <w:autoSpaceDE w:val="0"/>
        <w:autoSpaceDN w:val="0"/>
        <w:adjustRightInd w:val="0"/>
        <w:spacing w:after="120" w:line="276" w:lineRule="auto"/>
        <w:rPr>
          <w:rFonts w:asciiTheme="minorHAnsi" w:hAnsiTheme="minorHAnsi" w:cstheme="minorHAnsi"/>
          <w:bCs/>
          <w:szCs w:val="24"/>
        </w:rPr>
      </w:pPr>
      <w:r w:rsidRPr="004B77D6">
        <w:rPr>
          <w:rFonts w:asciiTheme="minorHAnsi" w:hAnsiTheme="minorHAnsi" w:cstheme="minorHAnsi"/>
          <w:b/>
          <w:szCs w:val="24"/>
        </w:rPr>
        <w:t xml:space="preserve">Wytyczne w zakresie kwalifikowalności wydatków: </w:t>
      </w:r>
      <w:r w:rsidR="00F3330D" w:rsidRPr="004B77D6">
        <w:rPr>
          <w:rFonts w:asciiTheme="minorHAnsi" w:hAnsiTheme="minorHAnsi" w:cstheme="minorHAnsi"/>
          <w:bCs/>
          <w:szCs w:val="24"/>
        </w:rPr>
        <w:t>wytyczne dotyczące kwalifikowalności wydatków na lata 2021-2027.</w:t>
      </w:r>
    </w:p>
    <w:p w14:paraId="4A99DBEC" w14:textId="1B250611" w:rsidR="00F3330D" w:rsidRPr="004B77D6" w:rsidRDefault="00F3330D" w:rsidP="00E438CC">
      <w:pPr>
        <w:suppressAutoHyphens w:val="0"/>
        <w:autoSpaceDE w:val="0"/>
        <w:autoSpaceDN w:val="0"/>
        <w:adjustRightInd w:val="0"/>
        <w:spacing w:after="120" w:line="276" w:lineRule="auto"/>
        <w:rPr>
          <w:rFonts w:asciiTheme="minorHAnsi" w:hAnsiTheme="minorHAnsi" w:cstheme="minorHAnsi"/>
          <w:bCs/>
          <w:szCs w:val="24"/>
        </w:rPr>
      </w:pPr>
      <w:r w:rsidRPr="004B77D6">
        <w:rPr>
          <w:rFonts w:asciiTheme="minorHAnsi" w:hAnsiTheme="minorHAnsi" w:cstheme="minorHAnsi"/>
          <w:b/>
          <w:bCs/>
          <w:szCs w:val="24"/>
        </w:rPr>
        <w:t>Zdyskontowane przepływy pieniężne</w:t>
      </w:r>
      <w:r w:rsidRPr="004B77D6">
        <w:rPr>
          <w:rFonts w:asciiTheme="minorHAnsi" w:hAnsiTheme="minorHAnsi" w:cstheme="minorHAnsi"/>
          <w:szCs w:val="24"/>
        </w:rPr>
        <w:t xml:space="preserve"> (ang. </w:t>
      </w:r>
      <w:proofErr w:type="spellStart"/>
      <w:r w:rsidRPr="004B77D6">
        <w:rPr>
          <w:rFonts w:asciiTheme="minorHAnsi" w:hAnsiTheme="minorHAnsi" w:cstheme="minorHAnsi"/>
          <w:szCs w:val="24"/>
        </w:rPr>
        <w:t>Discounted</w:t>
      </w:r>
      <w:proofErr w:type="spellEnd"/>
      <w:r w:rsidRPr="004B77D6">
        <w:rPr>
          <w:rFonts w:asciiTheme="minorHAnsi" w:hAnsiTheme="minorHAnsi" w:cstheme="minorHAnsi"/>
          <w:szCs w:val="24"/>
        </w:rPr>
        <w:t xml:space="preserve"> Cash </w:t>
      </w:r>
      <w:proofErr w:type="spellStart"/>
      <w:r w:rsidRPr="004B77D6">
        <w:rPr>
          <w:rFonts w:asciiTheme="minorHAnsi" w:hAnsiTheme="minorHAnsi" w:cstheme="minorHAnsi"/>
          <w:szCs w:val="24"/>
        </w:rPr>
        <w:t>Flow</w:t>
      </w:r>
      <w:proofErr w:type="spellEnd"/>
      <w:r w:rsidRPr="004B77D6">
        <w:rPr>
          <w:rFonts w:asciiTheme="minorHAnsi" w:hAnsiTheme="minorHAnsi" w:cstheme="minorHAnsi"/>
          <w:szCs w:val="24"/>
        </w:rPr>
        <w:t xml:space="preserve"> – DCF): metoda wyceny projektu, spółki lub jej poszczególnych aktywów, wykorzystująca podejście rachunku wartości pieniądza w czasie. Wszystkie przyszłe przepływy pieniężne są szacowane </w:t>
      </w:r>
      <w:r w:rsidRPr="004B77D6">
        <w:rPr>
          <w:rFonts w:asciiTheme="minorHAnsi" w:hAnsiTheme="minorHAnsi" w:cstheme="minorHAnsi"/>
          <w:szCs w:val="24"/>
        </w:rPr>
        <w:br/>
        <w:t>i dyskontowane w celu określenia ich wartości bieżącej.</w:t>
      </w:r>
    </w:p>
    <w:p w14:paraId="3334964E" w14:textId="1865D285" w:rsidR="00C2071D" w:rsidRDefault="00C2071D" w:rsidP="00E438CC">
      <w:pPr>
        <w:suppressAutoHyphens w:val="0"/>
        <w:autoSpaceDE w:val="0"/>
        <w:autoSpaceDN w:val="0"/>
        <w:adjustRightInd w:val="0"/>
        <w:spacing w:after="120" w:line="276" w:lineRule="auto"/>
        <w:rPr>
          <w:rFonts w:asciiTheme="minorHAnsi" w:hAnsiTheme="minorHAnsi" w:cstheme="minorHAnsi"/>
          <w:bCs/>
          <w:szCs w:val="24"/>
        </w:rPr>
      </w:pPr>
      <w:r w:rsidRPr="004B77D6">
        <w:rPr>
          <w:rFonts w:asciiTheme="minorHAnsi" w:hAnsiTheme="minorHAnsi" w:cstheme="minorHAnsi"/>
          <w:b/>
          <w:bCs/>
          <w:szCs w:val="24"/>
        </w:rPr>
        <w:lastRenderedPageBreak/>
        <w:t>Zmiany w kapitale obrotowym netto:</w:t>
      </w:r>
      <w:r w:rsidRPr="004B77D6">
        <w:rPr>
          <w:rFonts w:asciiTheme="minorHAnsi" w:hAnsiTheme="minorHAnsi" w:cstheme="minorHAnsi"/>
          <w:bCs/>
          <w:szCs w:val="24"/>
        </w:rPr>
        <w:t xml:space="preserve"> wzrost lub spadek kapitału obrotowego netto </w:t>
      </w:r>
      <w:r w:rsidRPr="004B77D6">
        <w:rPr>
          <w:rFonts w:asciiTheme="minorHAnsi" w:hAnsiTheme="minorHAnsi" w:cstheme="minorHAnsi"/>
          <w:bCs/>
          <w:szCs w:val="24"/>
        </w:rPr>
        <w:br/>
        <w:t xml:space="preserve">w danym okresie. Kapitał obrotowy netto stanowi różnicę pomiędzy aktywami bieżącymi </w:t>
      </w:r>
      <w:r w:rsidRPr="004B77D6">
        <w:rPr>
          <w:rFonts w:asciiTheme="minorHAnsi" w:hAnsiTheme="minorHAnsi" w:cstheme="minorHAnsi"/>
          <w:bCs/>
          <w:szCs w:val="24"/>
        </w:rPr>
        <w:br/>
        <w:t>i zobowiązaniami bieżącymi. Ponieważ kapitał obrotowy netto jest z natury zasobem, w celu przekształcenia go w strumień pieniężny uwzględniane powinny być wyłącznie przyrosty roczne, tj. zmiany w stosunku do poziomu kapitału obrotowego netto w poprzednim roku. Wzrost kapitału obrotowego netto w stosunku do poprzedniego roku traktowany jest jako rodzaj nakładu poniesionego w danym roku na rzecz projektu.</w:t>
      </w:r>
    </w:p>
    <w:p w14:paraId="0514BF78" w14:textId="21292349" w:rsidR="00C2071D" w:rsidRPr="004B77D6" w:rsidRDefault="00C2071D" w:rsidP="004D0859">
      <w:pPr>
        <w:pStyle w:val="Nagwek1"/>
        <w:numPr>
          <w:ilvl w:val="2"/>
          <w:numId w:val="6"/>
        </w:numPr>
        <w:tabs>
          <w:tab w:val="num" w:pos="1134"/>
        </w:tabs>
        <w:spacing w:before="120" w:after="120" w:line="276" w:lineRule="auto"/>
        <w:ind w:left="851" w:hanging="851"/>
        <w:rPr>
          <w:rFonts w:ascii="Calibri" w:hAnsi="Calibri"/>
          <w:sz w:val="24"/>
          <w:szCs w:val="24"/>
        </w:rPr>
      </w:pPr>
      <w:bookmarkStart w:id="8" w:name="_Toc477857426"/>
      <w:bookmarkStart w:id="9" w:name="_Toc127344050"/>
      <w:bookmarkStart w:id="10" w:name="_Toc241839698"/>
      <w:r w:rsidRPr="004B77D6">
        <w:rPr>
          <w:rFonts w:ascii="Calibri" w:hAnsi="Calibri"/>
          <w:sz w:val="24"/>
          <w:szCs w:val="24"/>
        </w:rPr>
        <w:t>WSTĘP</w:t>
      </w:r>
      <w:bookmarkEnd w:id="8"/>
      <w:bookmarkEnd w:id="9"/>
      <w:bookmarkEnd w:id="10"/>
    </w:p>
    <w:p w14:paraId="0802088F" w14:textId="568C18EC" w:rsidR="00C2071D" w:rsidRPr="004B77D6" w:rsidRDefault="00C2071D" w:rsidP="00E438CC">
      <w:pPr>
        <w:spacing w:before="120" w:after="120" w:line="276" w:lineRule="auto"/>
        <w:rPr>
          <w:rFonts w:ascii="Calibri" w:hAnsi="Calibri" w:cs="Arial"/>
          <w:bCs/>
          <w:szCs w:val="24"/>
        </w:rPr>
      </w:pPr>
      <w:r w:rsidRPr="004B77D6">
        <w:rPr>
          <w:rFonts w:ascii="Calibri" w:hAnsi="Calibri" w:cs="Arial"/>
          <w:bCs/>
          <w:szCs w:val="24"/>
        </w:rPr>
        <w:t xml:space="preserve">Studium Wykonalności Inwestycji jest obowiązkowym załącznikiem do wniosku </w:t>
      </w:r>
      <w:r w:rsidRPr="004B77D6">
        <w:rPr>
          <w:rFonts w:ascii="Calibri" w:hAnsi="Calibri" w:cs="Arial"/>
          <w:bCs/>
          <w:szCs w:val="24"/>
        </w:rPr>
        <w:br/>
        <w:t xml:space="preserve">o dofinansowanie w ramach </w:t>
      </w:r>
      <w:r w:rsidR="00402E6E" w:rsidRPr="004B77D6">
        <w:rPr>
          <w:rFonts w:ascii="Calibri" w:hAnsi="Calibri" w:cs="Arial"/>
          <w:bCs/>
          <w:szCs w:val="24"/>
        </w:rPr>
        <w:t xml:space="preserve">programu Fundusze Europejskie dla Opolskiego </w:t>
      </w:r>
      <w:r w:rsidRPr="004B77D6">
        <w:rPr>
          <w:rFonts w:ascii="Calibri" w:hAnsi="Calibri" w:cs="Arial"/>
          <w:bCs/>
          <w:szCs w:val="24"/>
        </w:rPr>
        <w:t>20</w:t>
      </w:r>
      <w:r w:rsidR="00402E6E" w:rsidRPr="004B77D6">
        <w:rPr>
          <w:rFonts w:ascii="Calibri" w:hAnsi="Calibri" w:cs="Arial"/>
          <w:bCs/>
          <w:szCs w:val="24"/>
        </w:rPr>
        <w:t>21</w:t>
      </w:r>
      <w:r w:rsidRPr="004B77D6">
        <w:rPr>
          <w:rFonts w:ascii="Calibri" w:hAnsi="Calibri" w:cs="Arial"/>
          <w:bCs/>
          <w:szCs w:val="24"/>
        </w:rPr>
        <w:t>-202</w:t>
      </w:r>
      <w:r w:rsidR="00402E6E" w:rsidRPr="004B77D6">
        <w:rPr>
          <w:rFonts w:ascii="Calibri" w:hAnsi="Calibri" w:cs="Arial"/>
          <w:bCs/>
          <w:szCs w:val="24"/>
        </w:rPr>
        <w:t>7</w:t>
      </w:r>
      <w:r w:rsidRPr="004B77D6">
        <w:rPr>
          <w:rFonts w:ascii="Calibri" w:hAnsi="Calibri" w:cs="Arial"/>
          <w:bCs/>
          <w:szCs w:val="24"/>
        </w:rPr>
        <w:t xml:space="preserve">. </w:t>
      </w:r>
    </w:p>
    <w:p w14:paraId="510EFEA2" w14:textId="5A7AC21C" w:rsidR="00C2071D" w:rsidRPr="004B77D6" w:rsidRDefault="00C2071D" w:rsidP="00E438CC">
      <w:pPr>
        <w:spacing w:before="120" w:after="120" w:line="276" w:lineRule="auto"/>
        <w:rPr>
          <w:rFonts w:ascii="Calibri" w:hAnsi="Calibri"/>
          <w:szCs w:val="24"/>
        </w:rPr>
      </w:pPr>
      <w:r w:rsidRPr="004B77D6">
        <w:rPr>
          <w:rFonts w:ascii="Calibri" w:hAnsi="Calibri" w:cs="Arial"/>
          <w:bCs/>
          <w:szCs w:val="24"/>
        </w:rPr>
        <w:t>Niniejsza instrukcja została sporządzona z myślą o osobach przygotowujących Studia Wykonalności. Dokument zawiera wytyczne pozwalające na opracowanie Studium w taki sposób, aby eksperci mogli uzyskać wystarczającą informację niezbędną do dokonania oceny i analizy projektu w oparciu o jasno określone przez Instytucję Zarządzającą kryteria merytoryczne, finansowe i ekonomiczne. Wszelkie dane zawarte w SWI powinny w pełni odpowiadać stanowi faktycznemu</w:t>
      </w:r>
      <w:r w:rsidRPr="004B77D6">
        <w:rPr>
          <w:rFonts w:ascii="Calibri" w:hAnsi="Calibri"/>
          <w:szCs w:val="24"/>
        </w:rPr>
        <w:t xml:space="preserve">, </w:t>
      </w:r>
      <w:r w:rsidR="00F850B4">
        <w:rPr>
          <w:rFonts w:ascii="Calibri" w:hAnsi="Calibri"/>
          <w:b/>
          <w:i/>
          <w:szCs w:val="24"/>
        </w:rPr>
        <w:t>W</w:t>
      </w:r>
      <w:r w:rsidRPr="004B77D6">
        <w:rPr>
          <w:rFonts w:ascii="Calibri" w:hAnsi="Calibri"/>
          <w:b/>
          <w:i/>
          <w:szCs w:val="24"/>
        </w:rPr>
        <w:t>nioskodawca ponosi pełną odpowiedzialność za informacje zawarte w składanych dokumentach</w:t>
      </w:r>
      <w:r w:rsidRPr="004B77D6">
        <w:rPr>
          <w:rFonts w:ascii="Calibri" w:hAnsi="Calibri"/>
          <w:szCs w:val="24"/>
        </w:rPr>
        <w:t>.</w:t>
      </w:r>
    </w:p>
    <w:p w14:paraId="474B7EE4" w14:textId="56FDE53B" w:rsidR="00C2071D" w:rsidRPr="004B77D6" w:rsidRDefault="00C2071D" w:rsidP="00E438CC">
      <w:pPr>
        <w:autoSpaceDE w:val="0"/>
        <w:autoSpaceDN w:val="0"/>
        <w:adjustRightInd w:val="0"/>
        <w:spacing w:line="276" w:lineRule="auto"/>
        <w:rPr>
          <w:rFonts w:ascii="Calibri" w:hAnsi="Calibri"/>
          <w:szCs w:val="24"/>
        </w:rPr>
      </w:pPr>
      <w:r w:rsidRPr="004B77D6">
        <w:rPr>
          <w:rFonts w:ascii="Calibri" w:hAnsi="Calibri"/>
          <w:szCs w:val="24"/>
        </w:rPr>
        <w:t>W Studium należy szczegółowo opisać cele projektu, sposób ich osiągania i warunki realizacji, zidentyfikować możliwości inwestycyjne, w oparciu o</w:t>
      </w:r>
      <w:r w:rsidRPr="004B77D6">
        <w:rPr>
          <w:rFonts w:ascii="Calibri" w:eastAsia="TimesNewRoman" w:hAnsi="Calibri"/>
          <w:szCs w:val="24"/>
        </w:rPr>
        <w:t xml:space="preserve"> </w:t>
      </w:r>
      <w:r w:rsidRPr="004B77D6">
        <w:rPr>
          <w:rFonts w:ascii="Calibri" w:hAnsi="Calibri"/>
          <w:szCs w:val="24"/>
        </w:rPr>
        <w:t>wymogi wykonalno</w:t>
      </w:r>
      <w:r w:rsidRPr="004B77D6">
        <w:rPr>
          <w:rFonts w:ascii="Calibri" w:eastAsia="TimesNewRoman" w:hAnsi="Calibri"/>
          <w:szCs w:val="24"/>
        </w:rPr>
        <w:t>ś</w:t>
      </w:r>
      <w:r w:rsidRPr="004B77D6">
        <w:rPr>
          <w:rFonts w:ascii="Calibri" w:hAnsi="Calibri"/>
          <w:szCs w:val="24"/>
        </w:rPr>
        <w:t xml:space="preserve">ci </w:t>
      </w:r>
      <w:r w:rsidRPr="004B77D6">
        <w:rPr>
          <w:rFonts w:ascii="Calibri" w:hAnsi="Calibri"/>
          <w:szCs w:val="24"/>
        </w:rPr>
        <w:br/>
        <w:t>i trwało</w:t>
      </w:r>
      <w:r w:rsidRPr="004B77D6">
        <w:rPr>
          <w:rFonts w:ascii="Calibri" w:eastAsia="TimesNewRoman" w:hAnsi="Calibri"/>
          <w:szCs w:val="24"/>
        </w:rPr>
        <w:t>ś</w:t>
      </w:r>
      <w:r w:rsidRPr="004B77D6">
        <w:rPr>
          <w:rFonts w:ascii="Calibri" w:hAnsi="Calibri"/>
          <w:szCs w:val="24"/>
        </w:rPr>
        <w:t>ci efektów projektu oraz pokazać zasadno</w:t>
      </w:r>
      <w:r w:rsidRPr="004B77D6">
        <w:rPr>
          <w:rFonts w:ascii="Calibri" w:eastAsia="TimesNewRoman" w:hAnsi="Calibri"/>
          <w:szCs w:val="24"/>
        </w:rPr>
        <w:t>ś</w:t>
      </w:r>
      <w:r w:rsidRPr="004B77D6">
        <w:rPr>
          <w:rFonts w:ascii="Calibri" w:hAnsi="Calibri"/>
          <w:szCs w:val="24"/>
        </w:rPr>
        <w:t>ć realizowanego przedsięwzięcia. Zasadno</w:t>
      </w:r>
      <w:r w:rsidRPr="004B77D6">
        <w:rPr>
          <w:rFonts w:ascii="Calibri" w:eastAsia="TimesNewRoman" w:hAnsi="Calibri"/>
          <w:szCs w:val="24"/>
        </w:rPr>
        <w:t xml:space="preserve">ść </w:t>
      </w:r>
      <w:r w:rsidRPr="004B77D6">
        <w:rPr>
          <w:rFonts w:ascii="Calibri" w:hAnsi="Calibri"/>
          <w:szCs w:val="24"/>
        </w:rPr>
        <w:t>musi dotyczy</w:t>
      </w:r>
      <w:r w:rsidRPr="004B77D6">
        <w:rPr>
          <w:rFonts w:ascii="Calibri" w:eastAsia="TimesNewRoman" w:hAnsi="Calibri"/>
          <w:szCs w:val="24"/>
        </w:rPr>
        <w:t xml:space="preserve">ć </w:t>
      </w:r>
      <w:r w:rsidRPr="004B77D6">
        <w:rPr>
          <w:rFonts w:ascii="Calibri" w:hAnsi="Calibri"/>
          <w:szCs w:val="24"/>
        </w:rPr>
        <w:t>wszystkich elementów projektu, gdyż w przeciwnym wypadku koszty dotyczące części nieuzasadnionej trzeba będzie uzna</w:t>
      </w:r>
      <w:r w:rsidRPr="004B77D6">
        <w:rPr>
          <w:rFonts w:ascii="Calibri" w:eastAsia="TimesNewRoman" w:hAnsi="Calibri"/>
          <w:szCs w:val="24"/>
        </w:rPr>
        <w:t xml:space="preserve">ć </w:t>
      </w:r>
      <w:r w:rsidRPr="004B77D6">
        <w:rPr>
          <w:rFonts w:ascii="Calibri" w:hAnsi="Calibri"/>
          <w:szCs w:val="24"/>
        </w:rPr>
        <w:t xml:space="preserve">za niekwalifikowane. </w:t>
      </w:r>
      <w:r w:rsidR="00F6172E">
        <w:rPr>
          <w:rFonts w:ascii="Calibri" w:hAnsi="Calibri"/>
          <w:szCs w:val="24"/>
        </w:rPr>
        <w:t xml:space="preserve">Ponadto zapisy SWI muszą jasno wskazywać, </w:t>
      </w:r>
      <w:r w:rsidR="00F6172E" w:rsidRPr="00F6172E">
        <w:rPr>
          <w:rFonts w:ascii="Calibri" w:hAnsi="Calibri"/>
          <w:bCs/>
          <w:szCs w:val="24"/>
        </w:rPr>
        <w:t xml:space="preserve">że Wnioskodawca posiada niezbędne zasoby </w:t>
      </w:r>
      <w:r w:rsidR="004A44B0">
        <w:rPr>
          <w:rFonts w:ascii="Calibri" w:hAnsi="Calibri"/>
          <w:bCs/>
          <w:szCs w:val="24"/>
        </w:rPr>
        <w:br/>
      </w:r>
      <w:r w:rsidR="00F6172E" w:rsidRPr="00F6172E">
        <w:rPr>
          <w:rFonts w:ascii="Calibri" w:hAnsi="Calibri"/>
          <w:bCs/>
          <w:szCs w:val="24"/>
        </w:rPr>
        <w:t>i mechanizmy finansowe, aby pokryć koszty eksploatacji i utrzymania inwestycji, tak by zapewnić stabilność ich finansowania w okresie trwałości projektu</w:t>
      </w:r>
      <w:r w:rsidR="00F6172E">
        <w:rPr>
          <w:rFonts w:ascii="Calibri" w:hAnsi="Calibri"/>
          <w:bCs/>
          <w:szCs w:val="24"/>
        </w:rPr>
        <w:t>.</w:t>
      </w:r>
      <w:r w:rsidR="00F6172E" w:rsidRPr="00F6172E">
        <w:rPr>
          <w:rFonts w:ascii="Calibri" w:hAnsi="Calibri"/>
          <w:szCs w:val="24"/>
        </w:rPr>
        <w:t xml:space="preserve"> </w:t>
      </w:r>
      <w:r w:rsidRPr="004B77D6">
        <w:rPr>
          <w:rFonts w:ascii="Calibri" w:hAnsi="Calibri"/>
          <w:szCs w:val="24"/>
        </w:rPr>
        <w:t>Instrukcja ta pozwala precyzyjnie zaplanować działanie i zawczasu przewidzieć trudności. Pomaga ocenić opłacalność inwestycji poprzez wcześniejsze oszacowanie kosztów.</w:t>
      </w:r>
    </w:p>
    <w:p w14:paraId="01F67286" w14:textId="6E8EE2EF" w:rsidR="00B34EE2" w:rsidRPr="004B77D6" w:rsidRDefault="00C2071D" w:rsidP="00E438CC">
      <w:pPr>
        <w:autoSpaceDE w:val="0"/>
        <w:autoSpaceDN w:val="0"/>
        <w:adjustRightInd w:val="0"/>
        <w:spacing w:after="120" w:line="276" w:lineRule="auto"/>
        <w:rPr>
          <w:rFonts w:ascii="Calibri" w:hAnsi="Calibri"/>
          <w:szCs w:val="24"/>
        </w:rPr>
      </w:pPr>
      <w:r w:rsidRPr="004B77D6">
        <w:rPr>
          <w:rFonts w:ascii="Calibri" w:hAnsi="Calibri"/>
          <w:szCs w:val="24"/>
        </w:rPr>
        <w:t xml:space="preserve">Opracowując SWI należy mieć na uwadze </w:t>
      </w:r>
      <w:r w:rsidRPr="004B77D6">
        <w:rPr>
          <w:rFonts w:ascii="Calibri" w:hAnsi="Calibri"/>
          <w:i/>
          <w:szCs w:val="24"/>
        </w:rPr>
        <w:t>cykl życia projektu</w:t>
      </w:r>
      <w:r w:rsidRPr="004B77D6">
        <w:rPr>
          <w:rFonts w:ascii="Calibri" w:hAnsi="Calibri"/>
          <w:szCs w:val="24"/>
        </w:rPr>
        <w:t>, uwzględniając kolejno etapy od planowania strategicznego, tj. identyfikacji potrzeb i możliwości, poprzez projektowanie, wdrażanie, rozliczanie i ewaluację.</w:t>
      </w:r>
    </w:p>
    <w:p w14:paraId="30BF7588" w14:textId="77777777" w:rsidR="00C2071D" w:rsidRPr="004B77D6" w:rsidRDefault="00C2071D" w:rsidP="00E438CC">
      <w:pPr>
        <w:spacing w:before="120" w:after="120" w:line="276" w:lineRule="auto"/>
        <w:rPr>
          <w:rFonts w:ascii="Calibri" w:hAnsi="Calibri"/>
          <w:szCs w:val="24"/>
        </w:rPr>
      </w:pPr>
      <w:r w:rsidRPr="004B77D6">
        <w:rPr>
          <w:rFonts w:ascii="Calibri" w:hAnsi="Calibri"/>
          <w:szCs w:val="24"/>
        </w:rPr>
        <w:t>Studium Wykonalności Inwestycji składa się z następujących podstawowych elementów:</w:t>
      </w:r>
    </w:p>
    <w:p w14:paraId="3C0CB68D" w14:textId="77777777" w:rsidR="00C2071D" w:rsidRPr="004B77D6" w:rsidRDefault="00C2071D" w:rsidP="004D0859">
      <w:pPr>
        <w:numPr>
          <w:ilvl w:val="0"/>
          <w:numId w:val="19"/>
        </w:numPr>
        <w:suppressAutoHyphens w:val="0"/>
        <w:spacing w:line="276" w:lineRule="auto"/>
        <w:ind w:firstLine="0"/>
        <w:rPr>
          <w:rFonts w:ascii="Calibri" w:hAnsi="Calibri"/>
          <w:szCs w:val="24"/>
        </w:rPr>
      </w:pPr>
      <w:r w:rsidRPr="004B77D6">
        <w:rPr>
          <w:rFonts w:ascii="Calibri" w:hAnsi="Calibri"/>
          <w:szCs w:val="24"/>
        </w:rPr>
        <w:t>Identyfikacja projektu;</w:t>
      </w:r>
    </w:p>
    <w:p w14:paraId="4EC41863" w14:textId="77777777" w:rsidR="00C2071D" w:rsidRPr="004B77D6" w:rsidRDefault="00C2071D" w:rsidP="004D0859">
      <w:pPr>
        <w:numPr>
          <w:ilvl w:val="0"/>
          <w:numId w:val="19"/>
        </w:numPr>
        <w:suppressAutoHyphens w:val="0"/>
        <w:spacing w:line="276" w:lineRule="auto"/>
        <w:ind w:firstLine="0"/>
        <w:rPr>
          <w:rFonts w:ascii="Calibri" w:hAnsi="Calibri"/>
          <w:szCs w:val="24"/>
        </w:rPr>
      </w:pPr>
      <w:r w:rsidRPr="004B77D6">
        <w:rPr>
          <w:rFonts w:ascii="Calibri" w:hAnsi="Calibri"/>
          <w:szCs w:val="24"/>
        </w:rPr>
        <w:t>Definicja celów projektu;</w:t>
      </w:r>
    </w:p>
    <w:p w14:paraId="53E86DA6" w14:textId="77777777" w:rsidR="00C2071D" w:rsidRPr="004B77D6" w:rsidRDefault="00C2071D" w:rsidP="004D0859">
      <w:pPr>
        <w:numPr>
          <w:ilvl w:val="0"/>
          <w:numId w:val="19"/>
        </w:numPr>
        <w:suppressAutoHyphens w:val="0"/>
        <w:spacing w:line="276" w:lineRule="auto"/>
        <w:ind w:firstLine="0"/>
        <w:rPr>
          <w:rFonts w:ascii="Calibri" w:hAnsi="Calibri"/>
          <w:szCs w:val="24"/>
        </w:rPr>
      </w:pPr>
      <w:r w:rsidRPr="004B77D6">
        <w:rPr>
          <w:rFonts w:ascii="Calibri" w:hAnsi="Calibri"/>
          <w:szCs w:val="24"/>
        </w:rPr>
        <w:t>Analiza instytucjonalna i wykonalności projektu;</w:t>
      </w:r>
    </w:p>
    <w:p w14:paraId="16C3516C" w14:textId="77777777" w:rsidR="00C2071D" w:rsidRDefault="00C2071D" w:rsidP="004D0859">
      <w:pPr>
        <w:numPr>
          <w:ilvl w:val="0"/>
          <w:numId w:val="19"/>
        </w:numPr>
        <w:suppressAutoHyphens w:val="0"/>
        <w:spacing w:line="276" w:lineRule="auto"/>
        <w:ind w:firstLine="0"/>
        <w:rPr>
          <w:rFonts w:ascii="Calibri" w:hAnsi="Calibri"/>
          <w:szCs w:val="24"/>
        </w:rPr>
      </w:pPr>
      <w:r w:rsidRPr="004B77D6">
        <w:rPr>
          <w:rFonts w:ascii="Calibri" w:hAnsi="Calibri"/>
          <w:szCs w:val="24"/>
        </w:rPr>
        <w:t>Analiza popytu oraz opcji;</w:t>
      </w:r>
    </w:p>
    <w:p w14:paraId="2ECE2511" w14:textId="4CE2C2BB" w:rsidR="00F6172E" w:rsidRPr="004B77D6" w:rsidRDefault="00F6172E" w:rsidP="004D0859">
      <w:pPr>
        <w:numPr>
          <w:ilvl w:val="0"/>
          <w:numId w:val="19"/>
        </w:numPr>
        <w:suppressAutoHyphens w:val="0"/>
        <w:spacing w:line="276" w:lineRule="auto"/>
        <w:ind w:firstLine="0"/>
        <w:rPr>
          <w:rFonts w:ascii="Calibri" w:hAnsi="Calibri"/>
          <w:szCs w:val="24"/>
        </w:rPr>
      </w:pPr>
      <w:r>
        <w:rPr>
          <w:rFonts w:ascii="Calibri" w:hAnsi="Calibri"/>
          <w:szCs w:val="24"/>
        </w:rPr>
        <w:t>Finansowa trwałość projektu</w:t>
      </w:r>
    </w:p>
    <w:p w14:paraId="5E176716" w14:textId="77777777" w:rsidR="00C2071D" w:rsidRPr="004B77D6" w:rsidRDefault="00C2071D" w:rsidP="004D0859">
      <w:pPr>
        <w:numPr>
          <w:ilvl w:val="0"/>
          <w:numId w:val="19"/>
        </w:numPr>
        <w:suppressAutoHyphens w:val="0"/>
        <w:spacing w:line="276" w:lineRule="auto"/>
        <w:ind w:firstLine="0"/>
        <w:rPr>
          <w:rFonts w:ascii="Calibri" w:hAnsi="Calibri"/>
          <w:szCs w:val="24"/>
        </w:rPr>
      </w:pPr>
      <w:r w:rsidRPr="004B77D6">
        <w:rPr>
          <w:rFonts w:ascii="Calibri" w:hAnsi="Calibri"/>
          <w:szCs w:val="24"/>
        </w:rPr>
        <w:t>Zastosowane uproszczone metody rozliczania wydatków;</w:t>
      </w:r>
    </w:p>
    <w:p w14:paraId="42DAA271" w14:textId="74B6FE1A" w:rsidR="00C2071D" w:rsidRPr="004B77D6" w:rsidRDefault="00C2071D" w:rsidP="004D0859">
      <w:pPr>
        <w:numPr>
          <w:ilvl w:val="0"/>
          <w:numId w:val="19"/>
        </w:numPr>
        <w:suppressAutoHyphens w:val="0"/>
        <w:spacing w:line="276" w:lineRule="auto"/>
        <w:ind w:firstLine="0"/>
        <w:rPr>
          <w:rFonts w:ascii="Calibri" w:hAnsi="Calibri"/>
          <w:szCs w:val="24"/>
        </w:rPr>
      </w:pPr>
      <w:r w:rsidRPr="004B77D6">
        <w:rPr>
          <w:rFonts w:ascii="Calibri" w:hAnsi="Calibri"/>
          <w:szCs w:val="24"/>
        </w:rPr>
        <w:t>Analiza finansowa;</w:t>
      </w:r>
    </w:p>
    <w:p w14:paraId="58968EA8" w14:textId="1A194878" w:rsidR="00C2071D" w:rsidRPr="004B77D6" w:rsidRDefault="00C2071D" w:rsidP="004D0859">
      <w:pPr>
        <w:numPr>
          <w:ilvl w:val="0"/>
          <w:numId w:val="19"/>
        </w:numPr>
        <w:suppressAutoHyphens w:val="0"/>
        <w:spacing w:line="276" w:lineRule="auto"/>
        <w:ind w:firstLine="0"/>
        <w:rPr>
          <w:rFonts w:ascii="Calibri" w:hAnsi="Calibri"/>
          <w:szCs w:val="24"/>
        </w:rPr>
      </w:pPr>
      <w:r w:rsidRPr="004B77D6">
        <w:rPr>
          <w:rFonts w:ascii="Calibri" w:hAnsi="Calibri"/>
          <w:szCs w:val="24"/>
        </w:rPr>
        <w:t xml:space="preserve">Analiza </w:t>
      </w:r>
      <w:r w:rsidR="004A44B0">
        <w:rPr>
          <w:rFonts w:ascii="Calibri" w:hAnsi="Calibri"/>
          <w:szCs w:val="24"/>
        </w:rPr>
        <w:t>kosztów i korzyści</w:t>
      </w:r>
      <w:r w:rsidRPr="004B77D6">
        <w:rPr>
          <w:rFonts w:ascii="Calibri" w:hAnsi="Calibri"/>
          <w:szCs w:val="24"/>
        </w:rPr>
        <w:t>;</w:t>
      </w:r>
    </w:p>
    <w:p w14:paraId="22EBB96C" w14:textId="77777777" w:rsidR="00C2071D" w:rsidRPr="004B77D6" w:rsidRDefault="00C2071D" w:rsidP="004D0859">
      <w:pPr>
        <w:numPr>
          <w:ilvl w:val="0"/>
          <w:numId w:val="19"/>
        </w:numPr>
        <w:suppressAutoHyphens w:val="0"/>
        <w:spacing w:line="276" w:lineRule="auto"/>
        <w:ind w:left="714" w:firstLine="0"/>
        <w:rPr>
          <w:rFonts w:ascii="Calibri" w:hAnsi="Calibri"/>
          <w:szCs w:val="24"/>
        </w:rPr>
      </w:pPr>
      <w:r w:rsidRPr="004B77D6">
        <w:rPr>
          <w:rFonts w:ascii="Calibri" w:hAnsi="Calibri"/>
          <w:szCs w:val="24"/>
        </w:rPr>
        <w:lastRenderedPageBreak/>
        <w:t>Specyficzna analiza dla danego rodzaju projektu/sektora;</w:t>
      </w:r>
    </w:p>
    <w:p w14:paraId="48351769" w14:textId="6522AD1D" w:rsidR="00C2071D" w:rsidRPr="004B77D6" w:rsidRDefault="00C2071D" w:rsidP="004D0859">
      <w:pPr>
        <w:numPr>
          <w:ilvl w:val="0"/>
          <w:numId w:val="19"/>
        </w:numPr>
        <w:suppressAutoHyphens w:val="0"/>
        <w:spacing w:line="276" w:lineRule="auto"/>
        <w:ind w:left="714" w:firstLine="0"/>
        <w:rPr>
          <w:rFonts w:ascii="Calibri" w:hAnsi="Calibri"/>
          <w:szCs w:val="24"/>
        </w:rPr>
      </w:pPr>
      <w:r w:rsidRPr="004B77D6">
        <w:rPr>
          <w:rFonts w:ascii="Calibri" w:hAnsi="Calibri"/>
          <w:szCs w:val="24"/>
        </w:rPr>
        <w:t>Odniesienie do kryteriów oceny projektu</w:t>
      </w:r>
      <w:r w:rsidR="00042819">
        <w:rPr>
          <w:rFonts w:ascii="Calibri" w:hAnsi="Calibri"/>
          <w:szCs w:val="24"/>
        </w:rPr>
        <w:t>.</w:t>
      </w:r>
    </w:p>
    <w:p w14:paraId="64560E23" w14:textId="77777777" w:rsidR="00042819" w:rsidRDefault="00042819" w:rsidP="00042819">
      <w:pPr>
        <w:autoSpaceDE w:val="0"/>
        <w:autoSpaceDN w:val="0"/>
        <w:adjustRightInd w:val="0"/>
        <w:spacing w:line="276" w:lineRule="auto"/>
        <w:ind w:firstLine="708"/>
        <w:rPr>
          <w:rFonts w:ascii="Calibri" w:hAnsi="Calibri"/>
          <w:szCs w:val="24"/>
        </w:rPr>
      </w:pPr>
    </w:p>
    <w:p w14:paraId="3FB5E136" w14:textId="3BE0E5FF" w:rsidR="00C2071D" w:rsidRPr="004B77D6" w:rsidRDefault="00C2071D" w:rsidP="00E438CC">
      <w:pPr>
        <w:autoSpaceDE w:val="0"/>
        <w:autoSpaceDN w:val="0"/>
        <w:adjustRightInd w:val="0"/>
        <w:spacing w:after="240" w:line="276" w:lineRule="auto"/>
        <w:rPr>
          <w:rFonts w:ascii="Calibri" w:hAnsi="Calibri"/>
          <w:szCs w:val="24"/>
        </w:rPr>
      </w:pPr>
      <w:r w:rsidRPr="004B77D6">
        <w:rPr>
          <w:rFonts w:ascii="Calibri" w:hAnsi="Calibri"/>
          <w:szCs w:val="24"/>
        </w:rPr>
        <w:t>Załącznik obliczeniowy stanowiący część studium wykonalności powinien umożliwiać weryfikację dokonanych wyliczeń (odblokowane formuły) oraz powinien zawierać wydzieloną część zawierającą założenia będące podstawą wyliczeń.</w:t>
      </w:r>
      <w:bookmarkStart w:id="11" w:name="_Toc219062662"/>
      <w:bookmarkStart w:id="12" w:name="_Toc219062960"/>
      <w:bookmarkEnd w:id="11"/>
      <w:bookmarkEnd w:id="12"/>
    </w:p>
    <w:p w14:paraId="3F8DA158" w14:textId="6B4D4FA4" w:rsidR="00C2071D" w:rsidRPr="004B77D6" w:rsidRDefault="00C2071D" w:rsidP="004D0859">
      <w:pPr>
        <w:pStyle w:val="Nagwek1"/>
        <w:numPr>
          <w:ilvl w:val="2"/>
          <w:numId w:val="6"/>
        </w:numPr>
        <w:tabs>
          <w:tab w:val="num" w:pos="1134"/>
        </w:tabs>
        <w:spacing w:before="0" w:after="120" w:line="276" w:lineRule="auto"/>
        <w:ind w:left="851" w:hanging="851"/>
        <w:rPr>
          <w:rFonts w:ascii="Calibri" w:hAnsi="Calibri"/>
          <w:sz w:val="24"/>
          <w:szCs w:val="24"/>
        </w:rPr>
      </w:pPr>
      <w:bookmarkStart w:id="13" w:name="_Toc477857427"/>
      <w:bookmarkStart w:id="14" w:name="_Toc127344051"/>
      <w:bookmarkStart w:id="15" w:name="_Toc241839699"/>
      <w:r w:rsidRPr="004B77D6">
        <w:rPr>
          <w:rFonts w:ascii="Calibri" w:hAnsi="Calibri"/>
          <w:sz w:val="24"/>
          <w:szCs w:val="24"/>
        </w:rPr>
        <w:t>IDENTYFIKACJA PROJEKTU</w:t>
      </w:r>
      <w:bookmarkEnd w:id="13"/>
      <w:bookmarkEnd w:id="14"/>
      <w:bookmarkEnd w:id="15"/>
    </w:p>
    <w:p w14:paraId="377386CF" w14:textId="4442BEAA" w:rsidR="00C2071D" w:rsidRPr="004B77D6" w:rsidRDefault="00C2071D" w:rsidP="00E438CC">
      <w:pPr>
        <w:spacing w:line="276" w:lineRule="auto"/>
        <w:rPr>
          <w:rFonts w:ascii="Calibri" w:hAnsi="Calibri"/>
          <w:szCs w:val="24"/>
        </w:rPr>
      </w:pPr>
      <w:r w:rsidRPr="004B77D6">
        <w:rPr>
          <w:rFonts w:ascii="Calibri" w:hAnsi="Calibri"/>
          <w:szCs w:val="24"/>
        </w:rPr>
        <w:t xml:space="preserve">Identyfikacja projektu ma na celu prezentację projektu jako przedmiotu realizowanego przedsięwzięcia wraz z opisem, podaniem podstawowych parametrów technicznych, całkowitym kosztem inwestycji, wysokością kosztów kwalifikowanych, </w:t>
      </w:r>
      <w:r w:rsidR="00241250" w:rsidRPr="00E2071C">
        <w:rPr>
          <w:rFonts w:ascii="Calibri" w:hAnsi="Calibri"/>
          <w:bCs/>
          <w:szCs w:val="24"/>
        </w:rPr>
        <w:t>wydatkami na dostępność</w:t>
      </w:r>
      <w:r w:rsidR="00241250" w:rsidRPr="00E2071C">
        <w:rPr>
          <w:rFonts w:ascii="Calibri" w:hAnsi="Calibri"/>
          <w:b/>
          <w:szCs w:val="24"/>
        </w:rPr>
        <w:t xml:space="preserve"> </w:t>
      </w:r>
      <w:r w:rsidR="00241250" w:rsidRPr="00757490">
        <w:rPr>
          <w:rFonts w:ascii="Calibri" w:hAnsi="Calibri"/>
          <w:bCs/>
          <w:szCs w:val="24"/>
          <w:u w:val="single"/>
        </w:rPr>
        <w:t>(wraz z metodologią ich obliczenia)</w:t>
      </w:r>
      <w:r w:rsidR="00241250">
        <w:rPr>
          <w:rFonts w:ascii="Calibri" w:hAnsi="Calibri"/>
          <w:bCs/>
          <w:szCs w:val="24"/>
        </w:rPr>
        <w:t xml:space="preserve">, </w:t>
      </w:r>
      <w:r w:rsidRPr="004B77D6">
        <w:rPr>
          <w:rFonts w:ascii="Calibri" w:hAnsi="Calibri"/>
          <w:szCs w:val="24"/>
        </w:rPr>
        <w:t>lokalizacją, poziomem dofinansowania, itp.</w:t>
      </w:r>
    </w:p>
    <w:p w14:paraId="660784DE" w14:textId="70706D24" w:rsidR="00C2071D" w:rsidRPr="004B77D6" w:rsidRDefault="00C2071D" w:rsidP="004D0859">
      <w:pPr>
        <w:pStyle w:val="Nagwek1"/>
        <w:numPr>
          <w:ilvl w:val="2"/>
          <w:numId w:val="6"/>
        </w:numPr>
        <w:tabs>
          <w:tab w:val="num" w:pos="1134"/>
        </w:tabs>
        <w:spacing w:after="120" w:line="276" w:lineRule="auto"/>
        <w:ind w:left="709" w:hanging="709"/>
        <w:rPr>
          <w:rFonts w:ascii="Calibri" w:hAnsi="Calibri"/>
          <w:sz w:val="24"/>
          <w:szCs w:val="24"/>
        </w:rPr>
      </w:pPr>
      <w:bookmarkStart w:id="16" w:name="_Toc477857428"/>
      <w:bookmarkStart w:id="17" w:name="_Toc127344052"/>
      <w:bookmarkStart w:id="18" w:name="_Toc241839700"/>
      <w:r w:rsidRPr="004B77D6">
        <w:rPr>
          <w:rFonts w:ascii="Calibri" w:hAnsi="Calibri"/>
          <w:sz w:val="24"/>
          <w:szCs w:val="24"/>
        </w:rPr>
        <w:t>DEFINICJA CELÓW PROJEKTU</w:t>
      </w:r>
      <w:bookmarkEnd w:id="16"/>
      <w:bookmarkEnd w:id="17"/>
      <w:bookmarkEnd w:id="18"/>
    </w:p>
    <w:p w14:paraId="49813867" w14:textId="1D4D5747" w:rsidR="00C2071D" w:rsidRPr="004B77D6" w:rsidRDefault="00C2071D" w:rsidP="00E438CC">
      <w:pPr>
        <w:spacing w:line="276" w:lineRule="auto"/>
        <w:rPr>
          <w:rFonts w:ascii="Calibri" w:hAnsi="Calibri"/>
          <w:szCs w:val="24"/>
        </w:rPr>
      </w:pPr>
      <w:r w:rsidRPr="004B77D6">
        <w:rPr>
          <w:rFonts w:ascii="Calibri" w:hAnsi="Calibri"/>
          <w:szCs w:val="24"/>
        </w:rPr>
        <w:t>Identyfikacja projektu powinna dostarczyć zwięzłej i jednoznacznej informacji na temat jego całościowej koncepcji. Powinna obejmować następujące kwestie: zarys i ogólny charakter projektu (tj. prezentację projektu jako przedmiotu realizowanego przedsięwzięcia wraz z opisem, podaniem podstawowych parametrów technicznych, całkowitym kosztem inwestycji, w tym całkowitym kosztem kwalifikowalnym, poziomem dofinansowania, lokalizacją, itp.</w:t>
      </w:r>
    </w:p>
    <w:p w14:paraId="7D5D95A4" w14:textId="77777777" w:rsidR="00C2071D" w:rsidRPr="004B77D6" w:rsidRDefault="00C2071D" w:rsidP="00E438CC">
      <w:pPr>
        <w:pStyle w:val="Tekstpodstawowy22"/>
        <w:spacing w:before="120" w:after="120" w:line="276" w:lineRule="auto"/>
        <w:jc w:val="left"/>
        <w:rPr>
          <w:rFonts w:ascii="Calibri" w:hAnsi="Calibri"/>
          <w:szCs w:val="24"/>
        </w:rPr>
      </w:pPr>
      <w:r w:rsidRPr="004B77D6">
        <w:rPr>
          <w:rFonts w:ascii="Calibri" w:hAnsi="Calibri"/>
          <w:szCs w:val="24"/>
        </w:rPr>
        <w:t xml:space="preserve">Cele projektu, zarówno te bezpośrednie, jak i pośrednie, powinny zostać określone </w:t>
      </w:r>
      <w:r w:rsidRPr="004B77D6">
        <w:rPr>
          <w:rFonts w:ascii="Calibri" w:hAnsi="Calibri"/>
          <w:szCs w:val="24"/>
        </w:rPr>
        <w:br/>
        <w:t xml:space="preserve">w oparciu o analizę potrzeb danego środowiska społeczno- gospodarczego, </w:t>
      </w:r>
      <w:r w:rsidRPr="004B77D6">
        <w:rPr>
          <w:rFonts w:ascii="Calibri" w:hAnsi="Calibri"/>
          <w:szCs w:val="24"/>
        </w:rPr>
        <w:br/>
        <w:t xml:space="preserve">z uwzględnieniem zjawisk najbardziej adekwatnych do skali oddziaływania projektu. </w:t>
      </w:r>
    </w:p>
    <w:p w14:paraId="0A42A6B3" w14:textId="77777777" w:rsidR="00C2071D" w:rsidRPr="004B77D6" w:rsidRDefault="00C2071D" w:rsidP="00E438CC">
      <w:pPr>
        <w:pStyle w:val="Tekstpodstawowy22"/>
        <w:spacing w:before="120" w:after="120" w:line="276" w:lineRule="auto"/>
        <w:jc w:val="left"/>
        <w:rPr>
          <w:rFonts w:ascii="Calibri" w:hAnsi="Calibri"/>
          <w:szCs w:val="24"/>
        </w:rPr>
      </w:pPr>
      <w:r w:rsidRPr="004B77D6">
        <w:rPr>
          <w:rFonts w:ascii="Calibri" w:hAnsi="Calibri"/>
          <w:szCs w:val="24"/>
        </w:rPr>
        <w:t>Należy zwrócić uwagę, aby cele projektu zdefiniowane w analizie spełniały następujące założenia:</w:t>
      </w:r>
    </w:p>
    <w:p w14:paraId="3A01C6B8" w14:textId="77777777" w:rsidR="00C2071D" w:rsidRPr="004B77D6" w:rsidRDefault="00C2071D" w:rsidP="004D0859">
      <w:pPr>
        <w:numPr>
          <w:ilvl w:val="0"/>
          <w:numId w:val="25"/>
        </w:numPr>
        <w:tabs>
          <w:tab w:val="num" w:pos="360"/>
        </w:tabs>
        <w:spacing w:line="276" w:lineRule="auto"/>
        <w:ind w:left="357" w:hanging="357"/>
        <w:rPr>
          <w:rFonts w:ascii="Calibri" w:hAnsi="Calibri"/>
          <w:szCs w:val="24"/>
        </w:rPr>
      </w:pPr>
      <w:r w:rsidRPr="004B77D6">
        <w:rPr>
          <w:rFonts w:ascii="Calibri" w:hAnsi="Calibri"/>
          <w:szCs w:val="24"/>
        </w:rPr>
        <w:t>jasno wskazywały, jakie korzyści społeczno-gospodarcze można osiągnąć dzięki wdrożeniu projektu,</w:t>
      </w:r>
    </w:p>
    <w:p w14:paraId="71314254" w14:textId="1D6CD7EA" w:rsidR="00C2071D" w:rsidRPr="004B77D6" w:rsidRDefault="00C2071D" w:rsidP="004D0859">
      <w:pPr>
        <w:numPr>
          <w:ilvl w:val="0"/>
          <w:numId w:val="25"/>
        </w:numPr>
        <w:tabs>
          <w:tab w:val="num" w:pos="360"/>
        </w:tabs>
        <w:spacing w:line="276" w:lineRule="auto"/>
        <w:ind w:left="357" w:hanging="357"/>
        <w:rPr>
          <w:rFonts w:ascii="Calibri" w:hAnsi="Calibri"/>
          <w:szCs w:val="24"/>
        </w:rPr>
      </w:pPr>
      <w:r w:rsidRPr="004B77D6">
        <w:rPr>
          <w:rFonts w:ascii="Calibri" w:hAnsi="Calibri"/>
          <w:szCs w:val="24"/>
        </w:rPr>
        <w:t xml:space="preserve">były logicznie powiązane ze sobą (w </w:t>
      </w:r>
      <w:r w:rsidR="006E53A8" w:rsidRPr="004B77D6">
        <w:rPr>
          <w:rFonts w:ascii="Calibri" w:hAnsi="Calibri"/>
          <w:szCs w:val="24"/>
        </w:rPr>
        <w:t>przypadku,</w:t>
      </w:r>
      <w:r w:rsidRPr="004B77D6">
        <w:rPr>
          <w:rFonts w:ascii="Calibri" w:hAnsi="Calibri"/>
          <w:szCs w:val="24"/>
        </w:rPr>
        <w:t xml:space="preserve"> gdy w ramach projektu realizowanych jest jednocześnie kilka celów),</w:t>
      </w:r>
    </w:p>
    <w:p w14:paraId="09CA8748" w14:textId="77777777" w:rsidR="00C2071D" w:rsidRPr="004B77D6" w:rsidRDefault="00C2071D" w:rsidP="004D0859">
      <w:pPr>
        <w:numPr>
          <w:ilvl w:val="0"/>
          <w:numId w:val="25"/>
        </w:numPr>
        <w:tabs>
          <w:tab w:val="num" w:pos="360"/>
        </w:tabs>
        <w:spacing w:line="276" w:lineRule="auto"/>
        <w:ind w:left="357" w:hanging="357"/>
        <w:rPr>
          <w:rFonts w:ascii="Calibri" w:hAnsi="Calibri"/>
          <w:szCs w:val="24"/>
        </w:rPr>
      </w:pPr>
      <w:r w:rsidRPr="004B77D6">
        <w:rPr>
          <w:rFonts w:ascii="Calibri" w:hAnsi="Calibri"/>
          <w:szCs w:val="24"/>
        </w:rPr>
        <w:t>na tyle, na ile to możliwe powinny zostać skwantyfikowane, poprzez określenie wartości bazowych i docelowych oraz metodę pomiaru poziomu ich osiągnięcia,</w:t>
      </w:r>
    </w:p>
    <w:p w14:paraId="39B484E3" w14:textId="024EE2AE" w:rsidR="00C2071D" w:rsidRPr="004B77D6" w:rsidRDefault="00C2071D" w:rsidP="004D0859">
      <w:pPr>
        <w:numPr>
          <w:ilvl w:val="0"/>
          <w:numId w:val="25"/>
        </w:numPr>
        <w:tabs>
          <w:tab w:val="num" w:pos="360"/>
        </w:tabs>
        <w:spacing w:line="276" w:lineRule="auto"/>
        <w:ind w:left="357" w:hanging="357"/>
        <w:rPr>
          <w:rFonts w:ascii="Calibri" w:hAnsi="Calibri"/>
          <w:szCs w:val="24"/>
        </w:rPr>
      </w:pPr>
      <w:r w:rsidRPr="004B77D6">
        <w:rPr>
          <w:rFonts w:ascii="Calibri" w:hAnsi="Calibri"/>
          <w:szCs w:val="24"/>
        </w:rPr>
        <w:t xml:space="preserve">były logicznie powiązane z ogólnymi celami odnośnych funduszy, tj. wymagane jest określenie zbieżności celów projektu z celami realizacji </w:t>
      </w:r>
      <w:r w:rsidR="00EE38FD">
        <w:rPr>
          <w:rFonts w:ascii="Calibri" w:hAnsi="Calibri"/>
          <w:szCs w:val="24"/>
        </w:rPr>
        <w:t xml:space="preserve">danego priorytetu </w:t>
      </w:r>
      <w:r w:rsidRPr="004B77D6">
        <w:rPr>
          <w:rFonts w:ascii="Calibri" w:hAnsi="Calibri"/>
          <w:szCs w:val="24"/>
        </w:rPr>
        <w:t>programu operacyjnego.</w:t>
      </w:r>
    </w:p>
    <w:p w14:paraId="7B6A5577" w14:textId="77777777" w:rsidR="00FD7DFC" w:rsidRPr="004B77D6" w:rsidRDefault="00FD7DFC" w:rsidP="004D0859">
      <w:pPr>
        <w:pStyle w:val="Nagwek1"/>
        <w:numPr>
          <w:ilvl w:val="2"/>
          <w:numId w:val="6"/>
        </w:numPr>
        <w:tabs>
          <w:tab w:val="num" w:pos="1134"/>
        </w:tabs>
        <w:spacing w:before="360" w:after="120" w:line="276" w:lineRule="auto"/>
        <w:ind w:left="851" w:hanging="851"/>
        <w:rPr>
          <w:rFonts w:ascii="Calibri" w:hAnsi="Calibri"/>
          <w:sz w:val="24"/>
          <w:szCs w:val="24"/>
        </w:rPr>
      </w:pPr>
      <w:bookmarkStart w:id="19" w:name="_Toc477857429"/>
      <w:bookmarkStart w:id="20" w:name="_Toc127344053"/>
      <w:bookmarkStart w:id="21" w:name="_Toc214819277"/>
      <w:bookmarkStart w:id="22" w:name="_Toc241839701"/>
      <w:bookmarkStart w:id="23" w:name="_Toc477857432"/>
      <w:bookmarkStart w:id="24" w:name="_Toc127344056"/>
      <w:r w:rsidRPr="004B77D6">
        <w:rPr>
          <w:rFonts w:ascii="Calibri" w:hAnsi="Calibri"/>
          <w:sz w:val="24"/>
          <w:szCs w:val="24"/>
        </w:rPr>
        <w:t>ANALIZA INSTYTUCJONALNA I WYKONALNOŚCI PROJEKTU</w:t>
      </w:r>
      <w:bookmarkEnd w:id="19"/>
      <w:bookmarkEnd w:id="20"/>
      <w:bookmarkEnd w:id="21"/>
      <w:bookmarkEnd w:id="22"/>
    </w:p>
    <w:p w14:paraId="395DB16A" w14:textId="77777777" w:rsidR="00FD7DFC" w:rsidRPr="004B77D6" w:rsidRDefault="00FD7DFC" w:rsidP="00E438CC">
      <w:pPr>
        <w:pStyle w:val="Tekstpodstawowy22"/>
        <w:spacing w:before="120" w:after="360" w:line="276" w:lineRule="auto"/>
        <w:jc w:val="left"/>
        <w:rPr>
          <w:rFonts w:ascii="Calibri" w:hAnsi="Calibri"/>
          <w:szCs w:val="24"/>
        </w:rPr>
      </w:pPr>
      <w:r w:rsidRPr="004B77D6">
        <w:rPr>
          <w:rFonts w:ascii="Calibri" w:hAnsi="Calibri"/>
          <w:szCs w:val="24"/>
        </w:rPr>
        <w:t>Celem analizy wykonalności jest zidentyfikowanie możliwych do zastosowania rozwiązań inwestycyjnych, które można uznać za wykonalne m.in. pod względem technicznym, ekonomicznym, śro</w:t>
      </w:r>
      <w:r>
        <w:rPr>
          <w:rFonts w:ascii="Calibri" w:hAnsi="Calibri"/>
          <w:szCs w:val="24"/>
        </w:rPr>
        <w:t>dowiskowym i instytucjonalnym.</w:t>
      </w:r>
    </w:p>
    <w:p w14:paraId="5A6BFAA9" w14:textId="77777777" w:rsidR="00FD7DFC" w:rsidRPr="004B77D6" w:rsidRDefault="00FD7DFC" w:rsidP="004D0859">
      <w:pPr>
        <w:pStyle w:val="Tekstpodstawowy22"/>
        <w:numPr>
          <w:ilvl w:val="3"/>
          <w:numId w:val="6"/>
        </w:numPr>
        <w:tabs>
          <w:tab w:val="clear" w:pos="1534"/>
          <w:tab w:val="num" w:pos="1276"/>
        </w:tabs>
        <w:spacing w:before="120" w:after="120" w:line="276" w:lineRule="auto"/>
        <w:ind w:hanging="1675"/>
        <w:jc w:val="left"/>
        <w:rPr>
          <w:rFonts w:ascii="Calibri" w:hAnsi="Calibri"/>
          <w:b/>
          <w:szCs w:val="24"/>
        </w:rPr>
      </w:pPr>
      <w:r w:rsidRPr="004B77D6">
        <w:rPr>
          <w:rFonts w:ascii="Calibri" w:hAnsi="Calibri"/>
          <w:b/>
          <w:bCs/>
          <w:szCs w:val="24"/>
        </w:rPr>
        <w:lastRenderedPageBreak/>
        <w:t>Analiza instytucjonalna</w:t>
      </w:r>
      <w:r w:rsidRPr="004B77D6">
        <w:rPr>
          <w:rFonts w:ascii="Calibri" w:hAnsi="Calibri"/>
          <w:szCs w:val="24"/>
        </w:rPr>
        <w:t xml:space="preserve"> - zawiera informacje na temat:</w:t>
      </w:r>
    </w:p>
    <w:p w14:paraId="7B7C0659" w14:textId="77777777" w:rsidR="00FD7DFC" w:rsidRPr="004B77D6" w:rsidRDefault="00FD7DFC" w:rsidP="004D0859">
      <w:pPr>
        <w:pStyle w:val="Tekstpodstawowy22"/>
        <w:numPr>
          <w:ilvl w:val="0"/>
          <w:numId w:val="22"/>
        </w:numPr>
        <w:tabs>
          <w:tab w:val="left" w:pos="360"/>
        </w:tabs>
        <w:suppressAutoHyphens w:val="0"/>
        <w:spacing w:line="276" w:lineRule="auto"/>
        <w:ind w:left="714" w:hanging="357"/>
        <w:jc w:val="left"/>
        <w:rPr>
          <w:rFonts w:ascii="Calibri" w:hAnsi="Calibri"/>
          <w:b/>
          <w:szCs w:val="24"/>
        </w:rPr>
      </w:pPr>
      <w:r w:rsidRPr="004B77D6">
        <w:rPr>
          <w:rFonts w:ascii="Calibri" w:hAnsi="Calibri"/>
          <w:szCs w:val="24"/>
        </w:rPr>
        <w:t>bezpośrednich i pośrednich</w:t>
      </w:r>
      <w:r w:rsidRPr="004B77D6">
        <w:rPr>
          <w:rFonts w:ascii="Calibri" w:hAnsi="Calibri"/>
          <w:b/>
          <w:szCs w:val="24"/>
        </w:rPr>
        <w:t xml:space="preserve"> </w:t>
      </w:r>
      <w:r w:rsidRPr="004B77D6">
        <w:rPr>
          <w:rFonts w:ascii="Calibri" w:hAnsi="Calibri"/>
          <w:szCs w:val="24"/>
        </w:rPr>
        <w:t>beneficjentów projektu oraz problemów ich dotykających,</w:t>
      </w:r>
    </w:p>
    <w:p w14:paraId="600C862E" w14:textId="77777777" w:rsidR="00FD7DFC" w:rsidRPr="004B77D6" w:rsidRDefault="00FD7DFC" w:rsidP="004D0859">
      <w:pPr>
        <w:pStyle w:val="Tekstpodstawowy22"/>
        <w:numPr>
          <w:ilvl w:val="0"/>
          <w:numId w:val="22"/>
        </w:numPr>
        <w:tabs>
          <w:tab w:val="left" w:pos="360"/>
        </w:tabs>
        <w:suppressAutoHyphens w:val="0"/>
        <w:spacing w:line="276" w:lineRule="auto"/>
        <w:ind w:left="714" w:hanging="357"/>
        <w:jc w:val="left"/>
        <w:rPr>
          <w:rFonts w:ascii="Calibri" w:hAnsi="Calibri"/>
          <w:b/>
          <w:szCs w:val="24"/>
        </w:rPr>
      </w:pPr>
      <w:r w:rsidRPr="004B77D6">
        <w:rPr>
          <w:rFonts w:ascii="Calibri" w:hAnsi="Calibri"/>
          <w:szCs w:val="24"/>
        </w:rPr>
        <w:t xml:space="preserve">instytucji/osób zaangażowanych w realizację projektu, włącznie z podziałem odpowiedzialności, </w:t>
      </w:r>
    </w:p>
    <w:p w14:paraId="5B848AAB" w14:textId="77777777" w:rsidR="00FD7DFC" w:rsidRPr="004B77D6" w:rsidRDefault="00FD7DFC" w:rsidP="004D0859">
      <w:pPr>
        <w:pStyle w:val="Tekstpodstawowy22"/>
        <w:numPr>
          <w:ilvl w:val="0"/>
          <w:numId w:val="22"/>
        </w:numPr>
        <w:tabs>
          <w:tab w:val="left" w:pos="360"/>
        </w:tabs>
        <w:suppressAutoHyphens w:val="0"/>
        <w:spacing w:line="276" w:lineRule="auto"/>
        <w:ind w:left="714" w:hanging="357"/>
        <w:jc w:val="left"/>
        <w:rPr>
          <w:rFonts w:ascii="Calibri" w:hAnsi="Calibri"/>
          <w:szCs w:val="24"/>
        </w:rPr>
      </w:pPr>
      <w:r w:rsidRPr="004B77D6">
        <w:rPr>
          <w:rFonts w:ascii="Calibri" w:hAnsi="Calibri"/>
          <w:szCs w:val="24"/>
        </w:rPr>
        <w:t>powiązań z innymi podmiotami, które znajdą się w polu oddziaływania projektu,</w:t>
      </w:r>
    </w:p>
    <w:p w14:paraId="06C8BAE9" w14:textId="77777777" w:rsidR="00FD7DFC" w:rsidRPr="004B77D6" w:rsidRDefault="00FD7DFC" w:rsidP="004D0859">
      <w:pPr>
        <w:pStyle w:val="Tekstpodstawowy22"/>
        <w:numPr>
          <w:ilvl w:val="0"/>
          <w:numId w:val="22"/>
        </w:numPr>
        <w:tabs>
          <w:tab w:val="left" w:pos="360"/>
        </w:tabs>
        <w:suppressAutoHyphens w:val="0"/>
        <w:spacing w:line="276" w:lineRule="auto"/>
        <w:ind w:left="714" w:hanging="357"/>
        <w:jc w:val="left"/>
        <w:rPr>
          <w:rFonts w:ascii="Calibri" w:hAnsi="Calibri"/>
          <w:szCs w:val="24"/>
        </w:rPr>
      </w:pPr>
      <w:r w:rsidRPr="004B77D6">
        <w:rPr>
          <w:rFonts w:ascii="Calibri" w:hAnsi="Calibri"/>
          <w:szCs w:val="24"/>
        </w:rPr>
        <w:t>właściciela inwestycji po jej zakończeniu,</w:t>
      </w:r>
    </w:p>
    <w:p w14:paraId="5DB728A0" w14:textId="77777777" w:rsidR="00FD7DFC" w:rsidRPr="004B77D6" w:rsidRDefault="00FD7DFC" w:rsidP="004D0859">
      <w:pPr>
        <w:pStyle w:val="Tekstpodstawowy22"/>
        <w:numPr>
          <w:ilvl w:val="0"/>
          <w:numId w:val="22"/>
        </w:numPr>
        <w:tabs>
          <w:tab w:val="left" w:pos="360"/>
        </w:tabs>
        <w:suppressAutoHyphens w:val="0"/>
        <w:spacing w:line="276" w:lineRule="auto"/>
        <w:ind w:left="714" w:hanging="357"/>
        <w:jc w:val="left"/>
        <w:rPr>
          <w:rFonts w:ascii="Calibri" w:hAnsi="Calibri"/>
          <w:szCs w:val="24"/>
        </w:rPr>
      </w:pPr>
      <w:r w:rsidRPr="004B77D6">
        <w:rPr>
          <w:rFonts w:ascii="Calibri" w:hAnsi="Calibri"/>
          <w:szCs w:val="24"/>
        </w:rPr>
        <w:t>rozwiązań związanych z udostępnieniem przedmiotowej infrastruktury podmiotom trzecim.</w:t>
      </w:r>
    </w:p>
    <w:p w14:paraId="569E73DD" w14:textId="77777777" w:rsidR="00FD7DFC" w:rsidRPr="004B77D6" w:rsidRDefault="00FD7DFC" w:rsidP="00A21714">
      <w:pPr>
        <w:pStyle w:val="Tekstpodstawowy22"/>
        <w:spacing w:before="120" w:after="120" w:line="276" w:lineRule="auto"/>
        <w:ind w:left="360"/>
        <w:jc w:val="left"/>
        <w:rPr>
          <w:rFonts w:ascii="Calibri" w:hAnsi="Calibri"/>
          <w:szCs w:val="24"/>
        </w:rPr>
      </w:pPr>
      <w:r w:rsidRPr="004B77D6">
        <w:rPr>
          <w:rFonts w:ascii="Calibri" w:hAnsi="Calibri"/>
          <w:szCs w:val="24"/>
        </w:rPr>
        <w:t xml:space="preserve">W punkcie tym należy udowodnić, że beneficjent </w:t>
      </w:r>
      <w:r w:rsidRPr="004B77D6">
        <w:rPr>
          <w:rFonts w:ascii="Calibri" w:hAnsi="Calibri"/>
          <w:iCs/>
          <w:szCs w:val="24"/>
        </w:rPr>
        <w:t xml:space="preserve">posiada zdolność organizacyjną </w:t>
      </w:r>
      <w:r w:rsidRPr="004B77D6">
        <w:rPr>
          <w:rFonts w:ascii="Calibri" w:hAnsi="Calibri"/>
          <w:iCs/>
          <w:szCs w:val="24"/>
        </w:rPr>
        <w:br/>
        <w:t xml:space="preserve">i finansową do wdrożenia projektu (opisując dokładnie proces wdrażania wraz </w:t>
      </w:r>
      <w:r w:rsidRPr="004B77D6">
        <w:rPr>
          <w:rFonts w:ascii="Calibri" w:hAnsi="Calibri"/>
          <w:iCs/>
          <w:szCs w:val="24"/>
        </w:rPr>
        <w:br/>
        <w:t xml:space="preserve">z towarzyszącymi mu procedurami, </w:t>
      </w:r>
      <w:r w:rsidRPr="004B77D6">
        <w:rPr>
          <w:rFonts w:ascii="Calibri" w:hAnsi="Calibri"/>
          <w:szCs w:val="24"/>
        </w:rPr>
        <w:t xml:space="preserve">harmonogramem pozyskiwania odpowiednich zezwoleń, prac przygotowawczych, przetargów oraz realizacji projektu); jak również wskazać instytucję odpowiedzialną za zarządzanie projektem w okresie, co najmniej </w:t>
      </w:r>
      <w:r w:rsidRPr="004B77D6">
        <w:rPr>
          <w:rFonts w:ascii="Calibri" w:hAnsi="Calibri"/>
          <w:szCs w:val="24"/>
        </w:rPr>
        <w:br/>
        <w:t xml:space="preserve">5 lat od chwili zakończenia jego realizacji (określając sposób finansowania kosztów związanych z utrzymaniem i eksploatacją inwestycji), zgodnie z art. 65 Rozporządzenia Parlamentu Europejskiego i Rady (UE) nr 2021/1060 z dn. 24 czerwca 2021 r. </w:t>
      </w:r>
    </w:p>
    <w:p w14:paraId="17CFDB26" w14:textId="77777777" w:rsidR="00FD7DFC" w:rsidRDefault="00FD7DFC" w:rsidP="004D0859">
      <w:pPr>
        <w:pStyle w:val="Tekstpodstawowy22"/>
        <w:numPr>
          <w:ilvl w:val="3"/>
          <w:numId w:val="6"/>
        </w:numPr>
        <w:tabs>
          <w:tab w:val="clear" w:pos="1534"/>
        </w:tabs>
        <w:spacing w:before="120" w:after="120" w:line="276" w:lineRule="auto"/>
        <w:ind w:left="360" w:firstLine="66"/>
        <w:jc w:val="left"/>
        <w:rPr>
          <w:rFonts w:ascii="Calibri" w:hAnsi="Calibri"/>
          <w:szCs w:val="24"/>
        </w:rPr>
      </w:pPr>
      <w:r w:rsidRPr="004B77D6">
        <w:rPr>
          <w:rFonts w:ascii="Calibri" w:hAnsi="Calibri"/>
          <w:b/>
          <w:bCs/>
          <w:szCs w:val="24"/>
        </w:rPr>
        <w:t>Analiza prawnej wykonalności projektu</w:t>
      </w:r>
      <w:r w:rsidRPr="004B77D6">
        <w:rPr>
          <w:rFonts w:ascii="Calibri" w:hAnsi="Calibri"/>
          <w:szCs w:val="24"/>
        </w:rPr>
        <w:t xml:space="preserve"> - opisuje</w:t>
      </w:r>
      <w:r w:rsidRPr="004B77D6">
        <w:rPr>
          <w:rFonts w:ascii="Calibri" w:eastAsia="TimesNewRoman" w:hAnsi="Calibri"/>
          <w:szCs w:val="24"/>
        </w:rPr>
        <w:t xml:space="preserve"> </w:t>
      </w:r>
      <w:r w:rsidRPr="004B77D6">
        <w:rPr>
          <w:rFonts w:ascii="Calibri" w:hAnsi="Calibri"/>
          <w:szCs w:val="24"/>
        </w:rPr>
        <w:t>kwestie prawne zwi</w:t>
      </w:r>
      <w:r w:rsidRPr="004B77D6">
        <w:rPr>
          <w:rFonts w:ascii="Calibri" w:eastAsia="TimesNewRoman" w:hAnsi="Calibri"/>
          <w:szCs w:val="24"/>
        </w:rPr>
        <w:t>ą</w:t>
      </w:r>
      <w:r w:rsidRPr="004B77D6">
        <w:rPr>
          <w:rFonts w:ascii="Calibri" w:hAnsi="Calibri"/>
          <w:szCs w:val="24"/>
        </w:rPr>
        <w:t>zane z realizacj</w:t>
      </w:r>
      <w:r w:rsidRPr="004B77D6">
        <w:rPr>
          <w:rFonts w:ascii="Calibri" w:eastAsia="TimesNewRoman" w:hAnsi="Calibri"/>
          <w:szCs w:val="24"/>
        </w:rPr>
        <w:t xml:space="preserve">ą </w:t>
      </w:r>
      <w:r w:rsidRPr="004B77D6">
        <w:rPr>
          <w:rFonts w:ascii="Calibri" w:hAnsi="Calibri"/>
          <w:szCs w:val="24"/>
        </w:rPr>
        <w:t>projektu, w tym stan formalno-prawny nieruchomo</w:t>
      </w:r>
      <w:r w:rsidRPr="004B77D6">
        <w:rPr>
          <w:rFonts w:ascii="Calibri" w:eastAsia="TimesNewRoman" w:hAnsi="Calibri"/>
          <w:szCs w:val="24"/>
        </w:rPr>
        <w:t>ś</w:t>
      </w:r>
      <w:r w:rsidRPr="004B77D6">
        <w:rPr>
          <w:rFonts w:ascii="Calibri" w:hAnsi="Calibri"/>
          <w:szCs w:val="24"/>
        </w:rPr>
        <w:t>ci, gruntów. W punkcie tym należy wymienić wszystkie dokumenty warunkuj</w:t>
      </w:r>
      <w:r w:rsidRPr="004B77D6">
        <w:rPr>
          <w:rFonts w:ascii="Calibri" w:eastAsia="TimesNewRoman" w:hAnsi="Calibri"/>
          <w:szCs w:val="24"/>
        </w:rPr>
        <w:t>ą</w:t>
      </w:r>
      <w:r w:rsidRPr="004B77D6">
        <w:rPr>
          <w:rFonts w:ascii="Calibri" w:hAnsi="Calibri"/>
          <w:szCs w:val="24"/>
        </w:rPr>
        <w:t xml:space="preserve">ce wykonanie inwestycji </w:t>
      </w:r>
      <w:r w:rsidRPr="004B77D6">
        <w:rPr>
          <w:rFonts w:ascii="Calibri" w:hAnsi="Calibri"/>
          <w:szCs w:val="24"/>
        </w:rPr>
        <w:br/>
        <w:t>np. pozwolenie na budow</w:t>
      </w:r>
      <w:r w:rsidRPr="004B77D6">
        <w:rPr>
          <w:rFonts w:ascii="Calibri" w:eastAsia="TimesNewRoman" w:hAnsi="Calibri"/>
          <w:szCs w:val="24"/>
        </w:rPr>
        <w:t xml:space="preserve">ę, </w:t>
      </w:r>
      <w:r w:rsidRPr="004B77D6">
        <w:rPr>
          <w:rFonts w:ascii="Calibri" w:hAnsi="Calibri"/>
          <w:szCs w:val="24"/>
        </w:rPr>
        <w:t xml:space="preserve">pozwolenie Wojewódzkiego Konserwatora Zabytków, </w:t>
      </w:r>
      <w:r w:rsidRPr="004B77D6">
        <w:rPr>
          <w:rFonts w:ascii="Calibri" w:hAnsi="Calibri" w:cs="Arial"/>
          <w:szCs w:val="24"/>
        </w:rPr>
        <w:t>decyzję o środowiskowych uwarunkowaniach zgody na realizację przedsięwzięcia, umowę na świadczenie usług publicznych, dokument potwierdzający kwalifikowalność podatku VAT oraz wszelkie inne dokumenty warunkujące prawidłową realizację projektu</w:t>
      </w:r>
      <w:r w:rsidRPr="004B77D6">
        <w:rPr>
          <w:rFonts w:ascii="Calibri" w:hAnsi="Calibri"/>
          <w:szCs w:val="24"/>
        </w:rPr>
        <w:t xml:space="preserve">. Jeżeli realizacja projektu wymaga uzyskania dodatkowych pozwoleń/decyzji/innych dokumentów, należy podać informację o terminie uzyskania (lub przypuszczalnym terminie uzyskania danego dokumentu). </w:t>
      </w:r>
    </w:p>
    <w:p w14:paraId="7C8485DB" w14:textId="77777777" w:rsidR="00837A71" w:rsidRDefault="00837A71" w:rsidP="004D0859">
      <w:pPr>
        <w:pStyle w:val="Nagwek1"/>
        <w:numPr>
          <w:ilvl w:val="2"/>
          <w:numId w:val="6"/>
        </w:numPr>
        <w:tabs>
          <w:tab w:val="num" w:pos="1134"/>
        </w:tabs>
        <w:spacing w:after="120" w:line="276" w:lineRule="auto"/>
        <w:ind w:left="709" w:hanging="709"/>
        <w:rPr>
          <w:rFonts w:ascii="Calibri" w:hAnsi="Calibri"/>
          <w:sz w:val="24"/>
          <w:szCs w:val="24"/>
        </w:rPr>
      </w:pPr>
      <w:bookmarkStart w:id="25" w:name="_Toc235714279"/>
      <w:bookmarkStart w:id="26" w:name="_Toc241839702"/>
      <w:r>
        <w:rPr>
          <w:rFonts w:ascii="Calibri" w:hAnsi="Calibri"/>
          <w:sz w:val="24"/>
          <w:szCs w:val="24"/>
        </w:rPr>
        <w:t>ANALIZA POPYTU ORAZ OPCJI</w:t>
      </w:r>
      <w:bookmarkEnd w:id="25"/>
      <w:bookmarkEnd w:id="26"/>
    </w:p>
    <w:p w14:paraId="0310120E" w14:textId="77777777" w:rsidR="00837A71" w:rsidRPr="006B0994" w:rsidRDefault="00837A71" w:rsidP="00837A71">
      <w:pPr>
        <w:spacing w:line="276" w:lineRule="auto"/>
        <w:rPr>
          <w:rFonts w:ascii="Calibri" w:hAnsi="Calibri" w:cs="Arial"/>
          <w:szCs w:val="24"/>
        </w:rPr>
      </w:pPr>
      <w:r w:rsidRPr="006B0994">
        <w:rPr>
          <w:rFonts w:ascii="Calibri" w:hAnsi="Calibri" w:cs="Arial"/>
          <w:szCs w:val="24"/>
        </w:rPr>
        <w:t xml:space="preserve">W punkcie D należy zidentyfikować i ilościowo określić społeczne zapotrzebowania na realizację przedmiotowej inwestycji. W analizie należy uwzględnić zarówno bieżący </w:t>
      </w:r>
      <w:r>
        <w:rPr>
          <w:rFonts w:ascii="Calibri" w:hAnsi="Calibri" w:cs="Arial"/>
          <w:szCs w:val="24"/>
        </w:rPr>
        <w:br/>
      </w:r>
      <w:r w:rsidRPr="006B0994">
        <w:rPr>
          <w:rFonts w:ascii="Calibri" w:hAnsi="Calibri" w:cs="Arial"/>
          <w:szCs w:val="24"/>
        </w:rPr>
        <w:t xml:space="preserve">(w oparciu o aktualne dane), jak również prognozowany popyt (w oparciu o prognozy uwzględniające m.in. wskaźniki makroekonomiczne i społeczne). Analizę prognozowanego popytu należy przeprowadzić dla scenariusza z inwestycją oraz bez inwestycji. Ponadto, analiza ta powinna odwoływać się do kwestii bieżącego oraz przyszłego zapotrzebowania inwestycji na zasoby, przewidywanego rozwoju infrastruktury oraz efektu sieciowego (jeżeli występuje lub może wystąpić w wyniku realizacji inwestycji), związanego z koniecznością uwzględnienia faktu, że projekt będzie stanowił część sieci (np. transportowej </w:t>
      </w:r>
      <w:r>
        <w:rPr>
          <w:rFonts w:ascii="Calibri" w:hAnsi="Calibri" w:cs="Arial"/>
          <w:szCs w:val="24"/>
        </w:rPr>
        <w:br/>
      </w:r>
      <w:r w:rsidRPr="006B0994">
        <w:rPr>
          <w:rFonts w:ascii="Calibri" w:hAnsi="Calibri" w:cs="Arial"/>
          <w:szCs w:val="24"/>
        </w:rPr>
        <w:t xml:space="preserve">lub energetycznej), co przełoży się na jego wyniki finansowe i ekonomiczne. </w:t>
      </w:r>
    </w:p>
    <w:p w14:paraId="1A91615B" w14:textId="77777777" w:rsidR="00837A71" w:rsidRPr="006B0994" w:rsidRDefault="00837A71" w:rsidP="00837A71">
      <w:pPr>
        <w:spacing w:line="276" w:lineRule="auto"/>
        <w:rPr>
          <w:rFonts w:ascii="Calibri" w:hAnsi="Calibri" w:cs="Arial"/>
          <w:szCs w:val="24"/>
        </w:rPr>
      </w:pPr>
    </w:p>
    <w:p w14:paraId="5650915D" w14:textId="77777777" w:rsidR="00837A71" w:rsidRPr="006B0994" w:rsidRDefault="00837A71" w:rsidP="00837A71">
      <w:pPr>
        <w:spacing w:line="276" w:lineRule="auto"/>
        <w:rPr>
          <w:rFonts w:ascii="Calibri" w:hAnsi="Calibri" w:cs="Arial"/>
          <w:szCs w:val="24"/>
        </w:rPr>
      </w:pPr>
      <w:r w:rsidRPr="006B0994">
        <w:rPr>
          <w:rFonts w:ascii="Calibri" w:hAnsi="Calibri" w:cs="Arial"/>
          <w:szCs w:val="24"/>
        </w:rPr>
        <w:lastRenderedPageBreak/>
        <w:t>Analizę opcji należy przeprowadzić w dwóch etapach:</w:t>
      </w:r>
    </w:p>
    <w:p w14:paraId="6BE57B31" w14:textId="77777777" w:rsidR="00837A71" w:rsidRPr="006B0994" w:rsidRDefault="00837A71" w:rsidP="00837A71">
      <w:pPr>
        <w:spacing w:line="276" w:lineRule="auto"/>
        <w:rPr>
          <w:rFonts w:ascii="Calibri" w:hAnsi="Calibri" w:cs="Arial"/>
          <w:szCs w:val="24"/>
        </w:rPr>
      </w:pPr>
      <w:r w:rsidRPr="006B0994">
        <w:rPr>
          <w:rFonts w:ascii="Calibri" w:hAnsi="Calibri" w:cs="Arial"/>
          <w:szCs w:val="24"/>
        </w:rPr>
        <w:t xml:space="preserve">1. etap pierwszy - analiza strategiczna - koncentruje się na podstawowych rozwiązaniach </w:t>
      </w:r>
      <w:r>
        <w:rPr>
          <w:rFonts w:ascii="Calibri" w:hAnsi="Calibri" w:cs="Arial"/>
          <w:szCs w:val="24"/>
        </w:rPr>
        <w:br/>
      </w:r>
      <w:r w:rsidRPr="006B0994">
        <w:rPr>
          <w:rFonts w:ascii="Calibri" w:hAnsi="Calibri" w:cs="Arial"/>
          <w:szCs w:val="24"/>
        </w:rPr>
        <w:t>o charakterze strategicznym (np. odpowiada na pytanie, czy bardziej korzystna będzie modernizacja już funkcjonującej infrastruktury, czy też budowa nowej). Co do zasady, etap ten przyjmuje formę analizy wielokryterialnej i opiera się na kryteriach jakościowych.</w:t>
      </w:r>
    </w:p>
    <w:p w14:paraId="5DB401E8" w14:textId="77777777" w:rsidR="00837A71" w:rsidRPr="006B0994" w:rsidRDefault="00837A71" w:rsidP="00837A71">
      <w:pPr>
        <w:spacing w:line="276" w:lineRule="auto"/>
        <w:rPr>
          <w:rFonts w:ascii="Calibri" w:hAnsi="Calibri" w:cs="Arial"/>
          <w:szCs w:val="24"/>
        </w:rPr>
      </w:pPr>
      <w:r w:rsidRPr="006B0994">
        <w:rPr>
          <w:rFonts w:ascii="Calibri" w:hAnsi="Calibri" w:cs="Arial"/>
          <w:szCs w:val="24"/>
        </w:rPr>
        <w:t xml:space="preserve">2. etap drugi - analiza rozwiązań technologicznych - na tym etapie należy przeanalizować poszczególne rozwiązania pod kątem technologicznym. </w:t>
      </w:r>
    </w:p>
    <w:p w14:paraId="5DBA0BE7" w14:textId="77777777" w:rsidR="00837A71" w:rsidRPr="006B0994" w:rsidRDefault="00837A71" w:rsidP="00837A71">
      <w:pPr>
        <w:spacing w:line="276" w:lineRule="auto"/>
        <w:rPr>
          <w:rFonts w:ascii="Calibri" w:hAnsi="Calibri" w:cs="Arial"/>
          <w:szCs w:val="24"/>
        </w:rPr>
      </w:pPr>
      <w:r w:rsidRPr="006B0994">
        <w:rPr>
          <w:rFonts w:ascii="Calibri" w:hAnsi="Calibri" w:cs="Arial"/>
          <w:szCs w:val="24"/>
        </w:rPr>
        <w:t>Do przeprowadzenia tego etapu zazwyczaj zastosowanie mają metody oparte na kryteriach ilościowych.</w:t>
      </w:r>
    </w:p>
    <w:p w14:paraId="456788F7" w14:textId="77777777" w:rsidR="00837A71" w:rsidRPr="006B0994" w:rsidRDefault="00837A71" w:rsidP="00837A71">
      <w:pPr>
        <w:spacing w:line="276" w:lineRule="auto"/>
        <w:rPr>
          <w:rFonts w:ascii="Calibri" w:hAnsi="Calibri" w:cs="Arial"/>
          <w:szCs w:val="24"/>
        </w:rPr>
      </w:pPr>
    </w:p>
    <w:p w14:paraId="164CE83B" w14:textId="64460FE9" w:rsidR="00837A71" w:rsidRPr="00837A71" w:rsidRDefault="00837A71" w:rsidP="00837A71">
      <w:pPr>
        <w:spacing w:line="276" w:lineRule="auto"/>
        <w:rPr>
          <w:rFonts w:ascii="Calibri" w:hAnsi="Calibri" w:cs="Arial"/>
          <w:szCs w:val="24"/>
        </w:rPr>
      </w:pPr>
      <w:r w:rsidRPr="006B0994">
        <w:rPr>
          <w:rFonts w:ascii="Calibri" w:hAnsi="Calibri" w:cs="Arial"/>
          <w:szCs w:val="24"/>
        </w:rPr>
        <w:t xml:space="preserve">Przyjęte rozwiązanie - jako podsumowanie analizy wykonalności (pkt C.2), popytu oraz opcji, należy przedstawić dokonany wybór przyjętego do zastosowania rozwiązania wraz </w:t>
      </w:r>
      <w:r>
        <w:rPr>
          <w:rFonts w:ascii="Calibri" w:hAnsi="Calibri" w:cs="Arial"/>
          <w:szCs w:val="24"/>
        </w:rPr>
        <w:br/>
      </w:r>
      <w:r w:rsidRPr="006B0994">
        <w:rPr>
          <w:rFonts w:ascii="Calibri" w:hAnsi="Calibri" w:cs="Arial"/>
          <w:szCs w:val="24"/>
        </w:rPr>
        <w:t>ze stosownym uzasadnieniem.</w:t>
      </w:r>
    </w:p>
    <w:p w14:paraId="1C170FEE" w14:textId="77777777" w:rsidR="00FD7DFC" w:rsidRDefault="00FD7DFC" w:rsidP="004D0859">
      <w:pPr>
        <w:pStyle w:val="Nagwek1"/>
        <w:numPr>
          <w:ilvl w:val="2"/>
          <w:numId w:val="6"/>
        </w:numPr>
        <w:tabs>
          <w:tab w:val="num" w:pos="1134"/>
        </w:tabs>
        <w:spacing w:after="120" w:line="276" w:lineRule="auto"/>
        <w:ind w:left="709" w:hanging="709"/>
        <w:rPr>
          <w:rFonts w:ascii="Calibri" w:hAnsi="Calibri"/>
          <w:sz w:val="24"/>
          <w:szCs w:val="24"/>
        </w:rPr>
      </w:pPr>
      <w:bookmarkStart w:id="27" w:name="_Toc214819278"/>
      <w:bookmarkStart w:id="28" w:name="_Toc241839703"/>
      <w:r>
        <w:rPr>
          <w:rFonts w:ascii="Calibri" w:hAnsi="Calibri"/>
          <w:sz w:val="24"/>
          <w:szCs w:val="24"/>
        </w:rPr>
        <w:t>FINANSOWA TRWAŁOŚĆ PROJEKTU</w:t>
      </w:r>
      <w:bookmarkStart w:id="29" w:name="_Hlk214815452"/>
      <w:bookmarkEnd w:id="27"/>
      <w:bookmarkEnd w:id="28"/>
    </w:p>
    <w:bookmarkEnd w:id="29"/>
    <w:p w14:paraId="3BCAF01C" w14:textId="5EA891D2" w:rsidR="00FD7DFC" w:rsidRPr="009174CA" w:rsidRDefault="00FD7DFC" w:rsidP="00FD7DFC">
      <w:pPr>
        <w:spacing w:after="120" w:line="276" w:lineRule="auto"/>
        <w:rPr>
          <w:rFonts w:asciiTheme="minorHAnsi" w:eastAsiaTheme="minorHAnsi" w:hAnsiTheme="minorHAnsi" w:cstheme="minorHAnsi"/>
          <w:szCs w:val="24"/>
          <w:lang w:eastAsia="en-US"/>
        </w:rPr>
      </w:pPr>
      <w:r w:rsidRPr="009174CA">
        <w:rPr>
          <w:rFonts w:asciiTheme="minorHAnsi" w:eastAsiaTheme="minorHAnsi" w:hAnsiTheme="minorHAnsi" w:cstheme="minorHAnsi"/>
          <w:szCs w:val="24"/>
          <w:lang w:eastAsia="en-US"/>
        </w:rPr>
        <w:t xml:space="preserve">Zgodnie z Rozporządzeniem UE nr 2021/1060 </w:t>
      </w:r>
      <w:r w:rsidR="00F850B4">
        <w:rPr>
          <w:rFonts w:asciiTheme="minorHAnsi" w:eastAsiaTheme="minorHAnsi" w:hAnsiTheme="minorHAnsi" w:cstheme="minorHAnsi"/>
          <w:szCs w:val="24"/>
          <w:lang w:eastAsia="en-US"/>
        </w:rPr>
        <w:t>W</w:t>
      </w:r>
      <w:r w:rsidRPr="009174CA">
        <w:rPr>
          <w:rFonts w:asciiTheme="minorHAnsi" w:eastAsiaTheme="minorHAnsi" w:hAnsiTheme="minorHAnsi" w:cstheme="minorHAnsi"/>
          <w:szCs w:val="24"/>
          <w:lang w:eastAsia="en-US"/>
        </w:rPr>
        <w:t>nioskodawca/</w:t>
      </w:r>
      <w:r w:rsidR="00D50F8F">
        <w:rPr>
          <w:rFonts w:asciiTheme="minorHAnsi" w:eastAsiaTheme="minorHAnsi" w:hAnsiTheme="minorHAnsi" w:cstheme="minorHAnsi"/>
          <w:szCs w:val="24"/>
          <w:lang w:eastAsia="en-US"/>
        </w:rPr>
        <w:t>P</w:t>
      </w:r>
      <w:r w:rsidRPr="009174CA">
        <w:rPr>
          <w:rFonts w:asciiTheme="minorHAnsi" w:eastAsiaTheme="minorHAnsi" w:hAnsiTheme="minorHAnsi" w:cstheme="minorHAnsi"/>
          <w:szCs w:val="24"/>
          <w:lang w:eastAsia="en-US"/>
        </w:rPr>
        <w:t>artner musi wykazać, że ma niezbędne zasoby i mechanizmy finansowe, aby pokryć koszty eksploatacji i utrzymania projektu, tak by zapewnić stabilność ich finansowania.</w:t>
      </w:r>
    </w:p>
    <w:p w14:paraId="736A230F" w14:textId="77777777" w:rsidR="00FD7DFC" w:rsidRPr="009174CA" w:rsidRDefault="00FD7DFC" w:rsidP="00FD7DFC">
      <w:pPr>
        <w:spacing w:line="276" w:lineRule="auto"/>
        <w:rPr>
          <w:rFonts w:asciiTheme="minorHAnsi" w:eastAsiaTheme="minorHAnsi" w:hAnsiTheme="minorHAnsi" w:cstheme="minorHAnsi"/>
          <w:szCs w:val="24"/>
          <w:lang w:eastAsia="en-US"/>
        </w:rPr>
      </w:pPr>
      <w:r>
        <w:rPr>
          <w:rFonts w:asciiTheme="minorHAnsi" w:eastAsiaTheme="minorHAnsi" w:hAnsiTheme="minorHAnsi" w:cstheme="minorHAnsi"/>
          <w:szCs w:val="24"/>
          <w:lang w:eastAsia="en-US"/>
        </w:rPr>
        <w:t>W punkcie E</w:t>
      </w:r>
      <w:r w:rsidRPr="009174CA">
        <w:rPr>
          <w:rFonts w:asciiTheme="minorHAnsi" w:eastAsiaTheme="minorHAnsi" w:hAnsiTheme="minorHAnsi" w:cstheme="minorHAnsi"/>
          <w:szCs w:val="24"/>
          <w:lang w:eastAsia="en-US"/>
        </w:rPr>
        <w:t xml:space="preserve"> należy podać informacje dotyczące:</w:t>
      </w:r>
    </w:p>
    <w:p w14:paraId="49CFDBD4" w14:textId="77777777" w:rsidR="00FD7DFC" w:rsidRPr="009174CA" w:rsidRDefault="00FD7DFC" w:rsidP="004D0859">
      <w:pPr>
        <w:numPr>
          <w:ilvl w:val="0"/>
          <w:numId w:val="69"/>
        </w:numPr>
        <w:suppressAutoHyphens w:val="0"/>
        <w:spacing w:line="276" w:lineRule="auto"/>
        <w:rPr>
          <w:rFonts w:asciiTheme="minorHAnsi" w:eastAsiaTheme="minorHAnsi" w:hAnsiTheme="minorHAnsi" w:cstheme="minorHAnsi"/>
          <w:szCs w:val="24"/>
          <w:lang w:eastAsia="en-US"/>
        </w:rPr>
      </w:pPr>
      <w:r w:rsidRPr="009174CA">
        <w:rPr>
          <w:rFonts w:asciiTheme="minorHAnsi" w:eastAsiaTheme="minorHAnsi" w:hAnsiTheme="minorHAnsi" w:cstheme="minorHAnsi"/>
          <w:szCs w:val="24"/>
          <w:lang w:eastAsia="en-US"/>
        </w:rPr>
        <w:t>dotychczasowych oraz planowanych po realizacji projektu kosztów eksploatacji, pozostałych kosztów oraz kosztów finansowych (związanych z projektem),</w:t>
      </w:r>
    </w:p>
    <w:p w14:paraId="463124B7" w14:textId="77777777" w:rsidR="00FD7DFC" w:rsidRPr="009174CA" w:rsidRDefault="00FD7DFC" w:rsidP="004D0859">
      <w:pPr>
        <w:numPr>
          <w:ilvl w:val="0"/>
          <w:numId w:val="69"/>
        </w:numPr>
        <w:suppressAutoHyphens w:val="0"/>
        <w:spacing w:line="276" w:lineRule="auto"/>
        <w:rPr>
          <w:rFonts w:asciiTheme="minorHAnsi" w:eastAsiaTheme="minorHAnsi" w:hAnsiTheme="minorHAnsi" w:cstheme="minorHAnsi"/>
          <w:szCs w:val="24"/>
          <w:lang w:eastAsia="en-US"/>
        </w:rPr>
      </w:pPr>
      <w:r w:rsidRPr="009174CA">
        <w:rPr>
          <w:rFonts w:asciiTheme="minorHAnsi" w:eastAsiaTheme="minorHAnsi" w:hAnsiTheme="minorHAnsi" w:cstheme="minorHAnsi"/>
          <w:szCs w:val="24"/>
          <w:lang w:eastAsia="en-US"/>
        </w:rPr>
        <w:t xml:space="preserve">dotychczasowych oraz planowanych po realizacji projektu przychodów operacyjnych, pozostałych przychodów (w tym dotacji), przychodów finansowych (związanych </w:t>
      </w:r>
      <w:r w:rsidRPr="009174CA">
        <w:rPr>
          <w:rFonts w:asciiTheme="minorHAnsi" w:eastAsiaTheme="minorHAnsi" w:hAnsiTheme="minorHAnsi" w:cstheme="minorHAnsi"/>
          <w:szCs w:val="24"/>
          <w:lang w:eastAsia="en-US"/>
        </w:rPr>
        <w:br/>
        <w:t>z projektem),</w:t>
      </w:r>
    </w:p>
    <w:p w14:paraId="665A4C02" w14:textId="77777777" w:rsidR="00FD7DFC" w:rsidRPr="009174CA" w:rsidRDefault="00FD7DFC" w:rsidP="004D0859">
      <w:pPr>
        <w:numPr>
          <w:ilvl w:val="0"/>
          <w:numId w:val="69"/>
        </w:numPr>
        <w:suppressAutoHyphens w:val="0"/>
        <w:spacing w:line="276" w:lineRule="auto"/>
        <w:rPr>
          <w:rFonts w:asciiTheme="minorHAnsi" w:eastAsiaTheme="minorHAnsi" w:hAnsiTheme="minorHAnsi" w:cstheme="minorHAnsi"/>
          <w:szCs w:val="24"/>
          <w:lang w:eastAsia="en-US"/>
        </w:rPr>
      </w:pPr>
      <w:r w:rsidRPr="009174CA">
        <w:rPr>
          <w:rFonts w:asciiTheme="minorHAnsi" w:eastAsiaTheme="minorHAnsi" w:hAnsiTheme="minorHAnsi" w:cstheme="minorHAnsi"/>
          <w:szCs w:val="24"/>
          <w:lang w:eastAsia="en-US"/>
        </w:rPr>
        <w:t>oszczędności kosztów operacyjnych – jeśli dotyczy,</w:t>
      </w:r>
    </w:p>
    <w:p w14:paraId="3122C62A" w14:textId="77777777" w:rsidR="00FD7DFC" w:rsidRPr="009174CA" w:rsidRDefault="00FD7DFC" w:rsidP="004D0859">
      <w:pPr>
        <w:numPr>
          <w:ilvl w:val="0"/>
          <w:numId w:val="69"/>
        </w:numPr>
        <w:suppressAutoHyphens w:val="0"/>
        <w:spacing w:line="276" w:lineRule="auto"/>
        <w:rPr>
          <w:rFonts w:asciiTheme="minorHAnsi" w:eastAsiaTheme="minorHAnsi" w:hAnsiTheme="minorHAnsi" w:cstheme="minorHAnsi"/>
          <w:szCs w:val="24"/>
          <w:lang w:eastAsia="en-US"/>
        </w:rPr>
      </w:pPr>
      <w:r w:rsidRPr="009174CA">
        <w:rPr>
          <w:rFonts w:asciiTheme="minorHAnsi" w:eastAsiaTheme="minorHAnsi" w:hAnsiTheme="minorHAnsi" w:cstheme="minorHAnsi"/>
          <w:szCs w:val="24"/>
          <w:lang w:eastAsia="en-US"/>
        </w:rPr>
        <w:t>należności i zobowiązań, w szczególności istotnego krótko i długoterminowego zadłużenia, którego obsługa może wpłynąć na stabilność finansową projektu,</w:t>
      </w:r>
    </w:p>
    <w:p w14:paraId="1E190024" w14:textId="77777777" w:rsidR="00FD7DFC" w:rsidRDefault="00FD7DFC" w:rsidP="004D0859">
      <w:pPr>
        <w:numPr>
          <w:ilvl w:val="0"/>
          <w:numId w:val="69"/>
        </w:numPr>
        <w:suppressAutoHyphens w:val="0"/>
        <w:spacing w:line="276" w:lineRule="auto"/>
        <w:rPr>
          <w:rFonts w:asciiTheme="minorHAnsi" w:eastAsiaTheme="minorHAnsi" w:hAnsiTheme="minorHAnsi" w:cstheme="minorHAnsi"/>
          <w:szCs w:val="24"/>
          <w:lang w:eastAsia="en-US"/>
        </w:rPr>
      </w:pPr>
      <w:r w:rsidRPr="009174CA">
        <w:rPr>
          <w:rFonts w:asciiTheme="minorHAnsi" w:eastAsiaTheme="minorHAnsi" w:hAnsiTheme="minorHAnsi" w:cstheme="minorHAnsi"/>
          <w:szCs w:val="24"/>
          <w:lang w:eastAsia="en-US"/>
        </w:rPr>
        <w:t>innych istotnych informacji i warunków, które mogą wpłynąć na stabilność finansową projektu (np. zmiany cen rynkowych, zmiany przepisów),</w:t>
      </w:r>
    </w:p>
    <w:p w14:paraId="04271CC2" w14:textId="2744A266" w:rsidR="00FD7DFC" w:rsidRPr="004A44B0" w:rsidRDefault="00FD7DFC" w:rsidP="004D0859">
      <w:pPr>
        <w:numPr>
          <w:ilvl w:val="0"/>
          <w:numId w:val="69"/>
        </w:numPr>
        <w:suppressAutoHyphens w:val="0"/>
        <w:spacing w:line="276" w:lineRule="auto"/>
        <w:rPr>
          <w:rFonts w:asciiTheme="minorHAnsi" w:eastAsiaTheme="minorHAnsi" w:hAnsiTheme="minorHAnsi" w:cstheme="minorHAnsi"/>
          <w:szCs w:val="24"/>
          <w:lang w:eastAsia="en-US"/>
        </w:rPr>
      </w:pPr>
      <w:r w:rsidRPr="009174CA">
        <w:rPr>
          <w:rFonts w:asciiTheme="minorHAnsi" w:eastAsiaTheme="minorHAnsi" w:hAnsiTheme="minorHAnsi" w:cstheme="minorHAnsi"/>
          <w:szCs w:val="24"/>
          <w:lang w:eastAsia="en-US"/>
        </w:rPr>
        <w:t>uzasadnienia, że minimum w okresie trwałości projektu</w:t>
      </w:r>
      <w:r>
        <w:rPr>
          <w:rFonts w:asciiTheme="minorHAnsi" w:eastAsiaTheme="minorHAnsi" w:hAnsiTheme="minorHAnsi" w:cstheme="minorHAnsi"/>
          <w:szCs w:val="24"/>
          <w:lang w:eastAsia="en-US"/>
        </w:rPr>
        <w:t xml:space="preserve"> (5 lat lub 3 lata w przypadku MŚP)</w:t>
      </w:r>
      <w:r w:rsidRPr="009174CA">
        <w:rPr>
          <w:rFonts w:asciiTheme="minorHAnsi" w:eastAsiaTheme="minorHAnsi" w:hAnsiTheme="minorHAnsi" w:cstheme="minorHAnsi"/>
          <w:szCs w:val="24"/>
          <w:lang w:eastAsia="en-US"/>
        </w:rPr>
        <w:t xml:space="preserve"> określonego zgodnie z art. 65 Rozporządzenia UE nr 2021/1060 </w:t>
      </w:r>
      <w:r w:rsidR="00F850B4">
        <w:rPr>
          <w:rFonts w:asciiTheme="minorHAnsi" w:eastAsiaTheme="minorHAnsi" w:hAnsiTheme="minorHAnsi" w:cstheme="minorHAnsi"/>
          <w:szCs w:val="24"/>
          <w:lang w:eastAsia="en-US"/>
        </w:rPr>
        <w:t>W</w:t>
      </w:r>
      <w:r w:rsidRPr="009174CA">
        <w:rPr>
          <w:rFonts w:asciiTheme="minorHAnsi" w:eastAsiaTheme="minorHAnsi" w:hAnsiTheme="minorHAnsi" w:cstheme="minorHAnsi"/>
          <w:szCs w:val="24"/>
          <w:lang w:eastAsia="en-US"/>
        </w:rPr>
        <w:t>nioskodawca/</w:t>
      </w:r>
      <w:r w:rsidR="00D50F8F">
        <w:rPr>
          <w:rFonts w:asciiTheme="minorHAnsi" w:eastAsiaTheme="minorHAnsi" w:hAnsiTheme="minorHAnsi" w:cstheme="minorHAnsi"/>
          <w:szCs w:val="24"/>
          <w:lang w:eastAsia="en-US"/>
        </w:rPr>
        <w:t>P</w:t>
      </w:r>
      <w:r w:rsidRPr="009174CA">
        <w:rPr>
          <w:rFonts w:asciiTheme="minorHAnsi" w:eastAsiaTheme="minorHAnsi" w:hAnsiTheme="minorHAnsi" w:cstheme="minorHAnsi"/>
          <w:szCs w:val="24"/>
          <w:lang w:eastAsia="en-US"/>
        </w:rPr>
        <w:t>artner będzie w stanie pokryć koszty utrzymania i eksploatacji produktów projektu.</w:t>
      </w:r>
    </w:p>
    <w:p w14:paraId="6B86DFD1" w14:textId="77777777" w:rsidR="00FD7DFC" w:rsidRDefault="00FD7DFC" w:rsidP="004D0859">
      <w:pPr>
        <w:pStyle w:val="Nagwek1"/>
        <w:numPr>
          <w:ilvl w:val="2"/>
          <w:numId w:val="6"/>
        </w:numPr>
        <w:spacing w:after="120" w:line="276" w:lineRule="auto"/>
        <w:ind w:left="709" w:hanging="709"/>
        <w:rPr>
          <w:rFonts w:ascii="Calibri" w:hAnsi="Calibri"/>
          <w:sz w:val="24"/>
          <w:szCs w:val="24"/>
        </w:rPr>
      </w:pPr>
      <w:bookmarkStart w:id="30" w:name="_Toc214819279"/>
      <w:bookmarkStart w:id="31" w:name="_Toc241839704"/>
      <w:r>
        <w:rPr>
          <w:rFonts w:ascii="Calibri" w:hAnsi="Calibri"/>
          <w:sz w:val="24"/>
          <w:szCs w:val="24"/>
        </w:rPr>
        <w:t>ZGODNOŚĆ Z POLITYKĄ KONKURENCJI (POMOC PUBLICZNA)</w:t>
      </w:r>
      <w:bookmarkEnd w:id="30"/>
      <w:bookmarkEnd w:id="31"/>
    </w:p>
    <w:p w14:paraId="30454E9C" w14:textId="50E51688" w:rsidR="00FD7DFC" w:rsidRDefault="00FD7DFC" w:rsidP="00FD7DFC">
      <w:pPr>
        <w:pStyle w:val="Tekstpodstawowy22"/>
        <w:spacing w:before="120" w:after="120" w:line="276" w:lineRule="auto"/>
        <w:jc w:val="left"/>
        <w:rPr>
          <w:rFonts w:ascii="Calibri" w:hAnsi="Calibri"/>
          <w:szCs w:val="24"/>
        </w:rPr>
      </w:pPr>
      <w:r>
        <w:rPr>
          <w:rFonts w:ascii="Calibri" w:hAnsi="Calibri"/>
          <w:szCs w:val="24"/>
        </w:rPr>
        <w:t>U</w:t>
      </w:r>
      <w:r w:rsidRPr="004B77D6">
        <w:rPr>
          <w:rFonts w:ascii="Calibri" w:hAnsi="Calibri"/>
          <w:szCs w:val="24"/>
        </w:rPr>
        <w:t>dzielanie pomocy w ramach programu wymaga stosowania zasad pomocy publicznej. Oznacza to, że w przypadku składania wniosków przez beneficjentów prowadzących działalność gospodarczą, przez którą należy rozumieć - zgodnie z orzecznictwem</w:t>
      </w:r>
      <w:r w:rsidR="00781274">
        <w:rPr>
          <w:rFonts w:ascii="Calibri" w:hAnsi="Calibri"/>
          <w:szCs w:val="24"/>
        </w:rPr>
        <w:t xml:space="preserve"> </w:t>
      </w:r>
      <w:r w:rsidRPr="004B77D6">
        <w:rPr>
          <w:rFonts w:ascii="Calibri" w:hAnsi="Calibri"/>
          <w:szCs w:val="24"/>
        </w:rPr>
        <w:t xml:space="preserve">Europejskiego Trybunału Sprawiedliwości - </w:t>
      </w:r>
      <w:r w:rsidRPr="004B77D6">
        <w:rPr>
          <w:rFonts w:ascii="Calibri" w:hAnsi="Calibri"/>
          <w:i/>
          <w:szCs w:val="24"/>
        </w:rPr>
        <w:t xml:space="preserve">oferowanie towarów i usług na rynku także przez podmioty publiczne, </w:t>
      </w:r>
      <w:r w:rsidRPr="004B77D6">
        <w:rPr>
          <w:rFonts w:ascii="Calibri" w:hAnsi="Calibri"/>
          <w:iCs/>
          <w:szCs w:val="24"/>
        </w:rPr>
        <w:t xml:space="preserve">udzielanie wsparcia musi następować z uwzględnieniem warunków </w:t>
      </w:r>
      <w:r w:rsidRPr="004B77D6">
        <w:rPr>
          <w:rFonts w:ascii="Calibri" w:hAnsi="Calibri"/>
          <w:iCs/>
          <w:szCs w:val="24"/>
        </w:rPr>
        <w:lastRenderedPageBreak/>
        <w:t>dopuszczalności pomocy publicznej.</w:t>
      </w:r>
      <w:r w:rsidRPr="004B77D6">
        <w:rPr>
          <w:rFonts w:ascii="Calibri" w:hAnsi="Calibri"/>
          <w:i/>
          <w:szCs w:val="24"/>
        </w:rPr>
        <w:t xml:space="preserve"> </w:t>
      </w:r>
      <w:r w:rsidRPr="004B77D6">
        <w:rPr>
          <w:rFonts w:ascii="Calibri" w:hAnsi="Calibri"/>
          <w:szCs w:val="24"/>
        </w:rPr>
        <w:t>Decydujące znaczenie dla określenia czy dana działalność jest działalnością gospodarczą, jest stwierdzenie czy mogłaby być</w:t>
      </w:r>
      <w:r w:rsidR="00781274">
        <w:rPr>
          <w:rFonts w:ascii="Calibri" w:hAnsi="Calibri"/>
          <w:szCs w:val="24"/>
        </w:rPr>
        <w:t xml:space="preserve">, </w:t>
      </w:r>
      <w:r w:rsidRPr="004B77D6">
        <w:rPr>
          <w:rFonts w:ascii="Calibri" w:hAnsi="Calibri"/>
          <w:szCs w:val="24"/>
        </w:rPr>
        <w:t xml:space="preserve">co do zasady prowadzona przez podmiot prywatny w celu osiągnięcia zysku. </w:t>
      </w:r>
    </w:p>
    <w:p w14:paraId="6DE58FE9" w14:textId="77777777" w:rsidR="00FD7DFC" w:rsidRPr="004B77D6" w:rsidRDefault="00FD7DFC" w:rsidP="00492FC1">
      <w:pPr>
        <w:spacing w:before="120" w:after="120" w:line="276" w:lineRule="auto"/>
        <w:rPr>
          <w:rFonts w:ascii="Calibri" w:hAnsi="Calibri"/>
          <w:szCs w:val="24"/>
        </w:rPr>
      </w:pPr>
      <w:r w:rsidRPr="004B77D6">
        <w:rPr>
          <w:rFonts w:ascii="Calibri" w:hAnsi="Calibri"/>
          <w:szCs w:val="24"/>
        </w:rPr>
        <w:t xml:space="preserve">W punkcie tym należy zamieścić następujące informacje: </w:t>
      </w:r>
    </w:p>
    <w:p w14:paraId="683F5DE1" w14:textId="77777777" w:rsidR="00781274" w:rsidRDefault="00FD7DFC" w:rsidP="00781274">
      <w:pPr>
        <w:pStyle w:val="Tekstpodstawowy"/>
        <w:numPr>
          <w:ilvl w:val="0"/>
          <w:numId w:val="23"/>
        </w:numPr>
        <w:spacing w:before="120" w:line="276" w:lineRule="auto"/>
        <w:rPr>
          <w:rFonts w:ascii="Calibri" w:hAnsi="Calibri"/>
        </w:rPr>
      </w:pPr>
      <w:r w:rsidRPr="004B77D6">
        <w:rPr>
          <w:rFonts w:ascii="Calibri" w:hAnsi="Calibri"/>
        </w:rPr>
        <w:t xml:space="preserve">czy beneficjent prowadzi/będzie prowadził działalność gospodarczą i jaki jest/będzie jej </w:t>
      </w:r>
      <w:r w:rsidR="00633984" w:rsidRPr="004B77D6">
        <w:rPr>
          <w:rFonts w:ascii="Calibri" w:hAnsi="Calibri"/>
        </w:rPr>
        <w:t>zakres?</w:t>
      </w:r>
    </w:p>
    <w:p w14:paraId="404FD92A" w14:textId="5B5F0B3F" w:rsidR="00781274" w:rsidRPr="00781274" w:rsidRDefault="00781274" w:rsidP="00781274">
      <w:pPr>
        <w:pStyle w:val="Tekstpodstawowy"/>
        <w:numPr>
          <w:ilvl w:val="0"/>
          <w:numId w:val="23"/>
        </w:numPr>
        <w:spacing w:before="120" w:line="276" w:lineRule="auto"/>
        <w:rPr>
          <w:rFonts w:ascii="Calibri" w:hAnsi="Calibri"/>
        </w:rPr>
      </w:pPr>
      <w:r w:rsidRPr="00781274">
        <w:rPr>
          <w:rFonts w:ascii="Calibri" w:hAnsi="Calibri"/>
        </w:rPr>
        <w:t>czy zadanie, którego dotyczy dofinansowanie wiąże się z oferowaniem na rynku towarów lub usług?</w:t>
      </w:r>
    </w:p>
    <w:p w14:paraId="094D6BC2" w14:textId="697E2175" w:rsidR="00FD7DFC" w:rsidRPr="004B77D6" w:rsidRDefault="00FD7DFC" w:rsidP="004D0859">
      <w:pPr>
        <w:pStyle w:val="Tekstpodstawowy"/>
        <w:numPr>
          <w:ilvl w:val="0"/>
          <w:numId w:val="23"/>
        </w:numPr>
        <w:spacing w:before="120" w:line="276" w:lineRule="auto"/>
        <w:rPr>
          <w:rFonts w:ascii="Calibri" w:hAnsi="Calibri"/>
        </w:rPr>
      </w:pPr>
      <w:r w:rsidRPr="004B77D6">
        <w:rPr>
          <w:rFonts w:ascii="Calibri" w:hAnsi="Calibri"/>
        </w:rPr>
        <w:t>na jaki cel beneficjent przeznacza/będzie przekazywał środki uzyskane z prowadzonej działalności gospodarczej?</w:t>
      </w:r>
    </w:p>
    <w:p w14:paraId="7FA5E35C" w14:textId="0EB33D14" w:rsidR="00781274" w:rsidRPr="004B77D6" w:rsidRDefault="00FD7DFC" w:rsidP="00781274">
      <w:pPr>
        <w:pStyle w:val="Tekstpodstawowy"/>
        <w:spacing w:before="120" w:line="276" w:lineRule="auto"/>
        <w:ind w:left="360"/>
        <w:rPr>
          <w:rFonts w:ascii="Calibri" w:hAnsi="Calibri"/>
          <w:u w:val="single"/>
        </w:rPr>
      </w:pPr>
      <w:bookmarkStart w:id="32" w:name="_Hlk187926270"/>
      <w:r w:rsidRPr="004B77D6">
        <w:rPr>
          <w:rFonts w:ascii="Calibri" w:hAnsi="Calibri"/>
          <w:u w:val="single"/>
        </w:rPr>
        <w:t xml:space="preserve">oraz przeprowadzić test pomocy publicznej </w:t>
      </w:r>
      <w:r w:rsidR="00781274" w:rsidRPr="00492FC1">
        <w:rPr>
          <w:rFonts w:ascii="Calibri" w:hAnsi="Calibri"/>
          <w:b/>
          <w:bCs/>
          <w:u w:val="single"/>
        </w:rPr>
        <w:t xml:space="preserve">odnosząc się </w:t>
      </w:r>
      <w:r w:rsidR="002B20C3">
        <w:rPr>
          <w:rFonts w:ascii="Calibri" w:hAnsi="Calibri"/>
          <w:b/>
          <w:bCs/>
          <w:u w:val="single"/>
        </w:rPr>
        <w:t xml:space="preserve">odrębnie </w:t>
      </w:r>
      <w:r w:rsidR="00781274" w:rsidRPr="00492FC1">
        <w:rPr>
          <w:rFonts w:ascii="Calibri" w:hAnsi="Calibri"/>
          <w:b/>
          <w:bCs/>
          <w:u w:val="single"/>
        </w:rPr>
        <w:t>do poszczególnych przedsięwzięć</w:t>
      </w:r>
      <w:r w:rsidR="00781274" w:rsidRPr="00492FC1">
        <w:rPr>
          <w:rFonts w:ascii="Calibri" w:hAnsi="Calibri"/>
          <w:u w:val="single"/>
        </w:rPr>
        <w:t xml:space="preserve"> planowanych do realizacji przez Wnioskodawcę i Partnerów (jeśli dotyczy)</w:t>
      </w:r>
      <w:r w:rsidR="00781274">
        <w:rPr>
          <w:rFonts w:ascii="Calibri" w:hAnsi="Calibri"/>
          <w:u w:val="single"/>
        </w:rPr>
        <w:t xml:space="preserve"> oraz</w:t>
      </w:r>
      <w:r w:rsidR="00781274" w:rsidRPr="004B77D6">
        <w:rPr>
          <w:rFonts w:ascii="Calibri" w:hAnsi="Calibri"/>
          <w:u w:val="single"/>
        </w:rPr>
        <w:t xml:space="preserve"> do poniższych warunków:</w:t>
      </w:r>
    </w:p>
    <w:p w14:paraId="774A1779" w14:textId="10B6D4AA" w:rsidR="00FD7DFC" w:rsidRPr="004B77D6" w:rsidRDefault="00FD7DFC" w:rsidP="00781274">
      <w:pPr>
        <w:pStyle w:val="Tekstpodstawowy"/>
        <w:numPr>
          <w:ilvl w:val="0"/>
          <w:numId w:val="78"/>
        </w:numPr>
        <w:spacing w:before="120" w:line="276" w:lineRule="auto"/>
        <w:rPr>
          <w:rFonts w:ascii="Calibri" w:hAnsi="Calibri"/>
        </w:rPr>
      </w:pPr>
      <w:r w:rsidRPr="004B77D6">
        <w:rPr>
          <w:rFonts w:ascii="Calibri" w:hAnsi="Calibri"/>
          <w:i/>
        </w:rPr>
        <w:t xml:space="preserve">transfer środków publicznych – </w:t>
      </w:r>
      <w:r w:rsidRPr="004B77D6">
        <w:rPr>
          <w:rFonts w:ascii="Calibri" w:hAnsi="Calibri"/>
        </w:rPr>
        <w:t>wsparcie</w:t>
      </w:r>
      <w:r w:rsidRPr="004B77D6">
        <w:rPr>
          <w:rFonts w:ascii="Calibri" w:hAnsi="Calibri"/>
          <w:i/>
        </w:rPr>
        <w:t xml:space="preserve"> </w:t>
      </w:r>
      <w:r w:rsidRPr="004B77D6">
        <w:rPr>
          <w:rFonts w:ascii="Calibri" w:hAnsi="Calibri"/>
        </w:rPr>
        <w:t>przekazywane jest przez państwo lub przy wykorzystaniu zasobów państwowych</w:t>
      </w:r>
      <w:r w:rsidR="00492FC1">
        <w:rPr>
          <w:rFonts w:ascii="Calibri" w:hAnsi="Calibri"/>
        </w:rPr>
        <w:t>;</w:t>
      </w:r>
    </w:p>
    <w:p w14:paraId="70737B82" w14:textId="35862E13" w:rsidR="00FD7DFC" w:rsidRPr="004B77D6" w:rsidRDefault="00FD7DFC" w:rsidP="004D0859">
      <w:pPr>
        <w:numPr>
          <w:ilvl w:val="1"/>
          <w:numId w:val="23"/>
        </w:numPr>
        <w:spacing w:after="120" w:line="276" w:lineRule="auto"/>
        <w:ind w:left="714" w:hanging="357"/>
        <w:rPr>
          <w:rFonts w:ascii="Calibri" w:hAnsi="Calibri"/>
          <w:szCs w:val="24"/>
        </w:rPr>
      </w:pPr>
      <w:r w:rsidRPr="004B77D6">
        <w:rPr>
          <w:rFonts w:ascii="Calibri" w:hAnsi="Calibri"/>
          <w:i/>
          <w:szCs w:val="24"/>
        </w:rPr>
        <w:t xml:space="preserve">korzyść ekonomiczna – </w:t>
      </w:r>
      <w:r w:rsidRPr="00633984">
        <w:rPr>
          <w:rFonts w:ascii="Calibri" w:hAnsi="Calibri"/>
          <w:iCs/>
          <w:szCs w:val="24"/>
        </w:rPr>
        <w:t xml:space="preserve">występuje wtedy, gdy przekazywane jest wsparcie </w:t>
      </w:r>
      <w:r w:rsidRPr="00633984">
        <w:rPr>
          <w:rFonts w:ascii="Calibri" w:hAnsi="Calibri"/>
          <w:iCs/>
          <w:szCs w:val="24"/>
        </w:rPr>
        <w:br/>
        <w:t>o charakterze bezzwrotnym, udzielane są pożyczki/kredyty z oprocentowaniem poniżej stopy rynkowej (stopy referencyjnej KE), dokonuje się odroczenia/rozłożenia na raty płatności po stopie niższej od stopy rynkowej</w:t>
      </w:r>
      <w:r w:rsidR="00492FC1">
        <w:rPr>
          <w:rFonts w:ascii="Calibri" w:hAnsi="Calibri"/>
          <w:iCs/>
          <w:szCs w:val="24"/>
        </w:rPr>
        <w:t>;</w:t>
      </w:r>
    </w:p>
    <w:p w14:paraId="1956227D" w14:textId="28D05E48" w:rsidR="00FD7DFC" w:rsidRPr="00492FC1" w:rsidRDefault="00FD7DFC" w:rsidP="004D0859">
      <w:pPr>
        <w:numPr>
          <w:ilvl w:val="1"/>
          <w:numId w:val="23"/>
        </w:numPr>
        <w:spacing w:after="120" w:line="276" w:lineRule="auto"/>
        <w:ind w:left="714" w:hanging="357"/>
        <w:rPr>
          <w:rFonts w:ascii="Calibri" w:hAnsi="Calibri"/>
          <w:iCs/>
          <w:szCs w:val="24"/>
        </w:rPr>
      </w:pPr>
      <w:r w:rsidRPr="004B77D6">
        <w:rPr>
          <w:rFonts w:ascii="Calibri" w:hAnsi="Calibri"/>
          <w:i/>
          <w:szCs w:val="24"/>
        </w:rPr>
        <w:t xml:space="preserve">selektywność – </w:t>
      </w:r>
      <w:r w:rsidRPr="00492FC1">
        <w:rPr>
          <w:rFonts w:ascii="Calibri" w:hAnsi="Calibri"/>
          <w:iCs/>
          <w:szCs w:val="24"/>
        </w:rPr>
        <w:t>wsparcie uprzywilejowuje konkretne przedsiębiorstwa lub grupy przedsiębiorstw, bądź produkcję określonych towarów</w:t>
      </w:r>
      <w:r w:rsidR="00492FC1">
        <w:rPr>
          <w:rFonts w:ascii="Calibri" w:hAnsi="Calibri"/>
          <w:iCs/>
          <w:szCs w:val="24"/>
        </w:rPr>
        <w:t>;</w:t>
      </w:r>
    </w:p>
    <w:p w14:paraId="1875DD6B" w14:textId="735502D9" w:rsidR="00FD7DFC" w:rsidRPr="00492FC1" w:rsidRDefault="00FD7DFC" w:rsidP="004D0859">
      <w:pPr>
        <w:numPr>
          <w:ilvl w:val="1"/>
          <w:numId w:val="23"/>
        </w:numPr>
        <w:spacing w:after="120" w:line="276" w:lineRule="auto"/>
        <w:ind w:left="714" w:hanging="357"/>
        <w:rPr>
          <w:rFonts w:ascii="Calibri" w:hAnsi="Calibri"/>
          <w:iCs/>
          <w:szCs w:val="24"/>
        </w:rPr>
      </w:pPr>
      <w:r w:rsidRPr="004B77D6">
        <w:rPr>
          <w:rFonts w:ascii="Calibri" w:hAnsi="Calibri"/>
          <w:i/>
          <w:szCs w:val="24"/>
        </w:rPr>
        <w:t xml:space="preserve">wpływ na konkurencję – </w:t>
      </w:r>
      <w:r w:rsidRPr="00492FC1">
        <w:rPr>
          <w:rFonts w:ascii="Calibri" w:hAnsi="Calibri"/>
          <w:iCs/>
          <w:szCs w:val="24"/>
        </w:rPr>
        <w:t>wsparcie zakłóca lub grozi zakłóceniem konkurencji</w:t>
      </w:r>
      <w:r w:rsidR="00492FC1">
        <w:rPr>
          <w:rFonts w:ascii="Calibri" w:hAnsi="Calibri"/>
          <w:iCs/>
          <w:szCs w:val="24"/>
        </w:rPr>
        <w:t>;</w:t>
      </w:r>
    </w:p>
    <w:p w14:paraId="7CBC1AB3" w14:textId="77777777" w:rsidR="00FD7DFC" w:rsidRPr="004B77D6" w:rsidRDefault="00FD7DFC" w:rsidP="004D0859">
      <w:pPr>
        <w:numPr>
          <w:ilvl w:val="1"/>
          <w:numId w:val="23"/>
        </w:numPr>
        <w:spacing w:after="120" w:line="276" w:lineRule="auto"/>
        <w:ind w:left="714" w:hanging="357"/>
        <w:rPr>
          <w:rFonts w:ascii="Calibri" w:hAnsi="Calibri"/>
          <w:szCs w:val="24"/>
        </w:rPr>
      </w:pPr>
      <w:r w:rsidRPr="004B77D6">
        <w:rPr>
          <w:rFonts w:ascii="Calibri" w:hAnsi="Calibri"/>
          <w:i/>
          <w:szCs w:val="24"/>
        </w:rPr>
        <w:t xml:space="preserve">wpływ na wymianę handlową – </w:t>
      </w:r>
      <w:r w:rsidRPr="004B77D6">
        <w:rPr>
          <w:rFonts w:ascii="Calibri" w:hAnsi="Calibri"/>
          <w:szCs w:val="24"/>
        </w:rPr>
        <w:t xml:space="preserve">zgodnie z Traktatem WE każda pomoc, która wpływa na wymianę handlową między państwami członkowskimi jest uznawana za niezgodną </w:t>
      </w:r>
      <w:r w:rsidRPr="004B77D6">
        <w:rPr>
          <w:rFonts w:ascii="Calibri" w:hAnsi="Calibri"/>
          <w:szCs w:val="24"/>
        </w:rPr>
        <w:br/>
        <w:t xml:space="preserve">ze wspólnym rynkiem. </w:t>
      </w:r>
    </w:p>
    <w:bookmarkEnd w:id="32"/>
    <w:p w14:paraId="0FB4F4A3" w14:textId="77777777" w:rsidR="009C0A80" w:rsidRDefault="00FD7DFC" w:rsidP="009C0A80">
      <w:pPr>
        <w:spacing w:before="120" w:after="120" w:line="276" w:lineRule="auto"/>
        <w:rPr>
          <w:rFonts w:ascii="Calibri" w:hAnsi="Calibri"/>
          <w:szCs w:val="24"/>
        </w:rPr>
      </w:pPr>
      <w:r w:rsidRPr="004B77D6">
        <w:rPr>
          <w:rFonts w:ascii="Calibri" w:hAnsi="Calibri"/>
          <w:szCs w:val="24"/>
        </w:rPr>
        <w:t xml:space="preserve">Przepisom o pomocy publicznej podlegają wszystkie kategorie podmiotów, które prowadzą działalność gospodarczą, niezależnie od formy prawnej i źródeł finansowania oraz tego </w:t>
      </w:r>
      <w:r w:rsidRPr="004B77D6">
        <w:rPr>
          <w:rFonts w:ascii="Calibri" w:hAnsi="Calibri"/>
          <w:szCs w:val="24"/>
        </w:rPr>
        <w:br/>
        <w:t>czy są nastawione na zysk.</w:t>
      </w:r>
      <w:bookmarkStart w:id="33" w:name="_Toc477857431"/>
      <w:bookmarkStart w:id="34" w:name="_Toc127344055"/>
      <w:bookmarkStart w:id="35" w:name="_Toc214819288"/>
    </w:p>
    <w:p w14:paraId="58A19EE6" w14:textId="77777777" w:rsidR="00781274" w:rsidRPr="00271940" w:rsidRDefault="00781274" w:rsidP="00781274">
      <w:pPr>
        <w:spacing w:before="120" w:after="120" w:line="276" w:lineRule="auto"/>
        <w:rPr>
          <w:rFonts w:ascii="Calibri" w:hAnsi="Calibri"/>
        </w:rPr>
      </w:pPr>
      <w:r w:rsidRPr="00271940">
        <w:rPr>
          <w:rFonts w:ascii="Calibri" w:eastAsia="Calibri" w:hAnsi="Calibri" w:cs="Calibri"/>
        </w:rPr>
        <w:t xml:space="preserve">W ramach działań związanych z gospodarką odpadami oraz gospodarką o obiegu zamkniętym, usługi świadczone przez przedsiębiorstwa na rzecz lub w imieniu jednostek samorządu terytorialnego mogą zostać zakwalifikowane jako </w:t>
      </w:r>
      <w:r w:rsidRPr="00271940">
        <w:rPr>
          <w:rFonts w:ascii="Calibri" w:eastAsia="Calibri" w:hAnsi="Calibri" w:cs="Calibri"/>
          <w:b/>
          <w:bCs/>
        </w:rPr>
        <w:t>usługi świadczone w ogólnym interesie gospodarczym (UOIG)</w:t>
      </w:r>
      <w:r w:rsidRPr="00271940">
        <w:rPr>
          <w:rFonts w:ascii="Calibri" w:eastAsia="Calibri" w:hAnsi="Calibri" w:cs="Calibri"/>
        </w:rPr>
        <w:t xml:space="preserve"> w rozumieniu art. 106 ust. 2 Traktatu o funkcjonowaniu Unii Europejskiej (TFUE).</w:t>
      </w:r>
    </w:p>
    <w:p w14:paraId="4B59B5E5" w14:textId="1AC98FEE" w:rsidR="00781274" w:rsidRPr="00271940" w:rsidRDefault="00781274" w:rsidP="00781274">
      <w:pPr>
        <w:spacing w:after="120" w:line="288" w:lineRule="auto"/>
        <w:contextualSpacing/>
        <w:rPr>
          <w:rFonts w:ascii="Calibri" w:eastAsia="Calibri" w:hAnsi="Calibri" w:cs="Calibri"/>
        </w:rPr>
      </w:pPr>
      <w:r w:rsidRPr="00271940">
        <w:rPr>
          <w:rFonts w:ascii="Calibri" w:eastAsia="Calibri" w:hAnsi="Calibri" w:cs="Calibri"/>
        </w:rPr>
        <w:t xml:space="preserve">Usługi w obszarze odpadów i </w:t>
      </w:r>
      <w:r w:rsidR="00B175F7">
        <w:rPr>
          <w:rFonts w:ascii="Calibri" w:eastAsia="Calibri" w:hAnsi="Calibri" w:cs="Calibri"/>
        </w:rPr>
        <w:t>gospodarki o obiegu zamkniętym</w:t>
      </w:r>
      <w:r w:rsidRPr="00271940">
        <w:rPr>
          <w:rFonts w:ascii="Calibri" w:eastAsia="Calibri" w:hAnsi="Calibri" w:cs="Calibri"/>
        </w:rPr>
        <w:t xml:space="preserve"> uzyskują status UOIG, jeżeli łącznie spełniają następujące kryteria:</w:t>
      </w:r>
    </w:p>
    <w:p w14:paraId="4BA3F1F3" w14:textId="7F7A5388" w:rsidR="00781274" w:rsidRPr="00271940" w:rsidRDefault="00781274" w:rsidP="00781274">
      <w:pPr>
        <w:numPr>
          <w:ilvl w:val="0"/>
          <w:numId w:val="76"/>
        </w:numPr>
        <w:spacing w:after="120" w:line="276" w:lineRule="auto"/>
        <w:contextualSpacing/>
        <w:rPr>
          <w:rFonts w:ascii="Calibri" w:eastAsia="Calibri" w:hAnsi="Calibri" w:cs="Calibri"/>
          <w:lang w:val="x-none"/>
        </w:rPr>
      </w:pPr>
      <w:r w:rsidRPr="00271940">
        <w:rPr>
          <w:rFonts w:ascii="Calibri" w:eastAsia="Calibri" w:hAnsi="Calibri" w:cs="Calibri"/>
          <w:lang w:val="x-none"/>
        </w:rPr>
        <w:lastRenderedPageBreak/>
        <w:t>Przedsiębiorstwo (np. spółka komunalna lub podmiot zewnętrzny) został</w:t>
      </w:r>
      <w:r w:rsidR="00C74D86">
        <w:rPr>
          <w:rFonts w:ascii="Calibri" w:eastAsia="Calibri" w:hAnsi="Calibri" w:cs="Calibri"/>
          <w:lang w:val="x-none"/>
        </w:rPr>
        <w:t>o</w:t>
      </w:r>
      <w:r w:rsidRPr="00271940">
        <w:rPr>
          <w:rFonts w:ascii="Calibri" w:eastAsia="Calibri" w:hAnsi="Calibri" w:cs="Calibri"/>
          <w:lang w:val="x-none"/>
        </w:rPr>
        <w:t xml:space="preserve"> zobowiązan</w:t>
      </w:r>
      <w:r w:rsidR="00C74D86">
        <w:rPr>
          <w:rFonts w:ascii="Calibri" w:eastAsia="Calibri" w:hAnsi="Calibri" w:cs="Calibri"/>
          <w:lang w:val="x-none"/>
        </w:rPr>
        <w:t>e</w:t>
      </w:r>
      <w:r w:rsidRPr="00271940">
        <w:rPr>
          <w:rFonts w:ascii="Calibri" w:eastAsia="Calibri" w:hAnsi="Calibri" w:cs="Calibri"/>
          <w:lang w:val="x-none"/>
        </w:rPr>
        <w:t xml:space="preserve"> do świadczenia usług publicznych na podstawie formalnego, wiążącego aktu powierzenia (np. umowy koncesji, umowy w trybie zamówień publicznych, decyzji administracyjnej lub uchwały organu stanowiącego JST).</w:t>
      </w:r>
    </w:p>
    <w:p w14:paraId="6B85D65C" w14:textId="77777777" w:rsidR="00781274" w:rsidRPr="00271940" w:rsidRDefault="00781274" w:rsidP="00781274">
      <w:pPr>
        <w:numPr>
          <w:ilvl w:val="0"/>
          <w:numId w:val="76"/>
        </w:numPr>
        <w:spacing w:after="120" w:line="276" w:lineRule="auto"/>
        <w:contextualSpacing/>
        <w:rPr>
          <w:rFonts w:ascii="Calibri" w:eastAsia="Calibri" w:hAnsi="Calibri" w:cs="Calibri"/>
          <w:lang w:val="x-none"/>
        </w:rPr>
      </w:pPr>
      <w:r w:rsidRPr="00271940">
        <w:rPr>
          <w:rFonts w:ascii="Calibri" w:eastAsia="Calibri" w:hAnsi="Calibri" w:cs="Calibri"/>
          <w:lang w:val="x-none"/>
        </w:rPr>
        <w:t>Akt powierzenia określa w sposób obiektywny i przejrzysty parametry, na podstawie których obliczona jest rekompensata, w tym co najmniej:</w:t>
      </w:r>
    </w:p>
    <w:p w14:paraId="087D7485" w14:textId="77777777" w:rsidR="00781274" w:rsidRPr="00271940" w:rsidRDefault="00781274" w:rsidP="00781274">
      <w:pPr>
        <w:numPr>
          <w:ilvl w:val="0"/>
          <w:numId w:val="77"/>
        </w:numPr>
        <w:spacing w:after="120" w:line="276" w:lineRule="auto"/>
        <w:contextualSpacing/>
        <w:rPr>
          <w:rFonts w:ascii="Calibri" w:eastAsia="Calibri" w:hAnsi="Calibri" w:cs="Calibri"/>
          <w:lang w:val="x-none"/>
        </w:rPr>
      </w:pPr>
      <w:r w:rsidRPr="00271940">
        <w:rPr>
          <w:rFonts w:ascii="Calibri" w:eastAsia="Calibri" w:hAnsi="Calibri" w:cs="Calibri"/>
          <w:lang w:val="x-none"/>
        </w:rPr>
        <w:t>treść i czas trwania zobowiązania z tytułu świadczenia usług publicznych,</w:t>
      </w:r>
    </w:p>
    <w:p w14:paraId="4FEBD7C6" w14:textId="77777777" w:rsidR="00781274" w:rsidRPr="00271940" w:rsidRDefault="00781274" w:rsidP="00781274">
      <w:pPr>
        <w:numPr>
          <w:ilvl w:val="0"/>
          <w:numId w:val="77"/>
        </w:numPr>
        <w:spacing w:after="120" w:line="276" w:lineRule="auto"/>
        <w:contextualSpacing/>
        <w:rPr>
          <w:rFonts w:ascii="Calibri" w:eastAsia="Calibri" w:hAnsi="Calibri" w:cs="Calibri"/>
          <w:lang w:val="x-none"/>
        </w:rPr>
      </w:pPr>
      <w:r w:rsidRPr="00271940">
        <w:rPr>
          <w:rFonts w:ascii="Calibri" w:eastAsia="Calibri" w:hAnsi="Calibri" w:cs="Calibri"/>
          <w:lang w:val="x-none"/>
        </w:rPr>
        <w:t>przedsiębiorstwo i w stosownych przypadkach odnośne terytorium,</w:t>
      </w:r>
    </w:p>
    <w:p w14:paraId="25C1AF62" w14:textId="77777777" w:rsidR="00781274" w:rsidRPr="00271940" w:rsidRDefault="00781274" w:rsidP="00781274">
      <w:pPr>
        <w:numPr>
          <w:ilvl w:val="0"/>
          <w:numId w:val="77"/>
        </w:numPr>
        <w:spacing w:after="120" w:line="276" w:lineRule="auto"/>
        <w:contextualSpacing/>
        <w:rPr>
          <w:rFonts w:ascii="Calibri" w:eastAsia="Calibri" w:hAnsi="Calibri" w:cs="Calibri"/>
          <w:lang w:val="x-none"/>
        </w:rPr>
      </w:pPr>
      <w:r w:rsidRPr="00271940">
        <w:rPr>
          <w:rFonts w:ascii="Calibri" w:eastAsia="Calibri" w:hAnsi="Calibri" w:cs="Calibri"/>
          <w:lang w:val="x-none"/>
        </w:rPr>
        <w:t>charakter wszelkich praw wyłącznych lub specjalnych przyznanych przedsiębiorstwu przez odnośny organ,</w:t>
      </w:r>
    </w:p>
    <w:p w14:paraId="1271FE06" w14:textId="77777777" w:rsidR="00781274" w:rsidRPr="00271940" w:rsidRDefault="00781274" w:rsidP="00781274">
      <w:pPr>
        <w:numPr>
          <w:ilvl w:val="0"/>
          <w:numId w:val="77"/>
        </w:numPr>
        <w:spacing w:after="120" w:line="276" w:lineRule="auto"/>
        <w:contextualSpacing/>
        <w:rPr>
          <w:rFonts w:ascii="Calibri" w:eastAsia="Calibri" w:hAnsi="Calibri" w:cs="Calibri"/>
          <w:lang w:val="x-none"/>
        </w:rPr>
      </w:pPr>
      <w:r w:rsidRPr="00271940">
        <w:rPr>
          <w:rFonts w:ascii="Calibri" w:eastAsia="Calibri" w:hAnsi="Calibri" w:cs="Calibri"/>
          <w:lang w:val="x-none"/>
        </w:rPr>
        <w:t>parametry służące do obliczania, kontrolowania i przeglądu kwot rekompensaty,</w:t>
      </w:r>
    </w:p>
    <w:p w14:paraId="3A2AE13B" w14:textId="77777777" w:rsidR="00781274" w:rsidRPr="00271940" w:rsidRDefault="00781274" w:rsidP="00781274">
      <w:pPr>
        <w:numPr>
          <w:ilvl w:val="0"/>
          <w:numId w:val="77"/>
        </w:numPr>
        <w:spacing w:after="120" w:line="276" w:lineRule="auto"/>
        <w:contextualSpacing/>
        <w:rPr>
          <w:rFonts w:ascii="Calibri" w:eastAsia="Calibri" w:hAnsi="Calibri" w:cs="Calibri"/>
          <w:lang w:val="x-none"/>
        </w:rPr>
      </w:pPr>
      <w:r w:rsidRPr="00271940">
        <w:rPr>
          <w:rFonts w:ascii="Calibri" w:eastAsia="Calibri" w:hAnsi="Calibri" w:cs="Calibri"/>
          <w:lang w:val="x-none"/>
        </w:rPr>
        <w:t>ustalenia dotyczące unikania nadwyżki rekompensaty i jej zwrotu.</w:t>
      </w:r>
    </w:p>
    <w:p w14:paraId="1A0F5EFD" w14:textId="77777777" w:rsidR="00781274" w:rsidRPr="00271940" w:rsidRDefault="00781274" w:rsidP="00781274">
      <w:pPr>
        <w:spacing w:after="120"/>
        <w:ind w:left="360"/>
        <w:contextualSpacing/>
        <w:rPr>
          <w:rFonts w:ascii="Calibri" w:hAnsi="Calibri" w:cs="Calibri"/>
        </w:rPr>
      </w:pPr>
      <w:r w:rsidRPr="00271940">
        <w:rPr>
          <w:rFonts w:ascii="Calibri" w:hAnsi="Calibri" w:cs="Calibri"/>
        </w:rPr>
        <w:t xml:space="preserve">Parametry służące jako podstawa do obliczenia rekompensaty </w:t>
      </w:r>
      <w:r w:rsidRPr="00271940">
        <w:rPr>
          <w:rFonts w:ascii="Calibri" w:hAnsi="Calibri" w:cs="Calibri"/>
          <w:u w:val="single"/>
        </w:rPr>
        <w:t>muszą być określone z wyprzedzeniem</w:t>
      </w:r>
      <w:r w:rsidRPr="00271940">
        <w:rPr>
          <w:rFonts w:ascii="Calibri" w:hAnsi="Calibri" w:cs="Calibri"/>
        </w:rPr>
        <w:t>.</w:t>
      </w:r>
    </w:p>
    <w:p w14:paraId="5ABBDF7C" w14:textId="77777777" w:rsidR="00781274" w:rsidRPr="00271940" w:rsidRDefault="00781274" w:rsidP="00781274">
      <w:pPr>
        <w:numPr>
          <w:ilvl w:val="0"/>
          <w:numId w:val="76"/>
        </w:numPr>
        <w:spacing w:after="120" w:line="276" w:lineRule="auto"/>
        <w:contextualSpacing/>
        <w:rPr>
          <w:rFonts w:ascii="Calibri" w:eastAsia="Calibri" w:hAnsi="Calibri" w:cs="Calibri"/>
          <w:lang w:val="x-none"/>
        </w:rPr>
      </w:pPr>
      <w:r w:rsidRPr="00271940">
        <w:rPr>
          <w:rFonts w:ascii="Calibri" w:eastAsia="Calibri" w:hAnsi="Calibri" w:cs="Calibri"/>
          <w:lang w:val="x-none"/>
        </w:rPr>
        <w:t xml:space="preserve">Rekompensata nie przekracza kwoty niezbędnej do pokrycia całości lub części kosztów poniesionych w celu realizacji usługi w ogólnym interesie gospodarczym, przy uwzględnieniu przychodów oraz rozsądnego zysku. </w:t>
      </w:r>
    </w:p>
    <w:p w14:paraId="74796E23" w14:textId="77777777" w:rsidR="00781274" w:rsidRPr="00271940" w:rsidRDefault="00781274" w:rsidP="00781274">
      <w:pPr>
        <w:numPr>
          <w:ilvl w:val="0"/>
          <w:numId w:val="76"/>
        </w:numPr>
        <w:spacing w:after="120" w:line="276" w:lineRule="auto"/>
        <w:contextualSpacing/>
        <w:rPr>
          <w:rFonts w:ascii="Calibri" w:eastAsia="Calibri" w:hAnsi="Calibri" w:cs="Calibri"/>
          <w:lang w:val="x-none"/>
        </w:rPr>
      </w:pPr>
      <w:r w:rsidRPr="00271940">
        <w:rPr>
          <w:rFonts w:ascii="Calibri" w:eastAsia="Calibri" w:hAnsi="Calibri" w:cs="Calibri"/>
          <w:lang w:val="x-none"/>
        </w:rPr>
        <w:t xml:space="preserve">Jeżeli wybór przedsiębiorstwa nie został dokonany w ramach procedury udzielania zamówień publicznych, poziom rekompensaty powinien zostać ustalony na podstawie analizy kosztów, jakie przeciętne, prawidłowo zarządzane i odpowiednio wyposażone przedsiębiorstwo poniosłoby na wykonanie usługi, przy uwzględnieniu przychodów oraz rozsądnego zysku.  </w:t>
      </w:r>
    </w:p>
    <w:p w14:paraId="7183299A" w14:textId="77777777" w:rsidR="00781274" w:rsidRPr="00271940" w:rsidRDefault="00781274" w:rsidP="00781274">
      <w:pPr>
        <w:spacing w:after="120" w:line="276" w:lineRule="auto"/>
        <w:contextualSpacing/>
        <w:rPr>
          <w:rFonts w:ascii="Calibri" w:eastAsia="Calibri" w:hAnsi="Calibri" w:cs="Calibri"/>
        </w:rPr>
      </w:pPr>
      <w:r w:rsidRPr="00271940">
        <w:rPr>
          <w:rFonts w:ascii="Calibri" w:eastAsia="Calibri" w:hAnsi="Calibri" w:cs="Calibri"/>
        </w:rPr>
        <w:t xml:space="preserve">Środki przeznaczone na realizację projektów w ramach działania </w:t>
      </w:r>
      <w:r w:rsidRPr="00271940">
        <w:rPr>
          <w:rFonts w:ascii="Calibri" w:eastAsia="Calibri" w:hAnsi="Calibri" w:cs="Calibri"/>
          <w:i/>
          <w:iCs/>
        </w:rPr>
        <w:t>2.5 Odpady i gospodarka o obiegu zamkniętym</w:t>
      </w:r>
      <w:r w:rsidRPr="00271940">
        <w:rPr>
          <w:rFonts w:ascii="Calibri" w:eastAsia="Calibri" w:hAnsi="Calibri" w:cs="Calibri"/>
        </w:rPr>
        <w:t>, przekazywane na rzecz przedsiębiorstw realizujących wyżej opisane usługi w ogólnym interesie gospodarczym, mogą stanowić pomoc publiczną w rozumieniu art. 107 ust. 1 Traktatu o funkcjonowaniu Unii Europejskiej (TFUE).</w:t>
      </w:r>
    </w:p>
    <w:p w14:paraId="4FDFE092" w14:textId="77777777" w:rsidR="00781274" w:rsidRPr="00271940" w:rsidRDefault="00781274" w:rsidP="00781274">
      <w:pPr>
        <w:spacing w:after="120" w:line="276" w:lineRule="auto"/>
        <w:contextualSpacing/>
        <w:rPr>
          <w:rFonts w:ascii="Calibri" w:eastAsia="Calibri" w:hAnsi="Calibri" w:cs="Calibri"/>
        </w:rPr>
      </w:pPr>
    </w:p>
    <w:p w14:paraId="5AB722F8" w14:textId="77777777" w:rsidR="00781274" w:rsidRPr="00271940" w:rsidRDefault="00781274" w:rsidP="00781274">
      <w:pPr>
        <w:spacing w:after="120" w:line="276" w:lineRule="auto"/>
        <w:contextualSpacing/>
        <w:rPr>
          <w:rFonts w:ascii="Calibri" w:eastAsia="Calibri" w:hAnsi="Calibri" w:cs="Calibri"/>
        </w:rPr>
      </w:pPr>
      <w:r w:rsidRPr="00271940">
        <w:rPr>
          <w:rFonts w:ascii="Calibri" w:eastAsia="Calibri" w:hAnsi="Calibri" w:cs="Calibri"/>
        </w:rPr>
        <w:t>Wsparcie to kwalifikuje się jako pomoc publiczna, jeśli beneficjent (spółka komunalna lub podmiot zewnętrzny realizujący zadanie na rzecz JST) uzyskuje korzyść ekonomiczną selektywną, która zakłóca lub grozi zakłóceniem konkurencji oraz wpływa na wymianę handlową między państwami członkowskimi UE.</w:t>
      </w:r>
    </w:p>
    <w:p w14:paraId="3EC56D71" w14:textId="77777777" w:rsidR="00781274" w:rsidRPr="00271940" w:rsidRDefault="00781274" w:rsidP="00781274">
      <w:pPr>
        <w:spacing w:after="120" w:line="276" w:lineRule="auto"/>
        <w:contextualSpacing/>
        <w:rPr>
          <w:rFonts w:ascii="Calibri" w:eastAsia="Calibri" w:hAnsi="Calibri" w:cs="Calibri"/>
        </w:rPr>
      </w:pPr>
      <w:r w:rsidRPr="00271940">
        <w:rPr>
          <w:rFonts w:ascii="Calibri" w:eastAsia="Calibri" w:hAnsi="Calibri" w:cs="Calibri"/>
        </w:rPr>
        <w:tab/>
      </w:r>
    </w:p>
    <w:p w14:paraId="370470BA" w14:textId="77777777" w:rsidR="00781274" w:rsidRPr="00271940" w:rsidRDefault="00781274" w:rsidP="00781274">
      <w:pPr>
        <w:spacing w:after="120" w:line="276" w:lineRule="auto"/>
        <w:contextualSpacing/>
        <w:rPr>
          <w:rFonts w:ascii="Calibri" w:eastAsia="Calibri" w:hAnsi="Calibri" w:cs="Calibri"/>
        </w:rPr>
      </w:pPr>
      <w:r w:rsidRPr="00271940">
        <w:rPr>
          <w:rFonts w:ascii="Calibri" w:eastAsia="Calibri" w:hAnsi="Calibri" w:cs="Calibri"/>
        </w:rPr>
        <w:t xml:space="preserve">Jeżeli mechanizm dofinansowania projektu spełnia kryteria pomocy publicznej, a wsparcie nie jest traktowane jako skompensowana rekompensata wolna od pomocy (zgodnie z orzecznictwem w sprawie </w:t>
      </w:r>
      <w:proofErr w:type="spellStart"/>
      <w:r w:rsidRPr="00271940">
        <w:rPr>
          <w:rFonts w:ascii="Calibri" w:eastAsia="Calibri" w:hAnsi="Calibri" w:cs="Calibri"/>
          <w:i/>
          <w:iCs/>
        </w:rPr>
        <w:t>Altmark</w:t>
      </w:r>
      <w:proofErr w:type="spellEnd"/>
      <w:r w:rsidRPr="00271940">
        <w:rPr>
          <w:rFonts w:ascii="Calibri" w:eastAsia="Calibri" w:hAnsi="Calibri" w:cs="Calibri"/>
          <w:i/>
          <w:iCs/>
        </w:rPr>
        <w:t xml:space="preserve"> Trans</w:t>
      </w:r>
      <w:r w:rsidRPr="00271940">
        <w:rPr>
          <w:rFonts w:ascii="Calibri" w:eastAsia="Calibri" w:hAnsi="Calibri" w:cs="Calibri"/>
        </w:rPr>
        <w:t xml:space="preserve">), zastosowanie znajduje Rozporządzenie Komisji (UE) 2023/2832 z dnia 13 grudnia 2023 r. w sprawie stosowania art. 107 i 108 Traktatu o funkcjonowaniu Unii Europejskiej do pomocy </w:t>
      </w:r>
      <w:r w:rsidRPr="00271940">
        <w:rPr>
          <w:rFonts w:ascii="Calibri" w:eastAsia="Calibri" w:hAnsi="Calibri" w:cs="Calibri"/>
          <w:i/>
          <w:iCs/>
        </w:rPr>
        <w:t xml:space="preserve">de </w:t>
      </w:r>
      <w:proofErr w:type="spellStart"/>
      <w:r w:rsidRPr="00271940">
        <w:rPr>
          <w:rFonts w:ascii="Calibri" w:eastAsia="Calibri" w:hAnsi="Calibri" w:cs="Calibri"/>
          <w:i/>
          <w:iCs/>
        </w:rPr>
        <w:t>minimis</w:t>
      </w:r>
      <w:proofErr w:type="spellEnd"/>
      <w:r w:rsidRPr="00271940">
        <w:rPr>
          <w:rFonts w:ascii="Calibri" w:eastAsia="Calibri" w:hAnsi="Calibri" w:cs="Calibri"/>
        </w:rPr>
        <w:t xml:space="preserve"> przyznawanej przedsiębiorstwom wykonującym usługi świadczone w ogólnym interesie gospodarczym.</w:t>
      </w:r>
    </w:p>
    <w:p w14:paraId="0733F3E4" w14:textId="5F7E6846" w:rsidR="00FD7DFC" w:rsidRPr="00CC66EB" w:rsidRDefault="00E3070A" w:rsidP="00CC66EB">
      <w:pPr>
        <w:pStyle w:val="Nagwek1"/>
        <w:numPr>
          <w:ilvl w:val="0"/>
          <w:numId w:val="0"/>
        </w:numPr>
        <w:spacing w:before="0" w:after="240"/>
        <w:rPr>
          <w:rFonts w:asciiTheme="minorHAnsi" w:eastAsia="Calibri" w:hAnsiTheme="minorHAnsi" w:cstheme="minorHAnsi"/>
          <w:sz w:val="24"/>
          <w:szCs w:val="24"/>
          <w:lang w:eastAsia="en-US"/>
        </w:rPr>
      </w:pPr>
      <w:bookmarkStart w:id="36" w:name="_Toc241839705"/>
      <w:r w:rsidRPr="00CC66EB">
        <w:rPr>
          <w:rFonts w:asciiTheme="minorHAnsi" w:eastAsia="Calibri" w:hAnsiTheme="minorHAnsi" w:cstheme="minorHAnsi"/>
          <w:sz w:val="24"/>
          <w:szCs w:val="24"/>
          <w:lang w:eastAsia="en-US"/>
        </w:rPr>
        <w:lastRenderedPageBreak/>
        <w:t xml:space="preserve">1.1.9 </w:t>
      </w:r>
      <w:r w:rsidR="00FD7DFC" w:rsidRPr="00CC66EB">
        <w:rPr>
          <w:rFonts w:asciiTheme="minorHAnsi" w:hAnsiTheme="minorHAnsi" w:cstheme="minorHAnsi"/>
          <w:sz w:val="24"/>
          <w:szCs w:val="24"/>
        </w:rPr>
        <w:t>ZASTOSOWANE UPROSZCZONE METODY ROZLICZANIA WYDATKÓW</w:t>
      </w:r>
      <w:bookmarkEnd w:id="33"/>
      <w:bookmarkEnd w:id="34"/>
      <w:bookmarkEnd w:id="35"/>
      <w:bookmarkEnd w:id="36"/>
    </w:p>
    <w:p w14:paraId="208BE35E" w14:textId="505B2BB2" w:rsidR="009251AB" w:rsidRDefault="00FD7DFC" w:rsidP="00A21714">
      <w:pPr>
        <w:suppressAutoHyphens w:val="0"/>
        <w:autoSpaceDE w:val="0"/>
        <w:autoSpaceDN w:val="0"/>
        <w:adjustRightInd w:val="0"/>
        <w:spacing w:line="276" w:lineRule="auto"/>
        <w:rPr>
          <w:rFonts w:ascii="Calibri" w:hAnsi="Calibri"/>
          <w:szCs w:val="24"/>
        </w:rPr>
      </w:pPr>
      <w:r w:rsidRPr="004B77D6">
        <w:rPr>
          <w:rFonts w:ascii="Calibri" w:hAnsi="Calibri"/>
          <w:szCs w:val="24"/>
        </w:rPr>
        <w:t xml:space="preserve">W przypadku gdy w projekcie występują wydatki rozliczane na podstawie uproszczonych metod rozliczania wydatków należy </w:t>
      </w:r>
      <w:r w:rsidR="00837A71" w:rsidRPr="007D0ACD">
        <w:rPr>
          <w:rFonts w:ascii="Calibri" w:hAnsi="Calibri"/>
          <w:szCs w:val="24"/>
        </w:rPr>
        <w:t xml:space="preserve">w tabeli F.1 wskazać ich wartość. Zwraca się uwagę na zachowanie zgodności z zapisami zawartymi w </w:t>
      </w:r>
      <w:r w:rsidR="00837A71" w:rsidRPr="00F16CD4">
        <w:rPr>
          <w:rFonts w:ascii="Calibri" w:hAnsi="Calibri"/>
          <w:i/>
          <w:iCs/>
          <w:szCs w:val="24"/>
        </w:rPr>
        <w:t>Regulaminie wyboru projektów</w:t>
      </w:r>
      <w:r w:rsidR="00837A71" w:rsidRPr="00837A71">
        <w:rPr>
          <w:rFonts w:ascii="Calibri" w:hAnsi="Calibri"/>
        </w:rPr>
        <w:t xml:space="preserve">. </w:t>
      </w:r>
      <w:r w:rsidR="00837A71" w:rsidRPr="007D0ACD">
        <w:rPr>
          <w:rFonts w:ascii="Calibri" w:hAnsi="Calibri"/>
          <w:szCs w:val="24"/>
        </w:rPr>
        <w:t>W punkcie F.2 należy przedstawić wykaz kosztów pośrednich występujących w projekcie.</w:t>
      </w:r>
    </w:p>
    <w:p w14:paraId="4C3D9E4A" w14:textId="77777777" w:rsidR="00CC66EB" w:rsidRDefault="00CC66EB" w:rsidP="00CC66EB">
      <w:pPr>
        <w:suppressAutoHyphens w:val="0"/>
        <w:autoSpaceDE w:val="0"/>
        <w:autoSpaceDN w:val="0"/>
        <w:adjustRightInd w:val="0"/>
        <w:spacing w:line="276" w:lineRule="auto"/>
        <w:rPr>
          <w:rFonts w:ascii="Calibri" w:hAnsi="Calibri"/>
          <w:szCs w:val="24"/>
        </w:rPr>
      </w:pPr>
    </w:p>
    <w:p w14:paraId="4E02BF7C" w14:textId="6879AF45" w:rsidR="00CC66EB" w:rsidRPr="00CC66EB" w:rsidRDefault="00CC66EB" w:rsidP="00CC66EB">
      <w:pPr>
        <w:pStyle w:val="Nagwek1"/>
        <w:numPr>
          <w:ilvl w:val="0"/>
          <w:numId w:val="0"/>
        </w:numPr>
        <w:spacing w:before="0" w:after="120"/>
        <w:rPr>
          <w:rFonts w:asciiTheme="minorHAnsi" w:eastAsia="Calibri" w:hAnsiTheme="minorHAnsi" w:cstheme="minorHAnsi"/>
          <w:sz w:val="24"/>
          <w:szCs w:val="24"/>
          <w:lang w:eastAsia="en-US"/>
        </w:rPr>
      </w:pPr>
      <w:bookmarkStart w:id="37" w:name="_Toc241839706"/>
      <w:r w:rsidRPr="00CC66EB">
        <w:rPr>
          <w:rFonts w:asciiTheme="minorHAnsi" w:eastAsia="Calibri" w:hAnsiTheme="minorHAnsi" w:cstheme="minorHAnsi"/>
          <w:sz w:val="24"/>
          <w:szCs w:val="24"/>
          <w:lang w:eastAsia="en-US"/>
        </w:rPr>
        <w:t>1.1.</w:t>
      </w:r>
      <w:r>
        <w:rPr>
          <w:rFonts w:asciiTheme="minorHAnsi" w:eastAsia="Calibri" w:hAnsiTheme="minorHAnsi" w:cstheme="minorHAnsi"/>
          <w:sz w:val="24"/>
          <w:szCs w:val="24"/>
          <w:lang w:eastAsia="en-US"/>
        </w:rPr>
        <w:t>10</w:t>
      </w:r>
      <w:r w:rsidRPr="00CC66EB">
        <w:rPr>
          <w:rFonts w:asciiTheme="minorHAnsi" w:eastAsia="Calibri" w:hAnsiTheme="minorHAnsi" w:cstheme="minorHAnsi"/>
          <w:sz w:val="24"/>
          <w:szCs w:val="24"/>
          <w:lang w:eastAsia="en-US"/>
        </w:rPr>
        <w:t xml:space="preserve"> </w:t>
      </w:r>
      <w:r>
        <w:rPr>
          <w:rFonts w:asciiTheme="minorHAnsi" w:hAnsiTheme="minorHAnsi" w:cstheme="minorHAnsi"/>
          <w:sz w:val="24"/>
          <w:szCs w:val="24"/>
        </w:rPr>
        <w:t>ANALIZA FINANSOWA</w:t>
      </w:r>
      <w:bookmarkEnd w:id="37"/>
    </w:p>
    <w:bookmarkEnd w:id="23"/>
    <w:bookmarkEnd w:id="24"/>
    <w:p w14:paraId="7648F051" w14:textId="2852D786" w:rsidR="00C2071D" w:rsidRPr="004B77D6" w:rsidRDefault="00C2071D" w:rsidP="00E3070A">
      <w:pPr>
        <w:pStyle w:val="Tekstpodstawowy22"/>
        <w:spacing w:before="240" w:after="120" w:line="276" w:lineRule="auto"/>
        <w:jc w:val="left"/>
        <w:rPr>
          <w:rFonts w:ascii="Calibri" w:hAnsi="Calibri"/>
          <w:b/>
          <w:szCs w:val="24"/>
        </w:rPr>
      </w:pPr>
      <w:r w:rsidRPr="004B77D6">
        <w:rPr>
          <w:rFonts w:ascii="Calibri" w:hAnsi="Calibri"/>
          <w:b/>
          <w:szCs w:val="24"/>
        </w:rPr>
        <w:t>Cele analizy</w:t>
      </w:r>
      <w:bookmarkStart w:id="38" w:name="_Toc219062679"/>
      <w:bookmarkStart w:id="39" w:name="_Toc219062977"/>
      <w:bookmarkEnd w:id="38"/>
      <w:bookmarkEnd w:id="39"/>
    </w:p>
    <w:p w14:paraId="67385BB8" w14:textId="1812F051" w:rsidR="00C2071D" w:rsidRPr="004B77D6" w:rsidRDefault="00C2071D" w:rsidP="00A21714">
      <w:pPr>
        <w:suppressAutoHyphens w:val="0"/>
        <w:autoSpaceDE w:val="0"/>
        <w:autoSpaceDN w:val="0"/>
        <w:adjustRightInd w:val="0"/>
        <w:spacing w:before="120" w:after="120" w:line="276" w:lineRule="auto"/>
        <w:rPr>
          <w:rFonts w:ascii="Calibri" w:hAnsi="Calibri"/>
          <w:szCs w:val="24"/>
        </w:rPr>
      </w:pPr>
      <w:r w:rsidRPr="004B77D6">
        <w:rPr>
          <w:rFonts w:ascii="Calibri" w:hAnsi="Calibri"/>
          <w:szCs w:val="24"/>
        </w:rPr>
        <w:t xml:space="preserve">Analiza finansowa powinna wykazać: rentowność projektu z punktu widzenia inwestora, wymagania w zakresie finansowania zewnętrznego oraz przepływy finansowe związane z projektem. W szczególności powinna obejmować: ocenę finansowej efektywności inwestycji oraz kapitału własnego, weryfikację trwałości finansowej projektu. Analiza finansowa ma na celu wykazanie, że zapewnione środki finansowe będą wystarczające do sfinansowania projektu w okresie jego realizacji, a następnie eksploatacji. Istotne jest zwłaszcza wykazanie, że beneficjent posiada środki na sfinansowanie wkładu własnego na realizację projektu. </w:t>
      </w:r>
      <w:bookmarkStart w:id="40" w:name="_Toc219062680"/>
      <w:bookmarkStart w:id="41" w:name="_Toc219062978"/>
      <w:bookmarkEnd w:id="40"/>
      <w:bookmarkEnd w:id="41"/>
    </w:p>
    <w:p w14:paraId="78238B44" w14:textId="198B299A" w:rsidR="00C2071D" w:rsidRPr="00BA5C81" w:rsidRDefault="00C2071D" w:rsidP="00E3070A">
      <w:pPr>
        <w:pStyle w:val="Tekstpodstawowy22"/>
        <w:spacing w:before="120" w:after="120" w:line="276" w:lineRule="auto"/>
        <w:jc w:val="left"/>
        <w:rPr>
          <w:rFonts w:ascii="Calibri" w:hAnsi="Calibri"/>
          <w:b/>
          <w:szCs w:val="24"/>
        </w:rPr>
      </w:pPr>
      <w:r w:rsidRPr="00BA5C81">
        <w:rPr>
          <w:rFonts w:ascii="Calibri" w:hAnsi="Calibri"/>
          <w:b/>
          <w:szCs w:val="24"/>
        </w:rPr>
        <w:t>Etapy analizy finansowej</w:t>
      </w:r>
      <w:bookmarkStart w:id="42" w:name="_Toc219062681"/>
      <w:bookmarkStart w:id="43" w:name="_Toc219062979"/>
      <w:bookmarkEnd w:id="42"/>
      <w:bookmarkEnd w:id="43"/>
    </w:p>
    <w:p w14:paraId="06A29F5A" w14:textId="2DCEC7A0" w:rsidR="00C2071D" w:rsidRPr="00BA5C81" w:rsidRDefault="00C2071D" w:rsidP="00A21714">
      <w:pPr>
        <w:suppressAutoHyphens w:val="0"/>
        <w:autoSpaceDE w:val="0"/>
        <w:autoSpaceDN w:val="0"/>
        <w:adjustRightInd w:val="0"/>
        <w:spacing w:before="120" w:after="120" w:line="276" w:lineRule="auto"/>
        <w:rPr>
          <w:rFonts w:ascii="Calibri" w:hAnsi="Calibri"/>
          <w:bCs/>
          <w:szCs w:val="24"/>
        </w:rPr>
      </w:pPr>
      <w:r w:rsidRPr="00BA5C81">
        <w:rPr>
          <w:rFonts w:ascii="Calibri" w:hAnsi="Calibri"/>
          <w:bCs/>
          <w:szCs w:val="24"/>
        </w:rPr>
        <w:t>W ramach analizy finansowej należy przeprowadzić m.in. następujące działania:</w:t>
      </w:r>
      <w:bookmarkStart w:id="44" w:name="_Toc219062682"/>
      <w:bookmarkStart w:id="45" w:name="_Toc219062980"/>
      <w:bookmarkEnd w:id="44"/>
      <w:bookmarkEnd w:id="45"/>
    </w:p>
    <w:p w14:paraId="728E068F" w14:textId="069D0D41" w:rsidR="00BF29AE" w:rsidRPr="00BA5C81" w:rsidRDefault="00BF29AE" w:rsidP="004D0859">
      <w:pPr>
        <w:pStyle w:val="Akapitzlist"/>
        <w:numPr>
          <w:ilvl w:val="0"/>
          <w:numId w:val="57"/>
        </w:numPr>
        <w:autoSpaceDE w:val="0"/>
        <w:autoSpaceDN w:val="0"/>
        <w:adjustRightInd w:val="0"/>
        <w:spacing w:before="120" w:after="120"/>
        <w:rPr>
          <w:bCs/>
          <w:sz w:val="24"/>
          <w:szCs w:val="24"/>
        </w:rPr>
      </w:pPr>
      <w:r w:rsidRPr="00BA5C81">
        <w:rPr>
          <w:bCs/>
          <w:sz w:val="24"/>
          <w:szCs w:val="24"/>
        </w:rPr>
        <w:t xml:space="preserve">określić założenia do analizy, </w:t>
      </w:r>
      <w:bookmarkStart w:id="46" w:name="_Toc219062683"/>
      <w:bookmarkStart w:id="47" w:name="_Toc219062981"/>
      <w:bookmarkEnd w:id="46"/>
      <w:bookmarkEnd w:id="47"/>
    </w:p>
    <w:p w14:paraId="55EDF78A" w14:textId="1CD19272" w:rsidR="00BF29AE" w:rsidRPr="00BA5C81" w:rsidRDefault="00BF29AE" w:rsidP="004D0859">
      <w:pPr>
        <w:pStyle w:val="Akapitzlist"/>
        <w:numPr>
          <w:ilvl w:val="0"/>
          <w:numId w:val="57"/>
        </w:numPr>
        <w:autoSpaceDE w:val="0"/>
        <w:autoSpaceDN w:val="0"/>
        <w:adjustRightInd w:val="0"/>
        <w:spacing w:before="120" w:after="120"/>
        <w:rPr>
          <w:bCs/>
          <w:sz w:val="24"/>
          <w:szCs w:val="24"/>
        </w:rPr>
      </w:pPr>
      <w:r w:rsidRPr="00BA5C81">
        <w:rPr>
          <w:bCs/>
          <w:sz w:val="24"/>
          <w:szCs w:val="24"/>
        </w:rPr>
        <w:t xml:space="preserve">zestawić przepływy pieniężne projektu dla każdego roku analizy, </w:t>
      </w:r>
      <w:bookmarkStart w:id="48" w:name="_Toc219062684"/>
      <w:bookmarkStart w:id="49" w:name="_Toc219062982"/>
      <w:bookmarkEnd w:id="48"/>
      <w:bookmarkEnd w:id="49"/>
    </w:p>
    <w:p w14:paraId="612EB588" w14:textId="29C0F296" w:rsidR="00BF29AE" w:rsidRPr="00BA5C81" w:rsidRDefault="00BF29AE" w:rsidP="004D0859">
      <w:pPr>
        <w:pStyle w:val="Akapitzlist"/>
        <w:numPr>
          <w:ilvl w:val="0"/>
          <w:numId w:val="57"/>
        </w:numPr>
        <w:autoSpaceDE w:val="0"/>
        <w:autoSpaceDN w:val="0"/>
        <w:adjustRightInd w:val="0"/>
        <w:spacing w:before="120" w:after="120"/>
        <w:rPr>
          <w:bCs/>
          <w:sz w:val="24"/>
          <w:szCs w:val="24"/>
        </w:rPr>
      </w:pPr>
      <w:r w:rsidRPr="00BA5C81">
        <w:rPr>
          <w:bCs/>
          <w:sz w:val="24"/>
          <w:szCs w:val="24"/>
        </w:rPr>
        <w:t xml:space="preserve">określić źródła finansowania projektu, </w:t>
      </w:r>
      <w:bookmarkStart w:id="50" w:name="_Toc219062685"/>
      <w:bookmarkStart w:id="51" w:name="_Toc219062983"/>
      <w:bookmarkEnd w:id="50"/>
      <w:bookmarkEnd w:id="51"/>
    </w:p>
    <w:p w14:paraId="3C260CCE" w14:textId="7B5EB947" w:rsidR="00BF29AE" w:rsidRPr="00BA5C81" w:rsidRDefault="00BF29AE" w:rsidP="004D0859">
      <w:pPr>
        <w:pStyle w:val="Akapitzlist"/>
        <w:numPr>
          <w:ilvl w:val="0"/>
          <w:numId w:val="57"/>
        </w:numPr>
        <w:autoSpaceDE w:val="0"/>
        <w:autoSpaceDN w:val="0"/>
        <w:adjustRightInd w:val="0"/>
        <w:spacing w:before="120" w:after="120"/>
        <w:rPr>
          <w:bCs/>
          <w:sz w:val="24"/>
          <w:szCs w:val="24"/>
        </w:rPr>
      </w:pPr>
      <w:r w:rsidRPr="00BA5C81">
        <w:rPr>
          <w:bCs/>
          <w:sz w:val="24"/>
          <w:szCs w:val="24"/>
        </w:rPr>
        <w:t xml:space="preserve">ustalić wartości wskaźników efektywności finansowej projektu, </w:t>
      </w:r>
      <w:bookmarkStart w:id="52" w:name="_Toc219062686"/>
      <w:bookmarkStart w:id="53" w:name="_Toc219062984"/>
      <w:bookmarkEnd w:id="52"/>
      <w:bookmarkEnd w:id="53"/>
    </w:p>
    <w:p w14:paraId="04E8860F" w14:textId="4509E1C0" w:rsidR="00BF29AE" w:rsidRPr="00BA5C81" w:rsidRDefault="00BF29AE" w:rsidP="004D0859">
      <w:pPr>
        <w:pStyle w:val="Akapitzlist"/>
        <w:numPr>
          <w:ilvl w:val="0"/>
          <w:numId w:val="57"/>
        </w:numPr>
        <w:autoSpaceDE w:val="0"/>
        <w:autoSpaceDN w:val="0"/>
        <w:adjustRightInd w:val="0"/>
        <w:spacing w:before="120" w:after="120"/>
        <w:rPr>
          <w:bCs/>
          <w:sz w:val="24"/>
          <w:szCs w:val="24"/>
        </w:rPr>
      </w:pPr>
      <w:r w:rsidRPr="00BA5C81">
        <w:rPr>
          <w:bCs/>
          <w:sz w:val="24"/>
          <w:szCs w:val="24"/>
        </w:rPr>
        <w:t>przeprowadzić analizę trwałości finansowej.</w:t>
      </w:r>
      <w:bookmarkStart w:id="54" w:name="_Toc219062687"/>
      <w:bookmarkStart w:id="55" w:name="_Toc219062985"/>
      <w:bookmarkEnd w:id="54"/>
      <w:bookmarkEnd w:id="55"/>
    </w:p>
    <w:p w14:paraId="46679328" w14:textId="6E994563" w:rsidR="00C2071D" w:rsidRPr="004B77D6" w:rsidRDefault="00C2071D" w:rsidP="00E3070A">
      <w:pPr>
        <w:pStyle w:val="Tekstpodstawowy22"/>
        <w:spacing w:before="120" w:after="120" w:line="276" w:lineRule="auto"/>
        <w:jc w:val="left"/>
        <w:rPr>
          <w:rFonts w:ascii="Calibri" w:hAnsi="Calibri"/>
          <w:b/>
          <w:szCs w:val="24"/>
        </w:rPr>
      </w:pPr>
      <w:r w:rsidRPr="004B77D6">
        <w:rPr>
          <w:rFonts w:ascii="Calibri" w:hAnsi="Calibri"/>
          <w:b/>
          <w:szCs w:val="24"/>
        </w:rPr>
        <w:t>Metodyka analizy finansowej</w:t>
      </w:r>
      <w:bookmarkStart w:id="56" w:name="_Toc219062688"/>
      <w:bookmarkStart w:id="57" w:name="_Toc219062986"/>
      <w:bookmarkEnd w:id="56"/>
      <w:bookmarkEnd w:id="57"/>
    </w:p>
    <w:p w14:paraId="0E85510F" w14:textId="23275E06" w:rsidR="00C2071D" w:rsidRPr="004B77D6" w:rsidRDefault="00C2071D" w:rsidP="00A21714">
      <w:pPr>
        <w:spacing w:before="120" w:after="120" w:line="276" w:lineRule="auto"/>
        <w:rPr>
          <w:rFonts w:ascii="Calibri" w:hAnsi="Calibri"/>
          <w:szCs w:val="24"/>
        </w:rPr>
      </w:pPr>
      <w:r w:rsidRPr="004B77D6">
        <w:rPr>
          <w:rFonts w:ascii="Calibri" w:hAnsi="Calibri"/>
          <w:szCs w:val="24"/>
        </w:rPr>
        <w:t xml:space="preserve">Analiza finansowa polega na przygotowaniu szeregu tabel, w których należy zamieścić dane dotyczące przepływu środków pieniężnych, tzn. rzeczywistej kwoty wypłaconej lub otrzymanej w ramach realizowanego projektu. Przeprowadza się ją w oparciu o metodologię zdyskontowanego przepływu środków pieniężnych, zwaną dalej analizą DCF (ang. </w:t>
      </w:r>
      <w:proofErr w:type="spellStart"/>
      <w:r w:rsidRPr="004B77D6">
        <w:rPr>
          <w:rFonts w:ascii="Calibri" w:hAnsi="Calibri"/>
          <w:szCs w:val="24"/>
        </w:rPr>
        <w:t>Discounted</w:t>
      </w:r>
      <w:proofErr w:type="spellEnd"/>
      <w:r w:rsidRPr="004B77D6">
        <w:rPr>
          <w:rFonts w:ascii="Calibri" w:hAnsi="Calibri"/>
          <w:szCs w:val="24"/>
        </w:rPr>
        <w:t xml:space="preserve"> Cash </w:t>
      </w:r>
      <w:proofErr w:type="spellStart"/>
      <w:r w:rsidRPr="004B77D6">
        <w:rPr>
          <w:rFonts w:ascii="Calibri" w:hAnsi="Calibri"/>
          <w:szCs w:val="24"/>
        </w:rPr>
        <w:t>Flow</w:t>
      </w:r>
      <w:proofErr w:type="spellEnd"/>
      <w:r w:rsidRPr="004B77D6">
        <w:rPr>
          <w:rFonts w:ascii="Calibri" w:hAnsi="Calibri"/>
          <w:szCs w:val="24"/>
        </w:rPr>
        <w:t>).</w:t>
      </w:r>
      <w:bookmarkStart w:id="58" w:name="_Toc219062689"/>
      <w:bookmarkStart w:id="59" w:name="_Toc219062987"/>
      <w:bookmarkEnd w:id="58"/>
      <w:bookmarkEnd w:id="59"/>
    </w:p>
    <w:p w14:paraId="2B8352AA" w14:textId="265B27F8" w:rsidR="00C2071D" w:rsidRPr="004B77D6" w:rsidRDefault="00C2071D" w:rsidP="00C2071D">
      <w:pPr>
        <w:spacing w:before="120" w:after="120" w:line="276" w:lineRule="auto"/>
        <w:rPr>
          <w:rFonts w:ascii="Calibri" w:hAnsi="Calibri"/>
          <w:szCs w:val="24"/>
        </w:rPr>
      </w:pPr>
      <w:r w:rsidRPr="004B77D6">
        <w:rPr>
          <w:rFonts w:ascii="Calibri" w:hAnsi="Calibri"/>
          <w:szCs w:val="24"/>
        </w:rPr>
        <w:t>Metodologia DCF charakteryzuje się następującymi cechami:</w:t>
      </w:r>
      <w:bookmarkStart w:id="60" w:name="_Toc219062690"/>
      <w:bookmarkStart w:id="61" w:name="_Toc219062988"/>
      <w:bookmarkEnd w:id="60"/>
      <w:bookmarkEnd w:id="61"/>
    </w:p>
    <w:p w14:paraId="68070FA8" w14:textId="6633D1A8" w:rsidR="00C2071D" w:rsidRPr="004B77D6" w:rsidRDefault="00C2071D" w:rsidP="004D0859">
      <w:pPr>
        <w:numPr>
          <w:ilvl w:val="0"/>
          <w:numId w:val="20"/>
        </w:numPr>
        <w:tabs>
          <w:tab w:val="clear" w:pos="720"/>
          <w:tab w:val="num" w:pos="360"/>
          <w:tab w:val="num" w:pos="1428"/>
        </w:tabs>
        <w:spacing w:line="276" w:lineRule="auto"/>
        <w:ind w:hanging="720"/>
        <w:rPr>
          <w:rFonts w:ascii="Calibri" w:hAnsi="Calibri"/>
          <w:szCs w:val="24"/>
        </w:rPr>
      </w:pPr>
      <w:r w:rsidRPr="004B77D6">
        <w:rPr>
          <w:rFonts w:ascii="Calibri" w:hAnsi="Calibri"/>
          <w:szCs w:val="24"/>
        </w:rPr>
        <w:t>obejmuje skonsolidowaną analizę finansową,</w:t>
      </w:r>
      <w:bookmarkStart w:id="62" w:name="_Toc219062691"/>
      <w:bookmarkStart w:id="63" w:name="_Toc219062989"/>
      <w:bookmarkEnd w:id="62"/>
      <w:bookmarkEnd w:id="63"/>
    </w:p>
    <w:p w14:paraId="71F0A04E" w14:textId="0E9064A6" w:rsidR="00C2071D" w:rsidRPr="004B77D6" w:rsidRDefault="00C2071D" w:rsidP="004D0859">
      <w:pPr>
        <w:numPr>
          <w:ilvl w:val="0"/>
          <w:numId w:val="20"/>
        </w:numPr>
        <w:tabs>
          <w:tab w:val="clear" w:pos="720"/>
          <w:tab w:val="num" w:pos="360"/>
          <w:tab w:val="num" w:pos="1428"/>
        </w:tabs>
        <w:spacing w:line="276" w:lineRule="auto"/>
        <w:ind w:hanging="720"/>
        <w:rPr>
          <w:rFonts w:ascii="Calibri" w:hAnsi="Calibri"/>
          <w:szCs w:val="24"/>
        </w:rPr>
      </w:pPr>
      <w:r w:rsidRPr="004B77D6">
        <w:rPr>
          <w:rFonts w:ascii="Calibri" w:hAnsi="Calibri"/>
          <w:szCs w:val="24"/>
        </w:rPr>
        <w:t>bierze pod uwagę wyłącznie przepływ środków pieniężnych,</w:t>
      </w:r>
      <w:bookmarkStart w:id="64" w:name="_Toc219062692"/>
      <w:bookmarkStart w:id="65" w:name="_Toc219062990"/>
      <w:bookmarkEnd w:id="64"/>
      <w:bookmarkEnd w:id="65"/>
    </w:p>
    <w:p w14:paraId="3742CF57" w14:textId="320C275D" w:rsidR="00C2071D" w:rsidRPr="004B77D6" w:rsidRDefault="00C2071D" w:rsidP="004D0859">
      <w:pPr>
        <w:numPr>
          <w:ilvl w:val="0"/>
          <w:numId w:val="20"/>
        </w:numPr>
        <w:tabs>
          <w:tab w:val="clear" w:pos="720"/>
          <w:tab w:val="num" w:pos="360"/>
          <w:tab w:val="num" w:pos="1428"/>
        </w:tabs>
        <w:spacing w:line="276" w:lineRule="auto"/>
        <w:ind w:left="360"/>
        <w:rPr>
          <w:rFonts w:ascii="Calibri" w:hAnsi="Calibri"/>
          <w:szCs w:val="24"/>
        </w:rPr>
      </w:pPr>
      <w:r w:rsidRPr="004B77D6">
        <w:rPr>
          <w:rFonts w:ascii="Calibri" w:hAnsi="Calibri"/>
          <w:szCs w:val="24"/>
        </w:rPr>
        <w:t xml:space="preserve">uwzględnia przepływy środków pieniężnych w tym roku, w którym zostały dokonane </w:t>
      </w:r>
      <w:r w:rsidRPr="004B77D6">
        <w:rPr>
          <w:rFonts w:ascii="Calibri" w:hAnsi="Calibri"/>
          <w:szCs w:val="24"/>
        </w:rPr>
        <w:br/>
        <w:t>i ujęte w danym okresie odniesienia,</w:t>
      </w:r>
      <w:bookmarkStart w:id="66" w:name="_Toc219062693"/>
      <w:bookmarkStart w:id="67" w:name="_Toc219062991"/>
      <w:bookmarkEnd w:id="66"/>
      <w:bookmarkEnd w:id="67"/>
    </w:p>
    <w:p w14:paraId="191911F4" w14:textId="0E1AA30F" w:rsidR="00C2071D" w:rsidRPr="004B77D6" w:rsidRDefault="00C2071D" w:rsidP="004D0859">
      <w:pPr>
        <w:numPr>
          <w:ilvl w:val="0"/>
          <w:numId w:val="20"/>
        </w:numPr>
        <w:tabs>
          <w:tab w:val="left" w:pos="360"/>
        </w:tabs>
        <w:spacing w:line="276" w:lineRule="auto"/>
        <w:ind w:left="360"/>
        <w:rPr>
          <w:rFonts w:ascii="Calibri" w:hAnsi="Calibri"/>
          <w:szCs w:val="24"/>
        </w:rPr>
      </w:pPr>
      <w:r w:rsidRPr="004B77D6">
        <w:rPr>
          <w:rFonts w:ascii="Calibri" w:hAnsi="Calibri"/>
          <w:szCs w:val="24"/>
        </w:rPr>
        <w:t xml:space="preserve">uwzględnia wartość rezydualną, w </w:t>
      </w:r>
      <w:r w:rsidR="006E53A8" w:rsidRPr="004B77D6">
        <w:rPr>
          <w:rFonts w:ascii="Calibri" w:hAnsi="Calibri"/>
          <w:szCs w:val="24"/>
        </w:rPr>
        <w:t>przypadku,</w:t>
      </w:r>
      <w:r w:rsidRPr="004B77D6">
        <w:rPr>
          <w:rFonts w:ascii="Calibri" w:hAnsi="Calibri"/>
          <w:szCs w:val="24"/>
        </w:rPr>
        <w:t xml:space="preserve"> gdy rzeczywisty okres gospodarczego życia projektu przekracza dany okres odniesienia,</w:t>
      </w:r>
      <w:bookmarkStart w:id="68" w:name="_Toc219062694"/>
      <w:bookmarkStart w:id="69" w:name="_Toc219062992"/>
      <w:bookmarkEnd w:id="68"/>
      <w:bookmarkEnd w:id="69"/>
    </w:p>
    <w:p w14:paraId="71D26CD8" w14:textId="046BDC83" w:rsidR="00C2071D" w:rsidRPr="004B77D6" w:rsidRDefault="00C2071D" w:rsidP="004D0859">
      <w:pPr>
        <w:numPr>
          <w:ilvl w:val="0"/>
          <w:numId w:val="20"/>
        </w:numPr>
        <w:tabs>
          <w:tab w:val="clear" w:pos="720"/>
          <w:tab w:val="num" w:pos="360"/>
          <w:tab w:val="num" w:pos="1428"/>
        </w:tabs>
        <w:spacing w:line="276" w:lineRule="auto"/>
        <w:ind w:left="360"/>
        <w:rPr>
          <w:rFonts w:ascii="Calibri" w:hAnsi="Calibri"/>
          <w:szCs w:val="24"/>
        </w:rPr>
      </w:pPr>
      <w:r w:rsidRPr="004B77D6">
        <w:rPr>
          <w:rFonts w:ascii="Calibri" w:hAnsi="Calibri"/>
          <w:szCs w:val="24"/>
        </w:rPr>
        <w:lastRenderedPageBreak/>
        <w:t xml:space="preserve">uwzględnia wartość pieniądza w czasie, przy zsumowaniu przepływów finansowych </w:t>
      </w:r>
      <w:r w:rsidRPr="004B77D6">
        <w:rPr>
          <w:rFonts w:ascii="Calibri" w:hAnsi="Calibri"/>
          <w:szCs w:val="24"/>
        </w:rPr>
        <w:br/>
        <w:t>w różnych latach.</w:t>
      </w:r>
      <w:bookmarkStart w:id="70" w:name="_Toc219062695"/>
      <w:bookmarkStart w:id="71" w:name="_Toc219062993"/>
      <w:bookmarkEnd w:id="70"/>
      <w:bookmarkEnd w:id="71"/>
    </w:p>
    <w:p w14:paraId="30A684F1" w14:textId="7FAD84AC" w:rsidR="00C2071D" w:rsidRPr="004B77D6" w:rsidRDefault="00C2071D" w:rsidP="00E3070A">
      <w:pPr>
        <w:pStyle w:val="Tekstpodstawowy22"/>
        <w:spacing w:before="120" w:after="120" w:line="276" w:lineRule="auto"/>
        <w:jc w:val="left"/>
        <w:rPr>
          <w:rFonts w:ascii="Calibri" w:hAnsi="Calibri"/>
          <w:b/>
          <w:szCs w:val="24"/>
        </w:rPr>
      </w:pPr>
      <w:r w:rsidRPr="004B77D6">
        <w:rPr>
          <w:rFonts w:ascii="Calibri" w:hAnsi="Calibri"/>
          <w:b/>
          <w:szCs w:val="24"/>
        </w:rPr>
        <w:t>Założenia do analizy finansowej</w:t>
      </w:r>
      <w:bookmarkStart w:id="72" w:name="_Toc219062696"/>
      <w:bookmarkStart w:id="73" w:name="_Toc219062994"/>
      <w:bookmarkEnd w:id="72"/>
      <w:bookmarkEnd w:id="73"/>
    </w:p>
    <w:p w14:paraId="7F46EFBB" w14:textId="1031F99A" w:rsidR="00C2071D" w:rsidRPr="004B77D6" w:rsidRDefault="00C2071D" w:rsidP="00C2071D">
      <w:pPr>
        <w:spacing w:before="120" w:after="120" w:line="276" w:lineRule="auto"/>
        <w:rPr>
          <w:rFonts w:ascii="Calibri" w:hAnsi="Calibri"/>
          <w:szCs w:val="24"/>
        </w:rPr>
      </w:pPr>
      <w:r w:rsidRPr="004B77D6">
        <w:rPr>
          <w:rFonts w:ascii="Calibri" w:hAnsi="Calibri"/>
          <w:szCs w:val="24"/>
        </w:rPr>
        <w:t>Poprawne założenia analizy finansowej, jednolite dla wszystkich projektów w danym sektorze, powinny się opierać na nw. założeniach:</w:t>
      </w:r>
      <w:bookmarkStart w:id="74" w:name="_Toc219062697"/>
      <w:bookmarkStart w:id="75" w:name="_Toc219062995"/>
      <w:bookmarkEnd w:id="74"/>
      <w:bookmarkEnd w:id="75"/>
    </w:p>
    <w:p w14:paraId="5F67E57F" w14:textId="28843ABF" w:rsidR="00C2071D" w:rsidRPr="004B77D6" w:rsidRDefault="00C2071D" w:rsidP="004D0859">
      <w:pPr>
        <w:numPr>
          <w:ilvl w:val="0"/>
          <w:numId w:val="21"/>
        </w:numPr>
        <w:tabs>
          <w:tab w:val="num" w:pos="360"/>
        </w:tabs>
        <w:spacing w:line="276" w:lineRule="auto"/>
        <w:ind w:hanging="2007"/>
        <w:rPr>
          <w:rFonts w:ascii="Calibri" w:hAnsi="Calibri"/>
          <w:szCs w:val="24"/>
        </w:rPr>
      </w:pPr>
      <w:r w:rsidRPr="004B77D6">
        <w:rPr>
          <w:rFonts w:ascii="Calibri" w:hAnsi="Calibri"/>
          <w:szCs w:val="24"/>
        </w:rPr>
        <w:t>o ile to możliwe i uzasadnione, powinna być przeprowadzona w cenach stałych,</w:t>
      </w:r>
      <w:bookmarkStart w:id="76" w:name="_Toc219062698"/>
      <w:bookmarkStart w:id="77" w:name="_Toc219062996"/>
      <w:bookmarkEnd w:id="76"/>
      <w:bookmarkEnd w:id="77"/>
    </w:p>
    <w:p w14:paraId="2FDC300D" w14:textId="52C64403" w:rsidR="00C2071D" w:rsidRPr="004B77D6" w:rsidRDefault="00C2071D" w:rsidP="00C2071D">
      <w:pPr>
        <w:spacing w:line="276" w:lineRule="auto"/>
        <w:rPr>
          <w:rFonts w:ascii="Calibri" w:hAnsi="Calibri"/>
          <w:szCs w:val="24"/>
        </w:rPr>
      </w:pPr>
      <w:r w:rsidRPr="004B77D6">
        <w:rPr>
          <w:rFonts w:ascii="Calibri" w:hAnsi="Calibri"/>
          <w:szCs w:val="24"/>
        </w:rPr>
        <w:t>powinna być sporządzona:</w:t>
      </w:r>
      <w:bookmarkStart w:id="78" w:name="_Toc219062699"/>
      <w:bookmarkStart w:id="79" w:name="_Toc219062997"/>
      <w:bookmarkEnd w:id="78"/>
      <w:bookmarkEnd w:id="79"/>
    </w:p>
    <w:p w14:paraId="2D2C2051" w14:textId="2EAE7FB3" w:rsidR="00C2071D" w:rsidRPr="004B77D6" w:rsidRDefault="00C2071D" w:rsidP="004D0859">
      <w:pPr>
        <w:numPr>
          <w:ilvl w:val="1"/>
          <w:numId w:val="21"/>
        </w:numPr>
        <w:tabs>
          <w:tab w:val="clear" w:pos="1440"/>
        </w:tabs>
        <w:spacing w:line="276" w:lineRule="auto"/>
        <w:ind w:left="284" w:hanging="284"/>
        <w:rPr>
          <w:rFonts w:ascii="Calibri" w:hAnsi="Calibri"/>
          <w:szCs w:val="24"/>
        </w:rPr>
      </w:pPr>
      <w:r w:rsidRPr="004B77D6">
        <w:rPr>
          <w:rFonts w:ascii="Calibri" w:hAnsi="Calibri"/>
          <w:szCs w:val="24"/>
        </w:rPr>
        <w:t xml:space="preserve">w cenach netto (bez podatku VAT) w </w:t>
      </w:r>
      <w:r w:rsidR="006E53A8" w:rsidRPr="004B77D6">
        <w:rPr>
          <w:rFonts w:ascii="Calibri" w:hAnsi="Calibri"/>
          <w:szCs w:val="24"/>
        </w:rPr>
        <w:t>przypadku,</w:t>
      </w:r>
      <w:r w:rsidRPr="004B77D6">
        <w:rPr>
          <w:rFonts w:ascii="Calibri" w:hAnsi="Calibri"/>
          <w:szCs w:val="24"/>
        </w:rPr>
        <w:t xml:space="preserve"> gdy podatek VAT nie stanowi wydatku kwalifikowanego lub</w:t>
      </w:r>
      <w:bookmarkStart w:id="80" w:name="_Toc219062700"/>
      <w:bookmarkStart w:id="81" w:name="_Toc219062998"/>
      <w:bookmarkEnd w:id="80"/>
      <w:bookmarkEnd w:id="81"/>
    </w:p>
    <w:p w14:paraId="10E082BE" w14:textId="1304C173" w:rsidR="00C2071D" w:rsidRPr="004B77D6" w:rsidRDefault="00C2071D" w:rsidP="004D0859">
      <w:pPr>
        <w:numPr>
          <w:ilvl w:val="1"/>
          <w:numId w:val="21"/>
        </w:numPr>
        <w:tabs>
          <w:tab w:val="clear" w:pos="1440"/>
        </w:tabs>
        <w:spacing w:line="276" w:lineRule="auto"/>
        <w:ind w:left="284" w:hanging="284"/>
        <w:rPr>
          <w:rFonts w:ascii="Calibri" w:hAnsi="Calibri"/>
          <w:szCs w:val="24"/>
        </w:rPr>
      </w:pPr>
      <w:r w:rsidRPr="004B77D6">
        <w:rPr>
          <w:rFonts w:ascii="Calibri" w:hAnsi="Calibri"/>
          <w:szCs w:val="24"/>
        </w:rPr>
        <w:t xml:space="preserve">w cenach brutto (wraz z podatkiem VAT), gdy podatek VAT stanowi koszt kwalifikowany oraz gdy jest niekwalifikowany, ale stanowi rzeczywisty </w:t>
      </w:r>
      <w:proofErr w:type="spellStart"/>
      <w:r w:rsidRPr="004B77D6">
        <w:rPr>
          <w:rFonts w:ascii="Calibri" w:hAnsi="Calibri"/>
          <w:szCs w:val="24"/>
        </w:rPr>
        <w:t>nieodzyskiwalny</w:t>
      </w:r>
      <w:proofErr w:type="spellEnd"/>
      <w:r w:rsidRPr="004B77D6">
        <w:rPr>
          <w:rFonts w:ascii="Calibri" w:hAnsi="Calibri"/>
          <w:szCs w:val="24"/>
        </w:rPr>
        <w:t xml:space="preserve"> wydatek podmiotu ponoszącego wydatki (patrz: Przewodnik AKK (wersja polskojęzyczna), podrozdział 2.7.2, przypis 33). </w:t>
      </w:r>
      <w:bookmarkStart w:id="82" w:name="_Toc219062701"/>
      <w:bookmarkStart w:id="83" w:name="_Toc219062999"/>
      <w:bookmarkEnd w:id="82"/>
      <w:bookmarkEnd w:id="83"/>
    </w:p>
    <w:p w14:paraId="10047929" w14:textId="5A29C2EF" w:rsidR="00C2071D" w:rsidRPr="004B77D6" w:rsidRDefault="00C2071D" w:rsidP="00C2071D">
      <w:pPr>
        <w:spacing w:line="276" w:lineRule="auto"/>
        <w:rPr>
          <w:rFonts w:ascii="Calibri" w:hAnsi="Calibri"/>
          <w:szCs w:val="24"/>
        </w:rPr>
      </w:pPr>
      <w:r w:rsidRPr="004B77D6">
        <w:rPr>
          <w:rFonts w:ascii="Calibri" w:hAnsi="Calibri"/>
          <w:szCs w:val="24"/>
        </w:rPr>
        <w:t>Podatek VAT należy wyodrębnić jako osobną pozycję analizy finansowej.</w:t>
      </w:r>
      <w:bookmarkStart w:id="84" w:name="_Toc219062702"/>
      <w:bookmarkStart w:id="85" w:name="_Toc219063000"/>
      <w:bookmarkEnd w:id="84"/>
      <w:bookmarkEnd w:id="85"/>
    </w:p>
    <w:p w14:paraId="16A8CDF9" w14:textId="5F3EF7C3" w:rsidR="00C2071D" w:rsidRPr="004B77D6" w:rsidRDefault="00C2071D" w:rsidP="004D0859">
      <w:pPr>
        <w:numPr>
          <w:ilvl w:val="0"/>
          <w:numId w:val="21"/>
        </w:numPr>
        <w:tabs>
          <w:tab w:val="num" w:pos="360"/>
        </w:tabs>
        <w:spacing w:before="120" w:after="120" w:line="276" w:lineRule="auto"/>
        <w:ind w:left="360"/>
        <w:rPr>
          <w:rFonts w:ascii="Calibri" w:hAnsi="Calibri"/>
          <w:szCs w:val="24"/>
        </w:rPr>
      </w:pPr>
      <w:r w:rsidRPr="004B77D6">
        <w:rPr>
          <w:rFonts w:ascii="Calibri" w:hAnsi="Calibri"/>
          <w:szCs w:val="24"/>
        </w:rPr>
        <w:t xml:space="preserve">zasady klasyfikujące </w:t>
      </w:r>
      <w:r w:rsidR="00F16CD4" w:rsidRPr="004B77D6">
        <w:rPr>
          <w:rFonts w:ascii="Calibri" w:hAnsi="Calibri"/>
          <w:szCs w:val="24"/>
        </w:rPr>
        <w:t>VAT</w:t>
      </w:r>
      <w:r w:rsidRPr="004B77D6">
        <w:rPr>
          <w:rFonts w:ascii="Calibri" w:hAnsi="Calibri"/>
          <w:szCs w:val="24"/>
        </w:rPr>
        <w:t xml:space="preserve"> jako wydatek kwalifikowalny bądź niekwalifikowalny znajdują się w </w:t>
      </w:r>
      <w:r w:rsidRPr="004B77D6">
        <w:rPr>
          <w:rFonts w:ascii="Calibri" w:hAnsi="Calibri"/>
          <w:i/>
          <w:szCs w:val="24"/>
        </w:rPr>
        <w:t>W</w:t>
      </w:r>
      <w:r w:rsidRPr="004B77D6">
        <w:rPr>
          <w:rFonts w:ascii="Calibri" w:hAnsi="Calibri"/>
          <w:i/>
          <w:iCs/>
          <w:szCs w:val="24"/>
        </w:rPr>
        <w:t xml:space="preserve">ytycznych </w:t>
      </w:r>
      <w:r w:rsidR="00BF29AE">
        <w:rPr>
          <w:rFonts w:ascii="Calibri" w:hAnsi="Calibri"/>
          <w:i/>
          <w:iCs/>
          <w:szCs w:val="24"/>
        </w:rPr>
        <w:t>dotyczących kwalifikowalności wydatków na lata 2021-2027.</w:t>
      </w:r>
      <w:bookmarkStart w:id="86" w:name="_Toc219062703"/>
      <w:bookmarkStart w:id="87" w:name="_Toc219063001"/>
      <w:bookmarkEnd w:id="86"/>
      <w:bookmarkEnd w:id="87"/>
    </w:p>
    <w:p w14:paraId="64F28626" w14:textId="32247E6A" w:rsidR="00C2071D" w:rsidRPr="004B77D6" w:rsidRDefault="00C2071D" w:rsidP="004D0859">
      <w:pPr>
        <w:numPr>
          <w:ilvl w:val="0"/>
          <w:numId w:val="21"/>
        </w:numPr>
        <w:tabs>
          <w:tab w:val="num" w:pos="360"/>
        </w:tabs>
        <w:spacing w:before="120" w:after="120" w:line="276" w:lineRule="auto"/>
        <w:ind w:left="360"/>
        <w:rPr>
          <w:rFonts w:ascii="Calibri" w:hAnsi="Calibri"/>
          <w:szCs w:val="24"/>
        </w:rPr>
      </w:pPr>
      <w:r w:rsidRPr="004B77D6">
        <w:rPr>
          <w:rFonts w:ascii="Calibri" w:hAnsi="Calibri"/>
          <w:szCs w:val="24"/>
        </w:rPr>
        <w:t>podatki bezpośrednie (m.in. podatek od nieruchomości) mogą zostać uwzględnione w analizie finansowej jako koszty, o ile stanowią one faktyczny koszt operacyjny ponoszony w związku z funkcjonowaniem projektu oraz istnieje możliwość ich skwantyfikowania. Każdorazowo, niezależnie od powyższych kryteriów, podatki bezpośrednie należy uwzględnić jako koszty w ramach analizy trwałości. Zasadność wskazania podatków bezpośrednich (np. podatku od nieruchomości) jako przychodów projektu powinna zostać poddana pogłębionej analizie, uwzględniającej specyfikę danego projektu. Opłata może zostać uznana za przychód projektu, jeżeli jest ona bezpośrednio związana z jego realizacją i usługami dostarczanymi przez projekt;</w:t>
      </w:r>
      <w:bookmarkStart w:id="88" w:name="_Toc219062704"/>
      <w:bookmarkStart w:id="89" w:name="_Toc219063002"/>
      <w:bookmarkEnd w:id="88"/>
      <w:bookmarkEnd w:id="89"/>
    </w:p>
    <w:p w14:paraId="298099F3" w14:textId="64B89988" w:rsidR="00C2071D" w:rsidRPr="004B77D6" w:rsidRDefault="00BF29AE" w:rsidP="004D0859">
      <w:pPr>
        <w:numPr>
          <w:ilvl w:val="0"/>
          <w:numId w:val="21"/>
        </w:numPr>
        <w:tabs>
          <w:tab w:val="num" w:pos="360"/>
        </w:tabs>
        <w:spacing w:before="120" w:after="120" w:line="276" w:lineRule="auto"/>
        <w:ind w:left="360"/>
        <w:rPr>
          <w:rFonts w:ascii="Calibri" w:hAnsi="Calibri"/>
          <w:szCs w:val="24"/>
        </w:rPr>
      </w:pPr>
      <w:r w:rsidRPr="00BF29AE">
        <w:rPr>
          <w:rFonts w:ascii="Calibri" w:hAnsi="Calibri" w:cs="Arial"/>
          <w:color w:val="000000"/>
          <w:szCs w:val="24"/>
        </w:rPr>
        <w:t xml:space="preserve">analizy należy dokonać wyłącznie dla scenariusza (wariantu) podstawowego. W trakcie sporządzania prognozy przepływów/projekcji finansowej, należy korzystać z danych makroekonomicznych zawartych w wytycznych Ministra Finansów z dnia 3 października 2022 r. dotyczących stosowania jednolitych wskaźników makroekonomicznych będących podstawą oszacowania skutków finansowych projektowanych ustaw albo w nowszej wersji tych wytycznych, jeżeli jest dostępna. Dla okresu analizy wykraczającego poza okres prognozy zawartej w ww. dokumencie należy stosować wartości, jak z ostatniego roku ww. wariantów, o ile zalecenia sektorowe, o których mowa w rozdziale 9 </w:t>
      </w:r>
      <w:r w:rsidRPr="00BF29AE">
        <w:rPr>
          <w:rFonts w:ascii="Calibri" w:hAnsi="Calibri" w:cs="Arial"/>
          <w:i/>
          <w:iCs/>
          <w:color w:val="000000"/>
          <w:szCs w:val="24"/>
        </w:rPr>
        <w:t>Wytycznych dotyczących zagadnień związanych z przygotowaniem projektów inwestycyjnych</w:t>
      </w:r>
      <w:r w:rsidRPr="00BF29AE">
        <w:rPr>
          <w:rFonts w:ascii="Calibri" w:hAnsi="Calibri" w:cs="Arial"/>
          <w:color w:val="000000"/>
          <w:szCs w:val="24"/>
        </w:rPr>
        <w:t xml:space="preserve">, </w:t>
      </w:r>
      <w:r w:rsidRPr="00BF29AE">
        <w:rPr>
          <w:rFonts w:ascii="Calibri" w:hAnsi="Calibri" w:cs="Arial"/>
          <w:i/>
          <w:iCs/>
          <w:color w:val="000000"/>
          <w:szCs w:val="24"/>
        </w:rPr>
        <w:t>w tym hybrydowych na lata 2021-2027</w:t>
      </w:r>
      <w:r w:rsidRPr="00BF29AE">
        <w:rPr>
          <w:rFonts w:ascii="Calibri" w:hAnsi="Calibri" w:cs="Arial"/>
          <w:color w:val="000000"/>
          <w:szCs w:val="24"/>
        </w:rPr>
        <w:t xml:space="preserve">, nie stanowią inaczej. Warianty te będą podlegały okresowej aktualizacji. W przypadku stawek podatkowych (w tym stawek VAT), należy stosować ich wartości, zgodnie z obowiązującymi przepisami. Podczas sporządzania analizy finansowej należy wziąć pod uwagę te z ww. założeń, które mają swoje uzasadnienie w kontekście specyfiki projektu, sektora itp., a także inne, które </w:t>
      </w:r>
      <w:r w:rsidR="0056489E">
        <w:rPr>
          <w:rFonts w:ascii="Calibri" w:hAnsi="Calibri" w:cs="Arial"/>
          <w:color w:val="000000"/>
          <w:szCs w:val="24"/>
        </w:rPr>
        <w:br/>
      </w:r>
      <w:r w:rsidRPr="00BF29AE">
        <w:rPr>
          <w:rFonts w:ascii="Calibri" w:hAnsi="Calibri" w:cs="Arial"/>
          <w:color w:val="000000"/>
          <w:szCs w:val="24"/>
        </w:rPr>
        <w:lastRenderedPageBreak/>
        <w:t>z punktu widzenia beneficjenta/operatora i projektu są istotne do uwzględnienia przy sporządzaniu analizy. W przypadku gdy znane są już rzeczywiste wartości danych makroekonomicznych dla lat będących przedmiotem analizy, należy je wykorzystać zamiast danych pochodzących ze scenariuszy</w:t>
      </w:r>
      <w:bookmarkStart w:id="90" w:name="_Toc219062705"/>
      <w:bookmarkStart w:id="91" w:name="_Toc219063003"/>
      <w:bookmarkEnd w:id="90"/>
      <w:bookmarkEnd w:id="91"/>
    </w:p>
    <w:p w14:paraId="459EBA52" w14:textId="69E9B164" w:rsidR="00C2071D" w:rsidRPr="004B77D6" w:rsidRDefault="00C2071D" w:rsidP="004D0859">
      <w:pPr>
        <w:numPr>
          <w:ilvl w:val="0"/>
          <w:numId w:val="21"/>
        </w:numPr>
        <w:tabs>
          <w:tab w:val="num" w:pos="540"/>
        </w:tabs>
        <w:spacing w:before="120" w:after="120" w:line="276" w:lineRule="auto"/>
        <w:ind w:left="351" w:hanging="357"/>
        <w:rPr>
          <w:rFonts w:ascii="Calibri" w:hAnsi="Calibri" w:cs="Arial"/>
          <w:color w:val="000000"/>
          <w:szCs w:val="24"/>
        </w:rPr>
      </w:pPr>
      <w:r w:rsidRPr="004B77D6">
        <w:rPr>
          <w:rFonts w:ascii="Calibri" w:hAnsi="Calibri" w:cs="Arial"/>
          <w:color w:val="000000"/>
          <w:szCs w:val="24"/>
        </w:rPr>
        <w:t>finansowa stopa dyskontowa, jaka powinna zostać przyjęta w analizie finansowej dla inwestycji planowanych do dofinansowania z funduszy UE wynosi:</w:t>
      </w:r>
      <w:bookmarkStart w:id="92" w:name="_Toc219062706"/>
      <w:bookmarkStart w:id="93" w:name="_Toc219063004"/>
      <w:bookmarkEnd w:id="92"/>
      <w:bookmarkEnd w:id="93"/>
    </w:p>
    <w:p w14:paraId="755EBAB8" w14:textId="5AFC56A7" w:rsidR="00C2071D" w:rsidRPr="004B77D6" w:rsidRDefault="00C2071D" w:rsidP="004D0859">
      <w:pPr>
        <w:numPr>
          <w:ilvl w:val="0"/>
          <w:numId w:val="26"/>
        </w:numPr>
        <w:spacing w:line="276" w:lineRule="auto"/>
        <w:rPr>
          <w:rFonts w:ascii="Calibri" w:hAnsi="Calibri" w:cs="Arial"/>
          <w:color w:val="000000"/>
          <w:szCs w:val="24"/>
        </w:rPr>
      </w:pPr>
      <w:r w:rsidRPr="004B77D6">
        <w:rPr>
          <w:rFonts w:ascii="Calibri" w:hAnsi="Calibri" w:cs="Arial"/>
          <w:color w:val="000000"/>
          <w:szCs w:val="24"/>
        </w:rPr>
        <w:t>4% dla analizy prowadzonej w cenach stałych,</w:t>
      </w:r>
      <w:bookmarkStart w:id="94" w:name="_Toc219062707"/>
      <w:bookmarkStart w:id="95" w:name="_Toc219063005"/>
      <w:bookmarkEnd w:id="94"/>
      <w:bookmarkEnd w:id="95"/>
    </w:p>
    <w:p w14:paraId="4E2E2A5E" w14:textId="5C064FC9" w:rsidR="00C2071D" w:rsidRPr="004B77D6" w:rsidRDefault="0056489E" w:rsidP="004D0859">
      <w:pPr>
        <w:numPr>
          <w:ilvl w:val="0"/>
          <w:numId w:val="26"/>
        </w:numPr>
        <w:spacing w:line="276" w:lineRule="auto"/>
        <w:rPr>
          <w:rFonts w:ascii="Calibri" w:hAnsi="Calibri" w:cs="Arial"/>
          <w:color w:val="000000"/>
          <w:szCs w:val="24"/>
        </w:rPr>
      </w:pPr>
      <w:r>
        <w:rPr>
          <w:rFonts w:ascii="Calibri" w:hAnsi="Calibri" w:cs="Arial"/>
          <w:color w:val="000000"/>
          <w:szCs w:val="24"/>
        </w:rPr>
        <w:t>9</w:t>
      </w:r>
      <w:r w:rsidR="00C2071D" w:rsidRPr="004B77D6">
        <w:rPr>
          <w:rFonts w:ascii="Calibri" w:hAnsi="Calibri" w:cs="Arial"/>
          <w:color w:val="000000"/>
          <w:szCs w:val="24"/>
        </w:rPr>
        <w:t>% dla analizy prowadzonej w cenach bieżących – wartość określona w uproszczeniu, zgodnie ze wzorem:</w:t>
      </w:r>
      <w:bookmarkStart w:id="96" w:name="_Toc219062708"/>
      <w:bookmarkStart w:id="97" w:name="_Toc219063006"/>
      <w:bookmarkEnd w:id="96"/>
      <w:bookmarkEnd w:id="97"/>
    </w:p>
    <w:p w14:paraId="5C1C25FF" w14:textId="792FC7E1" w:rsidR="00C2071D" w:rsidRPr="004B77D6" w:rsidRDefault="00C2071D" w:rsidP="00C2071D">
      <w:pPr>
        <w:spacing w:line="276" w:lineRule="auto"/>
        <w:ind w:left="1125"/>
        <w:rPr>
          <w:rFonts w:ascii="Calibri" w:hAnsi="Calibri" w:cs="Arial"/>
          <w:color w:val="000000"/>
          <w:szCs w:val="24"/>
        </w:rPr>
      </w:pPr>
      <w:bookmarkStart w:id="98" w:name="_Toc219062709"/>
      <w:bookmarkStart w:id="99" w:name="_Toc219063007"/>
      <w:bookmarkEnd w:id="98"/>
      <w:bookmarkEnd w:id="99"/>
    </w:p>
    <w:p w14:paraId="3EEA9D46" w14:textId="72791E8C" w:rsidR="00C2071D" w:rsidRPr="004B77D6" w:rsidRDefault="00C2071D" w:rsidP="00C2071D">
      <w:pPr>
        <w:spacing w:line="276" w:lineRule="auto"/>
        <w:ind w:left="3252" w:firstLine="293"/>
        <w:rPr>
          <w:rFonts w:ascii="Calibri" w:hAnsi="Calibri" w:cs="Arial"/>
          <w:color w:val="000000"/>
          <w:szCs w:val="24"/>
        </w:rPr>
      </w:pPr>
      <w:r w:rsidRPr="004B77D6">
        <w:rPr>
          <w:rFonts w:ascii="Calibri" w:hAnsi="Calibri" w:cs="Arial"/>
          <w:color w:val="000000"/>
          <w:szCs w:val="24"/>
        </w:rPr>
        <w:t>(1+</w:t>
      </w:r>
      <w:r w:rsidR="006E53A8" w:rsidRPr="004B77D6">
        <w:rPr>
          <w:rFonts w:ascii="Calibri" w:hAnsi="Calibri" w:cs="Arial"/>
          <w:color w:val="000000"/>
          <w:szCs w:val="24"/>
        </w:rPr>
        <w:t>n) =</w:t>
      </w:r>
      <w:r w:rsidRPr="004B77D6">
        <w:rPr>
          <w:rFonts w:ascii="Calibri" w:hAnsi="Calibri" w:cs="Arial"/>
          <w:color w:val="000000"/>
          <w:szCs w:val="24"/>
        </w:rPr>
        <w:t>(1+</w:t>
      </w:r>
      <w:r w:rsidR="006E53A8" w:rsidRPr="004B77D6">
        <w:rPr>
          <w:rFonts w:ascii="Calibri" w:hAnsi="Calibri" w:cs="Arial"/>
          <w:color w:val="000000"/>
          <w:szCs w:val="24"/>
        </w:rPr>
        <w:t>r) *</w:t>
      </w:r>
      <w:r w:rsidRPr="004B77D6">
        <w:rPr>
          <w:rFonts w:ascii="Calibri" w:hAnsi="Calibri" w:cs="Arial"/>
          <w:color w:val="000000"/>
          <w:szCs w:val="24"/>
        </w:rPr>
        <w:t xml:space="preserve">(1+i) </w:t>
      </w:r>
      <w:bookmarkStart w:id="100" w:name="_Toc219062710"/>
      <w:bookmarkStart w:id="101" w:name="_Toc219063008"/>
      <w:bookmarkEnd w:id="100"/>
      <w:bookmarkEnd w:id="101"/>
    </w:p>
    <w:p w14:paraId="49A06703" w14:textId="2B95E64F" w:rsidR="00C2071D" w:rsidRPr="004B77D6" w:rsidRDefault="00C2071D" w:rsidP="00C2071D">
      <w:pPr>
        <w:spacing w:line="276" w:lineRule="auto"/>
        <w:ind w:left="1125"/>
        <w:rPr>
          <w:rFonts w:ascii="Calibri" w:hAnsi="Calibri" w:cs="Arial"/>
          <w:color w:val="000000"/>
          <w:szCs w:val="24"/>
        </w:rPr>
      </w:pPr>
      <w:bookmarkStart w:id="102" w:name="_Toc219062711"/>
      <w:bookmarkStart w:id="103" w:name="_Toc219063009"/>
      <w:bookmarkEnd w:id="102"/>
      <w:bookmarkEnd w:id="103"/>
    </w:p>
    <w:p w14:paraId="299CBD1A" w14:textId="17DEE6A8" w:rsidR="00C2071D" w:rsidRPr="004B77D6" w:rsidRDefault="00C2071D" w:rsidP="00A21714">
      <w:pPr>
        <w:spacing w:line="276" w:lineRule="auto"/>
        <w:ind w:left="709"/>
        <w:rPr>
          <w:rFonts w:ascii="Calibri" w:hAnsi="Calibri" w:cs="Arial"/>
          <w:color w:val="000000"/>
          <w:szCs w:val="24"/>
        </w:rPr>
      </w:pPr>
      <w:r w:rsidRPr="004B77D6">
        <w:rPr>
          <w:rFonts w:ascii="Calibri" w:hAnsi="Calibri" w:cs="Arial"/>
          <w:color w:val="000000"/>
          <w:szCs w:val="24"/>
        </w:rPr>
        <w:t>gdzie:</w:t>
      </w:r>
      <w:bookmarkStart w:id="104" w:name="_Toc219062712"/>
      <w:bookmarkStart w:id="105" w:name="_Toc219063010"/>
      <w:bookmarkEnd w:id="104"/>
      <w:bookmarkEnd w:id="105"/>
    </w:p>
    <w:p w14:paraId="7D0F4E35" w14:textId="23DC33A4" w:rsidR="00C2071D" w:rsidRPr="004B77D6" w:rsidRDefault="00C2071D" w:rsidP="00A21714">
      <w:pPr>
        <w:spacing w:line="276" w:lineRule="auto"/>
        <w:ind w:left="709"/>
        <w:rPr>
          <w:rFonts w:ascii="Calibri" w:hAnsi="Calibri" w:cs="Arial"/>
          <w:color w:val="000000"/>
          <w:szCs w:val="24"/>
        </w:rPr>
      </w:pPr>
      <w:r w:rsidRPr="004B77D6">
        <w:rPr>
          <w:rFonts w:ascii="Calibri" w:hAnsi="Calibri" w:cs="Arial"/>
          <w:i/>
          <w:color w:val="000000"/>
          <w:szCs w:val="24"/>
        </w:rPr>
        <w:t>n</w:t>
      </w:r>
      <w:r w:rsidRPr="004B77D6">
        <w:rPr>
          <w:rFonts w:ascii="Calibri" w:hAnsi="Calibri" w:cs="Arial"/>
          <w:color w:val="000000"/>
          <w:szCs w:val="24"/>
        </w:rPr>
        <w:t xml:space="preserve"> – stopa dyskontowa dla cen bieżących,</w:t>
      </w:r>
      <w:bookmarkStart w:id="106" w:name="_Toc219062713"/>
      <w:bookmarkStart w:id="107" w:name="_Toc219063011"/>
      <w:bookmarkEnd w:id="106"/>
      <w:bookmarkEnd w:id="107"/>
    </w:p>
    <w:p w14:paraId="4F383732" w14:textId="71F28E71" w:rsidR="00C2071D" w:rsidRPr="004B77D6" w:rsidRDefault="00C2071D" w:rsidP="00A21714">
      <w:pPr>
        <w:spacing w:line="276" w:lineRule="auto"/>
        <w:ind w:left="709"/>
        <w:rPr>
          <w:rFonts w:ascii="Calibri" w:hAnsi="Calibri" w:cs="Arial"/>
          <w:color w:val="000000"/>
          <w:szCs w:val="24"/>
        </w:rPr>
      </w:pPr>
      <w:r w:rsidRPr="004B77D6">
        <w:rPr>
          <w:rFonts w:ascii="Calibri" w:hAnsi="Calibri" w:cs="Arial"/>
          <w:i/>
          <w:color w:val="000000"/>
          <w:szCs w:val="24"/>
        </w:rPr>
        <w:t xml:space="preserve">r </w:t>
      </w:r>
      <w:r w:rsidRPr="004B77D6">
        <w:rPr>
          <w:rFonts w:ascii="Calibri" w:hAnsi="Calibri" w:cs="Arial"/>
          <w:color w:val="000000"/>
          <w:szCs w:val="24"/>
        </w:rPr>
        <w:t>– stopa dyskontowa dla cen stałych,</w:t>
      </w:r>
      <w:bookmarkStart w:id="108" w:name="_Toc219062714"/>
      <w:bookmarkStart w:id="109" w:name="_Toc219063012"/>
      <w:bookmarkEnd w:id="108"/>
      <w:bookmarkEnd w:id="109"/>
    </w:p>
    <w:p w14:paraId="2E67D30F" w14:textId="59E0D182" w:rsidR="0056489E" w:rsidRPr="004B77D6" w:rsidRDefault="00C2071D" w:rsidP="006C31C3">
      <w:pPr>
        <w:spacing w:line="276" w:lineRule="auto"/>
        <w:ind w:left="1125"/>
        <w:rPr>
          <w:rFonts w:ascii="Calibri" w:hAnsi="Calibri" w:cs="Arial"/>
          <w:color w:val="000000"/>
          <w:szCs w:val="24"/>
        </w:rPr>
      </w:pPr>
      <w:r w:rsidRPr="004B77D6">
        <w:rPr>
          <w:rFonts w:ascii="Calibri" w:hAnsi="Calibri" w:cs="Arial"/>
          <w:i/>
          <w:color w:val="000000"/>
          <w:szCs w:val="24"/>
        </w:rPr>
        <w:t xml:space="preserve">i </w:t>
      </w:r>
      <w:r w:rsidRPr="004B77D6">
        <w:rPr>
          <w:rFonts w:ascii="Calibri" w:hAnsi="Calibri" w:cs="Arial"/>
          <w:color w:val="000000"/>
          <w:szCs w:val="24"/>
        </w:rPr>
        <w:t xml:space="preserve">– </w:t>
      </w:r>
      <w:r w:rsidR="0056489E" w:rsidRPr="0056489E">
        <w:rPr>
          <w:rFonts w:ascii="Calibri" w:hAnsi="Calibri" w:cs="Arial"/>
          <w:color w:val="000000"/>
          <w:szCs w:val="24"/>
        </w:rPr>
        <w:t>wskaźnik inflacji, na podstawie danych z wytycznych Ministra Finansów z dnia 3 października 2022 r. dotyczących stosowania jednolitych wskaźników makroekonomicznych będących podstawą oszacowania skutków finansowych projektowanych ustaw, zgodnie z którymi średni wskaźnik inflacji w okresie 2022- 2026 będzie się kształtował na poziomie 6,74%, a w okresie 2026-2029 - na poziomie 2,5%.</w:t>
      </w:r>
      <w:bookmarkStart w:id="110" w:name="_Toc219062715"/>
      <w:bookmarkStart w:id="111" w:name="_Toc219063013"/>
      <w:bookmarkStart w:id="112" w:name="_Toc219062716"/>
      <w:bookmarkStart w:id="113" w:name="_Toc219063014"/>
      <w:bookmarkEnd w:id="110"/>
      <w:bookmarkEnd w:id="111"/>
      <w:bookmarkEnd w:id="112"/>
      <w:bookmarkEnd w:id="113"/>
    </w:p>
    <w:p w14:paraId="7B68C98C" w14:textId="42A65804" w:rsidR="00C2071D" w:rsidRPr="004B77D6" w:rsidRDefault="00C2071D" w:rsidP="004D0859">
      <w:pPr>
        <w:numPr>
          <w:ilvl w:val="0"/>
          <w:numId w:val="21"/>
        </w:numPr>
        <w:tabs>
          <w:tab w:val="num" w:pos="540"/>
        </w:tabs>
        <w:spacing w:before="120" w:after="120" w:line="276" w:lineRule="auto"/>
        <w:ind w:left="360"/>
        <w:rPr>
          <w:rFonts w:ascii="Calibri" w:hAnsi="Calibri"/>
          <w:szCs w:val="24"/>
        </w:rPr>
      </w:pPr>
      <w:r w:rsidRPr="004B77D6">
        <w:rPr>
          <w:rFonts w:ascii="Calibri" w:hAnsi="Calibri"/>
          <w:szCs w:val="24"/>
        </w:rPr>
        <w:t xml:space="preserve">horyzont czasowy </w:t>
      </w:r>
      <w:r w:rsidR="0056489E">
        <w:rPr>
          <w:rFonts w:ascii="Calibri" w:hAnsi="Calibri"/>
          <w:szCs w:val="24"/>
        </w:rPr>
        <w:t xml:space="preserve">- </w:t>
      </w:r>
      <w:r w:rsidR="0056489E" w:rsidRPr="0056489E">
        <w:rPr>
          <w:rFonts w:ascii="Calibri" w:hAnsi="Calibri"/>
          <w:szCs w:val="24"/>
        </w:rPr>
        <w:t>okres odniesienia, jaki należy przyjąć w analizie finansowej</w:t>
      </w:r>
      <w:r w:rsidR="0056489E">
        <w:rPr>
          <w:rFonts w:ascii="Calibri" w:hAnsi="Calibri"/>
          <w:szCs w:val="24"/>
        </w:rPr>
        <w:t>.</w:t>
      </w:r>
      <w:r w:rsidR="0056489E" w:rsidRPr="0056489E">
        <w:rPr>
          <w:rFonts w:ascii="Calibri" w:hAnsi="Calibri"/>
          <w:szCs w:val="24"/>
        </w:rPr>
        <w:t xml:space="preserve"> </w:t>
      </w:r>
      <w:bookmarkStart w:id="114" w:name="_Toc219062717"/>
      <w:bookmarkStart w:id="115" w:name="_Toc219063015"/>
      <w:bookmarkEnd w:id="114"/>
      <w:bookmarkEnd w:id="115"/>
    </w:p>
    <w:p w14:paraId="41F57108" w14:textId="39525169" w:rsidR="00C2071D" w:rsidRPr="004B77D6" w:rsidRDefault="00C2071D" w:rsidP="0056489E">
      <w:pPr>
        <w:spacing w:before="120" w:after="120" w:line="276" w:lineRule="auto"/>
        <w:rPr>
          <w:rFonts w:ascii="Calibri" w:hAnsi="Calibri"/>
          <w:szCs w:val="24"/>
        </w:rPr>
      </w:pPr>
      <w:r w:rsidRPr="004B77D6">
        <w:rPr>
          <w:rFonts w:ascii="Calibri" w:hAnsi="Calibri"/>
          <w:szCs w:val="24"/>
        </w:rPr>
        <w:t>W przypadku projektu, który łączy ze sobą zadania inwestycyjne z co najmniej dwóch sektorów, należy dokonać wyboru wymiaru okresu odniesienia posługując się przedziałem właściwym dla sektora dominującego. Określenie sektora dominującego w ramach projektu należy przeprowadzić w oparciu o cele działania lub naboru albo poprzez porównanie wysokość nakładów inwestycyjnych przypadających na poszczególne zadania inwestycyjne.</w:t>
      </w:r>
      <w:bookmarkStart w:id="116" w:name="_Toc219062718"/>
      <w:bookmarkStart w:id="117" w:name="_Toc219063016"/>
      <w:bookmarkEnd w:id="116"/>
      <w:bookmarkEnd w:id="117"/>
    </w:p>
    <w:p w14:paraId="7FFE06EF" w14:textId="2CBB6CE5" w:rsidR="00C2071D" w:rsidRDefault="00C2071D" w:rsidP="002E7564">
      <w:pPr>
        <w:autoSpaceDE w:val="0"/>
        <w:autoSpaceDN w:val="0"/>
        <w:jc w:val="both"/>
        <w:rPr>
          <w:rFonts w:ascii="Calibri" w:hAnsi="Calibri"/>
          <w:b/>
        </w:rPr>
      </w:pPr>
      <w:r w:rsidRPr="004B77D6">
        <w:rPr>
          <w:rFonts w:ascii="Calibri" w:hAnsi="Calibri"/>
          <w:b/>
        </w:rPr>
        <w:t xml:space="preserve">Do analizy projektów składanych w ramach </w:t>
      </w:r>
      <w:r w:rsidRPr="0056489E">
        <w:rPr>
          <w:rFonts w:ascii="Calibri" w:hAnsi="Calibri"/>
          <w:b/>
        </w:rPr>
        <w:t xml:space="preserve">działania </w:t>
      </w:r>
      <w:r w:rsidR="002961A3">
        <w:rPr>
          <w:rFonts w:ascii="Calibri" w:hAnsi="Calibri"/>
          <w:b/>
        </w:rPr>
        <w:t>2</w:t>
      </w:r>
      <w:r w:rsidR="00FE5AE4">
        <w:rPr>
          <w:rFonts w:ascii="Calibri" w:hAnsi="Calibri"/>
          <w:b/>
        </w:rPr>
        <w:t>.</w:t>
      </w:r>
      <w:r w:rsidR="002961A3">
        <w:rPr>
          <w:rFonts w:ascii="Calibri" w:hAnsi="Calibri"/>
          <w:b/>
        </w:rPr>
        <w:t>5</w:t>
      </w:r>
      <w:r w:rsidR="00FE5AE4">
        <w:rPr>
          <w:rFonts w:ascii="Calibri" w:hAnsi="Calibri"/>
          <w:b/>
        </w:rPr>
        <w:t xml:space="preserve"> </w:t>
      </w:r>
      <w:r w:rsidR="002961A3">
        <w:rPr>
          <w:rFonts w:ascii="Calibri" w:hAnsi="Calibri"/>
          <w:b/>
        </w:rPr>
        <w:t>Odpady i gospodarka o obiegu zamk</w:t>
      </w:r>
      <w:r w:rsidR="00A21714">
        <w:rPr>
          <w:rFonts w:ascii="Calibri" w:hAnsi="Calibri"/>
          <w:b/>
        </w:rPr>
        <w:t>n</w:t>
      </w:r>
      <w:r w:rsidR="002961A3">
        <w:rPr>
          <w:rFonts w:ascii="Calibri" w:hAnsi="Calibri"/>
          <w:b/>
        </w:rPr>
        <w:t>iętym</w:t>
      </w:r>
      <w:r w:rsidR="00187F1C" w:rsidRPr="00187F1C">
        <w:rPr>
          <w:rFonts w:ascii="Calibri" w:hAnsi="Calibri"/>
          <w:b/>
        </w:rPr>
        <w:t xml:space="preserve"> FEO 2021</w:t>
      </w:r>
      <w:r w:rsidR="002E7564">
        <w:rPr>
          <w:rFonts w:ascii="Calibri" w:hAnsi="Calibri"/>
          <w:b/>
        </w:rPr>
        <w:t>-</w:t>
      </w:r>
      <w:r w:rsidR="00187F1C" w:rsidRPr="00187F1C">
        <w:rPr>
          <w:rFonts w:ascii="Calibri" w:hAnsi="Calibri"/>
          <w:b/>
        </w:rPr>
        <w:t xml:space="preserve">2027 </w:t>
      </w:r>
      <w:r w:rsidRPr="004B77D6">
        <w:rPr>
          <w:rFonts w:ascii="Calibri" w:hAnsi="Calibri"/>
          <w:b/>
        </w:rPr>
        <w:t xml:space="preserve">należy przyjąć </w:t>
      </w:r>
      <w:r w:rsidR="00FE5AE4">
        <w:rPr>
          <w:rFonts w:ascii="Calibri" w:hAnsi="Calibri"/>
          <w:b/>
        </w:rPr>
        <w:t>30</w:t>
      </w:r>
      <w:r w:rsidR="00DA68B2">
        <w:rPr>
          <w:rFonts w:ascii="Calibri" w:hAnsi="Calibri"/>
          <w:b/>
        </w:rPr>
        <w:t xml:space="preserve"> </w:t>
      </w:r>
      <w:r w:rsidRPr="004B77D6">
        <w:rPr>
          <w:rFonts w:ascii="Calibri" w:hAnsi="Calibri"/>
          <w:b/>
        </w:rPr>
        <w:t>letni okres referencyjny.</w:t>
      </w:r>
      <w:bookmarkStart w:id="118" w:name="_Toc219062719"/>
      <w:bookmarkStart w:id="119" w:name="_Toc219063017"/>
      <w:bookmarkEnd w:id="118"/>
      <w:bookmarkEnd w:id="119"/>
    </w:p>
    <w:p w14:paraId="72515FB1" w14:textId="34243600" w:rsidR="00C260E9" w:rsidRPr="004B77D6" w:rsidRDefault="00C260E9" w:rsidP="00196CDC">
      <w:pPr>
        <w:autoSpaceDE w:val="0"/>
        <w:autoSpaceDN w:val="0"/>
        <w:ind w:firstLine="360"/>
        <w:jc w:val="both"/>
        <w:rPr>
          <w:rFonts w:ascii="Calibri" w:hAnsi="Calibri"/>
          <w:b/>
        </w:rPr>
      </w:pPr>
      <w:bookmarkStart w:id="120" w:name="_Toc219062720"/>
      <w:bookmarkStart w:id="121" w:name="_Toc219063018"/>
      <w:bookmarkEnd w:id="120"/>
      <w:bookmarkEnd w:id="121"/>
    </w:p>
    <w:p w14:paraId="4F5D0685" w14:textId="69B6A20F" w:rsidR="00C2071D" w:rsidRPr="004B77D6" w:rsidRDefault="007F3242" w:rsidP="004D0859">
      <w:pPr>
        <w:numPr>
          <w:ilvl w:val="0"/>
          <w:numId w:val="21"/>
        </w:numPr>
        <w:tabs>
          <w:tab w:val="num" w:pos="540"/>
        </w:tabs>
        <w:spacing w:before="120" w:after="120" w:line="276" w:lineRule="auto"/>
        <w:ind w:left="360"/>
        <w:rPr>
          <w:rFonts w:ascii="Calibri" w:hAnsi="Calibri"/>
          <w:szCs w:val="24"/>
        </w:rPr>
      </w:pPr>
      <w:r>
        <w:rPr>
          <w:rFonts w:ascii="Calibri" w:hAnsi="Calibri"/>
          <w:szCs w:val="24"/>
        </w:rPr>
        <w:t>amortyzacja</w:t>
      </w:r>
      <w:r w:rsidR="00C2071D" w:rsidRPr="004B77D6">
        <w:rPr>
          <w:rFonts w:ascii="Calibri" w:hAnsi="Calibri"/>
          <w:szCs w:val="24"/>
        </w:rPr>
        <w:t xml:space="preserve"> – </w:t>
      </w:r>
      <w:r w:rsidR="0056489E" w:rsidRPr="0056489E">
        <w:rPr>
          <w:rFonts w:ascii="Calibri" w:hAnsi="Calibri"/>
          <w:szCs w:val="24"/>
        </w:rPr>
        <w:t>metoda oraz okres amortyzacji dla każdego typu aktywa muszą być zgodne z polityką rachunkowości beneficjenta/operatora. Amortyzacja, ze względu na fakt, iż nie stanowi faktycznego przepływu pieniężnego, nie jest uwzględniana w kosztach operacyjnych w ramach analizy finansowej.</w:t>
      </w:r>
      <w:bookmarkStart w:id="122" w:name="_Toc219062721"/>
      <w:bookmarkStart w:id="123" w:name="_Toc219063019"/>
      <w:bookmarkEnd w:id="122"/>
      <w:bookmarkEnd w:id="123"/>
    </w:p>
    <w:p w14:paraId="3ECFF45C" w14:textId="65B5BC99" w:rsidR="00C2071D" w:rsidRPr="004B77D6" w:rsidRDefault="00C2071D" w:rsidP="004D0859">
      <w:pPr>
        <w:numPr>
          <w:ilvl w:val="0"/>
          <w:numId w:val="21"/>
        </w:numPr>
        <w:tabs>
          <w:tab w:val="num" w:pos="540"/>
        </w:tabs>
        <w:spacing w:before="120" w:after="120" w:line="276" w:lineRule="auto"/>
        <w:ind w:left="360"/>
        <w:rPr>
          <w:rFonts w:ascii="Calibri" w:hAnsi="Calibri"/>
          <w:szCs w:val="24"/>
        </w:rPr>
      </w:pPr>
      <w:r w:rsidRPr="004B77D6">
        <w:rPr>
          <w:rFonts w:ascii="Calibri" w:hAnsi="Calibri"/>
          <w:szCs w:val="24"/>
        </w:rPr>
        <w:t xml:space="preserve">wartość dofinansowania projektu z funduszy UE może zostać uwzględniona wyłącznie w ramach analizy trwałości projektu. </w:t>
      </w:r>
      <w:bookmarkStart w:id="124" w:name="_Toc219062722"/>
      <w:bookmarkStart w:id="125" w:name="_Toc219063020"/>
      <w:bookmarkEnd w:id="124"/>
      <w:bookmarkEnd w:id="125"/>
    </w:p>
    <w:p w14:paraId="46117BF1" w14:textId="77777777" w:rsidR="00F16CD4" w:rsidRDefault="00F16CD4" w:rsidP="00E3070A">
      <w:pPr>
        <w:pStyle w:val="Tekstpodstawowy22"/>
        <w:tabs>
          <w:tab w:val="num" w:pos="993"/>
        </w:tabs>
        <w:spacing w:before="240" w:after="120" w:line="276" w:lineRule="auto"/>
        <w:jc w:val="left"/>
        <w:rPr>
          <w:rFonts w:ascii="Calibri" w:hAnsi="Calibri"/>
          <w:b/>
          <w:szCs w:val="24"/>
        </w:rPr>
      </w:pPr>
    </w:p>
    <w:p w14:paraId="4ADE314E" w14:textId="0DB3CECE" w:rsidR="00C2071D" w:rsidRPr="004B77D6" w:rsidRDefault="00C2071D" w:rsidP="00E3070A">
      <w:pPr>
        <w:pStyle w:val="Tekstpodstawowy22"/>
        <w:tabs>
          <w:tab w:val="num" w:pos="993"/>
        </w:tabs>
        <w:spacing w:before="240" w:after="120" w:line="276" w:lineRule="auto"/>
        <w:jc w:val="left"/>
        <w:rPr>
          <w:rFonts w:ascii="Calibri" w:hAnsi="Calibri"/>
          <w:b/>
          <w:szCs w:val="24"/>
        </w:rPr>
      </w:pPr>
      <w:r w:rsidRPr="004B77D6">
        <w:rPr>
          <w:rFonts w:ascii="Calibri" w:hAnsi="Calibri"/>
          <w:b/>
          <w:szCs w:val="24"/>
        </w:rPr>
        <w:lastRenderedPageBreak/>
        <w:t>Metody analizy finansowej uwzględniające kategorię inwestycji.</w:t>
      </w:r>
      <w:bookmarkStart w:id="126" w:name="_Toc219062723"/>
      <w:bookmarkStart w:id="127" w:name="_Toc219063021"/>
      <w:bookmarkEnd w:id="126"/>
      <w:bookmarkEnd w:id="127"/>
    </w:p>
    <w:p w14:paraId="49166CE7" w14:textId="7B26C31E" w:rsidR="00C2071D" w:rsidRPr="004B77D6" w:rsidRDefault="00C2071D" w:rsidP="004D0859">
      <w:pPr>
        <w:numPr>
          <w:ilvl w:val="0"/>
          <w:numId w:val="30"/>
        </w:numPr>
        <w:suppressAutoHyphens w:val="0"/>
        <w:spacing w:after="120" w:line="276" w:lineRule="auto"/>
        <w:rPr>
          <w:rFonts w:ascii="Calibri" w:hAnsi="Calibri" w:cs="Arial"/>
          <w:bCs/>
          <w:szCs w:val="24"/>
        </w:rPr>
      </w:pPr>
      <w:r w:rsidRPr="004B77D6">
        <w:rPr>
          <w:rFonts w:ascii="Calibri" w:hAnsi="Calibri" w:cs="Arial"/>
          <w:bCs/>
          <w:szCs w:val="24"/>
        </w:rPr>
        <w:t xml:space="preserve"> </w:t>
      </w:r>
      <w:r w:rsidRPr="004B77D6">
        <w:rPr>
          <w:rFonts w:ascii="Calibri" w:hAnsi="Calibri"/>
          <w:szCs w:val="24"/>
        </w:rPr>
        <w:t>Odpowiednią metodę analizy finansowej dobiera się również, w zależności od kategorii inwestycji (</w:t>
      </w:r>
      <w:r w:rsidRPr="004B77D6">
        <w:rPr>
          <w:rFonts w:ascii="Calibri" w:hAnsi="Calibri"/>
          <w:i/>
          <w:szCs w:val="24"/>
        </w:rPr>
        <w:t>Wytyczne w zakresie zagadnień związanych z przygotowaniem projektów inwestycyjnych, w tym projektów generujących dochód i projektów hybrydowych na lata 2014-2020</w:t>
      </w:r>
      <w:r w:rsidRPr="004B77D6">
        <w:rPr>
          <w:rFonts w:ascii="Calibri" w:hAnsi="Calibri"/>
          <w:szCs w:val="24"/>
        </w:rPr>
        <w:t>).</w:t>
      </w:r>
      <w:r w:rsidRPr="004B77D6">
        <w:rPr>
          <w:rFonts w:ascii="Calibri" w:hAnsi="Calibri" w:cs="Arial"/>
          <w:bCs/>
          <w:szCs w:val="24"/>
        </w:rPr>
        <w:t xml:space="preserve"> Wyróżnia się dwie kategorie inwestycji, które są przedmiotem różnych metod analizy finansowej. Kwalifikacji inwestycji do danej kategorii dokonuje się na podstawie odpowiedzi uzyskanych na następujące pytania: </w:t>
      </w:r>
      <w:bookmarkStart w:id="128" w:name="_Toc219062724"/>
      <w:bookmarkStart w:id="129" w:name="_Toc219063022"/>
      <w:bookmarkEnd w:id="128"/>
      <w:bookmarkEnd w:id="129"/>
    </w:p>
    <w:p w14:paraId="7C5CC583" w14:textId="548C8220" w:rsidR="00C2071D" w:rsidRPr="004B77D6" w:rsidRDefault="00C2071D" w:rsidP="004D0859">
      <w:pPr>
        <w:numPr>
          <w:ilvl w:val="1"/>
          <w:numId w:val="30"/>
        </w:numPr>
        <w:suppressAutoHyphens w:val="0"/>
        <w:spacing w:after="120" w:line="276" w:lineRule="auto"/>
        <w:rPr>
          <w:rFonts w:ascii="Calibri" w:hAnsi="Calibri" w:cs="Arial"/>
          <w:bCs/>
          <w:i/>
          <w:szCs w:val="24"/>
        </w:rPr>
      </w:pPr>
      <w:r w:rsidRPr="004B77D6">
        <w:rPr>
          <w:rFonts w:ascii="Calibri" w:hAnsi="Calibri" w:cs="Arial"/>
          <w:bCs/>
          <w:i/>
          <w:szCs w:val="24"/>
        </w:rPr>
        <w:t>Czy możliwe jest oddzielenie strumienia przychodów projektu od ogólnego strumienia przychodów beneficjenta?</w:t>
      </w:r>
      <w:bookmarkStart w:id="130" w:name="_Toc219062725"/>
      <w:bookmarkStart w:id="131" w:name="_Toc219063023"/>
      <w:bookmarkEnd w:id="130"/>
      <w:bookmarkEnd w:id="131"/>
    </w:p>
    <w:p w14:paraId="0E122C80" w14:textId="2AD04FB9" w:rsidR="00C2071D" w:rsidRPr="004B77D6" w:rsidRDefault="00C2071D" w:rsidP="004D0859">
      <w:pPr>
        <w:numPr>
          <w:ilvl w:val="1"/>
          <w:numId w:val="30"/>
        </w:numPr>
        <w:suppressAutoHyphens w:val="0"/>
        <w:spacing w:after="120" w:line="276" w:lineRule="auto"/>
        <w:rPr>
          <w:rFonts w:ascii="Calibri" w:hAnsi="Calibri" w:cs="Arial"/>
          <w:bCs/>
          <w:i/>
          <w:szCs w:val="24"/>
        </w:rPr>
      </w:pPr>
      <w:r w:rsidRPr="004B77D6">
        <w:rPr>
          <w:rFonts w:ascii="Calibri" w:hAnsi="Calibri" w:cs="Arial"/>
          <w:bCs/>
          <w:i/>
          <w:szCs w:val="24"/>
        </w:rPr>
        <w:t xml:space="preserve">Czy możliwe jest oddzielenie strumienia kosztów operacyjnych i nakładów inwestycyjnych na realizację projektu od ogólnego strumienia kosztów operacyjnych </w:t>
      </w:r>
      <w:r w:rsidRPr="004B77D6">
        <w:rPr>
          <w:rFonts w:ascii="Calibri" w:hAnsi="Calibri" w:cs="Arial"/>
          <w:bCs/>
          <w:i/>
          <w:szCs w:val="24"/>
        </w:rPr>
        <w:br/>
        <w:t>i nakładów inwestycyjnych beneficjenta?</w:t>
      </w:r>
      <w:bookmarkStart w:id="132" w:name="_Toc219062726"/>
      <w:bookmarkStart w:id="133" w:name="_Toc219063024"/>
      <w:bookmarkEnd w:id="132"/>
      <w:bookmarkEnd w:id="133"/>
    </w:p>
    <w:p w14:paraId="53AAB66C" w14:textId="0CF5C440" w:rsidR="00C260E9" w:rsidRDefault="00C2071D" w:rsidP="004D0859">
      <w:pPr>
        <w:numPr>
          <w:ilvl w:val="0"/>
          <w:numId w:val="30"/>
        </w:numPr>
        <w:suppressAutoHyphens w:val="0"/>
        <w:spacing w:after="120" w:line="276" w:lineRule="auto"/>
        <w:rPr>
          <w:rFonts w:ascii="Calibri" w:hAnsi="Calibri" w:cs="Arial"/>
          <w:bCs/>
          <w:szCs w:val="24"/>
        </w:rPr>
      </w:pPr>
      <w:r w:rsidRPr="004B77D6">
        <w:rPr>
          <w:rFonts w:ascii="Calibri" w:hAnsi="Calibri" w:cs="Arial"/>
          <w:b/>
          <w:bCs/>
          <w:szCs w:val="24"/>
        </w:rPr>
        <w:t>Kategoria 1</w:t>
      </w:r>
      <w:r w:rsidRPr="004B77D6">
        <w:rPr>
          <w:rFonts w:ascii="Calibri" w:hAnsi="Calibri" w:cs="Arial"/>
          <w:bCs/>
          <w:szCs w:val="24"/>
        </w:rPr>
        <w:t xml:space="preserve"> dotyczy inwestycji, dla których możliwe jest oddzielenie przepływów pieniężnych związanych z projektem od ogólnych przepływów pieniężnych beneficjenta. </w:t>
      </w:r>
      <w:bookmarkStart w:id="134" w:name="_Toc219062727"/>
      <w:bookmarkStart w:id="135" w:name="_Toc219063025"/>
      <w:bookmarkEnd w:id="134"/>
      <w:bookmarkEnd w:id="135"/>
    </w:p>
    <w:p w14:paraId="6A41F25B" w14:textId="1F976F37" w:rsidR="00C2071D" w:rsidRPr="004B77D6" w:rsidRDefault="00C2071D" w:rsidP="00196CDC">
      <w:pPr>
        <w:suppressAutoHyphens w:val="0"/>
        <w:spacing w:after="120" w:line="276" w:lineRule="auto"/>
        <w:ind w:left="360"/>
        <w:rPr>
          <w:rFonts w:ascii="Calibri" w:hAnsi="Calibri" w:cs="Arial"/>
          <w:bCs/>
          <w:szCs w:val="24"/>
        </w:rPr>
      </w:pPr>
      <w:r w:rsidRPr="004B77D6">
        <w:rPr>
          <w:rFonts w:ascii="Calibri" w:hAnsi="Calibri" w:cs="Arial"/>
          <w:bCs/>
          <w:szCs w:val="24"/>
        </w:rPr>
        <w:t xml:space="preserve">Ma ona miejsce wówczas, jeśli na oba wyżej wymienione pytania zostały udzielone </w:t>
      </w:r>
      <w:r w:rsidRPr="004B77D6">
        <w:rPr>
          <w:rFonts w:ascii="Calibri" w:hAnsi="Calibri" w:cs="Arial"/>
          <w:b/>
          <w:bCs/>
          <w:szCs w:val="24"/>
        </w:rPr>
        <w:t>pozytywne</w:t>
      </w:r>
      <w:r w:rsidRPr="004B77D6">
        <w:rPr>
          <w:rFonts w:ascii="Calibri" w:hAnsi="Calibri" w:cs="Arial"/>
          <w:bCs/>
          <w:szCs w:val="24"/>
        </w:rPr>
        <w:t xml:space="preserve"> </w:t>
      </w:r>
      <w:r w:rsidRPr="004B77D6">
        <w:rPr>
          <w:rFonts w:ascii="Calibri" w:hAnsi="Calibri" w:cs="Arial"/>
          <w:b/>
          <w:bCs/>
          <w:szCs w:val="24"/>
        </w:rPr>
        <w:t>odpowiedzi</w:t>
      </w:r>
      <w:r w:rsidRPr="004B77D6">
        <w:rPr>
          <w:rFonts w:ascii="Calibri" w:hAnsi="Calibri" w:cs="Arial"/>
          <w:bCs/>
          <w:szCs w:val="24"/>
        </w:rPr>
        <w:t xml:space="preserve">. W tej sytuacji możliwe jest zastosowanie </w:t>
      </w:r>
      <w:r w:rsidRPr="004B77D6">
        <w:rPr>
          <w:rFonts w:ascii="Calibri" w:hAnsi="Calibri" w:cs="Arial"/>
          <w:b/>
          <w:bCs/>
          <w:szCs w:val="24"/>
        </w:rPr>
        <w:t>metody standardowej</w:t>
      </w:r>
      <w:r w:rsidRPr="004B77D6">
        <w:rPr>
          <w:rFonts w:ascii="Calibri" w:hAnsi="Calibri" w:cs="Arial"/>
          <w:bCs/>
          <w:szCs w:val="24"/>
        </w:rPr>
        <w:t>, polegającej na uwzględnieniu w analizie jedynie przepływów pieniężnych w ramach projektu UE</w:t>
      </w:r>
      <w:r w:rsidRPr="004B77D6">
        <w:rPr>
          <w:rFonts w:ascii="Calibri" w:hAnsi="Calibri" w:cs="Arial"/>
          <w:b/>
          <w:bCs/>
          <w:szCs w:val="24"/>
        </w:rPr>
        <w:t xml:space="preserve">. </w:t>
      </w:r>
      <w:bookmarkStart w:id="136" w:name="_Toc219062728"/>
      <w:bookmarkStart w:id="137" w:name="_Toc219063026"/>
      <w:bookmarkEnd w:id="136"/>
      <w:bookmarkEnd w:id="137"/>
    </w:p>
    <w:p w14:paraId="7EFB6E50" w14:textId="5E2D919C" w:rsidR="00C2071D" w:rsidRPr="004B77D6" w:rsidRDefault="00C2071D" w:rsidP="004D0859">
      <w:pPr>
        <w:numPr>
          <w:ilvl w:val="0"/>
          <w:numId w:val="32"/>
        </w:numPr>
        <w:suppressAutoHyphens w:val="0"/>
        <w:spacing w:after="120" w:line="276" w:lineRule="auto"/>
        <w:rPr>
          <w:rFonts w:ascii="Calibri" w:hAnsi="Calibri" w:cs="Arial"/>
          <w:bCs/>
          <w:szCs w:val="24"/>
        </w:rPr>
      </w:pPr>
      <w:r w:rsidRPr="004B77D6">
        <w:rPr>
          <w:rFonts w:ascii="Calibri" w:hAnsi="Calibri" w:cs="Arial"/>
          <w:bCs/>
          <w:szCs w:val="24"/>
        </w:rPr>
        <w:t xml:space="preserve">Analiza finansowa przeprowadzona w oparciu o </w:t>
      </w:r>
      <w:r w:rsidRPr="004B77D6">
        <w:rPr>
          <w:rFonts w:ascii="Calibri" w:hAnsi="Calibri" w:cs="Arial"/>
          <w:b/>
          <w:bCs/>
          <w:szCs w:val="24"/>
        </w:rPr>
        <w:t xml:space="preserve">metodę standardową </w:t>
      </w:r>
      <w:r w:rsidRPr="004B77D6">
        <w:rPr>
          <w:rFonts w:ascii="Calibri" w:hAnsi="Calibri" w:cs="Arial"/>
          <w:bCs/>
          <w:szCs w:val="24"/>
        </w:rPr>
        <w:t xml:space="preserve">ma zastosowanie w szczególności do projektów, realizowanych przy założeniu, że środki dłużne przeznaczone na finansowanie realizacji projektu spłacane będą w oparciu o nadwyżkę finansową generowaną w oparciu o działalność prowadzoną w wyniku realizacji projektu, a zabezpieczeniem spłaty tego zadłużenia będzie majątek powstały w wyniku realizacji projektu. </w:t>
      </w:r>
      <w:bookmarkStart w:id="138" w:name="_Toc219062729"/>
      <w:bookmarkStart w:id="139" w:name="_Toc219063027"/>
      <w:bookmarkEnd w:id="138"/>
      <w:bookmarkEnd w:id="139"/>
    </w:p>
    <w:p w14:paraId="0EC3EA6D" w14:textId="202336F3" w:rsidR="00C2071D" w:rsidRPr="004B77D6" w:rsidRDefault="00C2071D" w:rsidP="00C2071D">
      <w:pPr>
        <w:numPr>
          <w:ilvl w:val="0"/>
          <w:numId w:val="1"/>
        </w:numPr>
        <w:suppressAutoHyphens w:val="0"/>
        <w:spacing w:after="120" w:line="276" w:lineRule="auto"/>
        <w:rPr>
          <w:rFonts w:ascii="Calibri" w:hAnsi="Calibri" w:cs="Arial"/>
          <w:bCs/>
          <w:szCs w:val="24"/>
        </w:rPr>
      </w:pPr>
      <w:r w:rsidRPr="004B77D6">
        <w:rPr>
          <w:rFonts w:ascii="Calibri" w:hAnsi="Calibri" w:cs="Arial"/>
          <w:bCs/>
          <w:szCs w:val="24"/>
        </w:rPr>
        <w:t xml:space="preserve">W metodzie standardowej należy w szczególności określić prognozowane na przestrzeni całego okresu odniesienia: </w:t>
      </w:r>
      <w:bookmarkStart w:id="140" w:name="_Toc219062730"/>
      <w:bookmarkStart w:id="141" w:name="_Toc219063028"/>
      <w:bookmarkEnd w:id="140"/>
      <w:bookmarkEnd w:id="141"/>
    </w:p>
    <w:p w14:paraId="0D0518B7" w14:textId="4CBB56CD" w:rsidR="00C2071D" w:rsidRPr="004B77D6" w:rsidRDefault="00C2071D" w:rsidP="00C2071D">
      <w:pPr>
        <w:numPr>
          <w:ilvl w:val="1"/>
          <w:numId w:val="1"/>
        </w:numPr>
        <w:suppressAutoHyphens w:val="0"/>
        <w:spacing w:after="120" w:line="276" w:lineRule="auto"/>
        <w:rPr>
          <w:rFonts w:ascii="Calibri" w:hAnsi="Calibri" w:cs="Arial"/>
          <w:bCs/>
          <w:szCs w:val="24"/>
        </w:rPr>
      </w:pPr>
      <w:r w:rsidRPr="004B77D6">
        <w:rPr>
          <w:rFonts w:ascii="Calibri" w:hAnsi="Calibri" w:cs="Arial"/>
          <w:bCs/>
          <w:szCs w:val="24"/>
        </w:rPr>
        <w:t>koszty:</w:t>
      </w:r>
      <w:bookmarkStart w:id="142" w:name="_Toc219062731"/>
      <w:bookmarkStart w:id="143" w:name="_Toc219063029"/>
      <w:bookmarkEnd w:id="142"/>
      <w:bookmarkEnd w:id="143"/>
    </w:p>
    <w:p w14:paraId="1791D20A" w14:textId="279B07D8" w:rsidR="00C2071D" w:rsidRPr="004B77D6" w:rsidRDefault="00C2071D" w:rsidP="004D0859">
      <w:pPr>
        <w:numPr>
          <w:ilvl w:val="0"/>
          <w:numId w:val="40"/>
        </w:numPr>
        <w:suppressAutoHyphens w:val="0"/>
        <w:spacing w:after="120" w:line="276" w:lineRule="auto"/>
        <w:ind w:left="1276" w:hanging="284"/>
        <w:rPr>
          <w:rFonts w:ascii="Calibri" w:hAnsi="Calibri" w:cs="Arial"/>
          <w:bCs/>
          <w:szCs w:val="24"/>
        </w:rPr>
      </w:pPr>
      <w:r w:rsidRPr="004B77D6">
        <w:rPr>
          <w:rFonts w:ascii="Calibri" w:hAnsi="Calibri" w:cs="Arial"/>
          <w:bCs/>
          <w:szCs w:val="24"/>
        </w:rPr>
        <w:t>nakłady inwestycyjne na realizację projektu współfinansowanego ze środków UE,</w:t>
      </w:r>
      <w:bookmarkStart w:id="144" w:name="_Toc219062732"/>
      <w:bookmarkStart w:id="145" w:name="_Toc219063030"/>
      <w:bookmarkEnd w:id="144"/>
      <w:bookmarkEnd w:id="145"/>
    </w:p>
    <w:p w14:paraId="50338DE4" w14:textId="7585ED35" w:rsidR="00C2071D" w:rsidRPr="004B77D6" w:rsidRDefault="00C2071D" w:rsidP="004D0859">
      <w:pPr>
        <w:numPr>
          <w:ilvl w:val="0"/>
          <w:numId w:val="40"/>
        </w:numPr>
        <w:suppressAutoHyphens w:val="0"/>
        <w:spacing w:after="120" w:line="276" w:lineRule="auto"/>
        <w:ind w:left="1276" w:hanging="284"/>
        <w:rPr>
          <w:rFonts w:ascii="Calibri" w:hAnsi="Calibri" w:cs="Arial"/>
          <w:bCs/>
          <w:szCs w:val="24"/>
        </w:rPr>
      </w:pPr>
      <w:r w:rsidRPr="004B77D6">
        <w:rPr>
          <w:rFonts w:ascii="Calibri" w:hAnsi="Calibri" w:cs="Arial"/>
          <w:bCs/>
          <w:szCs w:val="24"/>
        </w:rPr>
        <w:t xml:space="preserve">nakłady odtworzeniowe w ramach ww. projektu, </w:t>
      </w:r>
      <w:bookmarkStart w:id="146" w:name="_Toc219062733"/>
      <w:bookmarkStart w:id="147" w:name="_Toc219063031"/>
      <w:bookmarkEnd w:id="146"/>
      <w:bookmarkEnd w:id="147"/>
    </w:p>
    <w:p w14:paraId="64D74FDF" w14:textId="1AB68551" w:rsidR="00C2071D" w:rsidRPr="004B77D6" w:rsidRDefault="00C2071D" w:rsidP="004D0859">
      <w:pPr>
        <w:numPr>
          <w:ilvl w:val="0"/>
          <w:numId w:val="40"/>
        </w:numPr>
        <w:suppressAutoHyphens w:val="0"/>
        <w:spacing w:after="120" w:line="276" w:lineRule="auto"/>
        <w:ind w:left="1276" w:hanging="284"/>
        <w:rPr>
          <w:rFonts w:ascii="Calibri" w:hAnsi="Calibri" w:cs="Arial"/>
          <w:bCs/>
          <w:szCs w:val="24"/>
        </w:rPr>
      </w:pPr>
      <w:r w:rsidRPr="004B77D6">
        <w:rPr>
          <w:rFonts w:ascii="Calibri" w:hAnsi="Calibri" w:cs="Arial"/>
          <w:bCs/>
          <w:szCs w:val="24"/>
        </w:rPr>
        <w:t xml:space="preserve">zmiany w kapitale obrotowym netto w całym okresie odniesienia – fazy inwestycyjnej i </w:t>
      </w:r>
      <w:r w:rsidR="006E53A8" w:rsidRPr="004B77D6">
        <w:rPr>
          <w:rFonts w:ascii="Calibri" w:hAnsi="Calibri" w:cs="Arial"/>
          <w:bCs/>
          <w:szCs w:val="24"/>
        </w:rPr>
        <w:t>operacyjnej (</w:t>
      </w:r>
      <w:r w:rsidRPr="004B77D6">
        <w:rPr>
          <w:rFonts w:ascii="Calibri" w:hAnsi="Calibri" w:cs="Arial"/>
          <w:bCs/>
          <w:szCs w:val="24"/>
        </w:rPr>
        <w:t xml:space="preserve">w uzasadnionych przypadkach), </w:t>
      </w:r>
      <w:bookmarkStart w:id="148" w:name="_Toc219062734"/>
      <w:bookmarkStart w:id="149" w:name="_Toc219063032"/>
      <w:bookmarkEnd w:id="148"/>
      <w:bookmarkEnd w:id="149"/>
    </w:p>
    <w:p w14:paraId="33201B5E" w14:textId="1A21DBF1" w:rsidR="00C2071D" w:rsidRPr="004B77D6" w:rsidRDefault="00C2071D" w:rsidP="004D0859">
      <w:pPr>
        <w:numPr>
          <w:ilvl w:val="0"/>
          <w:numId w:val="40"/>
        </w:numPr>
        <w:suppressAutoHyphens w:val="0"/>
        <w:spacing w:after="120" w:line="276" w:lineRule="auto"/>
        <w:ind w:left="1276" w:hanging="284"/>
        <w:rPr>
          <w:rFonts w:ascii="Calibri" w:hAnsi="Calibri" w:cs="Arial"/>
          <w:bCs/>
          <w:szCs w:val="24"/>
        </w:rPr>
      </w:pPr>
      <w:r w:rsidRPr="004B77D6">
        <w:rPr>
          <w:rFonts w:ascii="Calibri" w:hAnsi="Calibri" w:cs="Arial"/>
          <w:bCs/>
          <w:szCs w:val="24"/>
        </w:rPr>
        <w:t xml:space="preserve"> koszty działalności operacyjnej,</w:t>
      </w:r>
      <w:bookmarkStart w:id="150" w:name="_Toc219062735"/>
      <w:bookmarkStart w:id="151" w:name="_Toc219063033"/>
      <w:bookmarkEnd w:id="150"/>
      <w:bookmarkEnd w:id="151"/>
    </w:p>
    <w:p w14:paraId="0C4997A8" w14:textId="261EBB2B" w:rsidR="007F3242" w:rsidRDefault="00C2071D" w:rsidP="00C2071D">
      <w:pPr>
        <w:numPr>
          <w:ilvl w:val="1"/>
          <w:numId w:val="1"/>
        </w:numPr>
        <w:suppressAutoHyphens w:val="0"/>
        <w:spacing w:after="120" w:line="276" w:lineRule="auto"/>
        <w:rPr>
          <w:rFonts w:ascii="Calibri" w:hAnsi="Calibri" w:cs="Arial"/>
          <w:bCs/>
          <w:szCs w:val="24"/>
        </w:rPr>
      </w:pPr>
      <w:r w:rsidRPr="004B77D6">
        <w:rPr>
          <w:rFonts w:ascii="Calibri" w:hAnsi="Calibri" w:cs="Arial"/>
          <w:bCs/>
          <w:szCs w:val="24"/>
        </w:rPr>
        <w:t>przychody generowane przez projekt</w:t>
      </w:r>
      <w:bookmarkStart w:id="152" w:name="_Toc219062736"/>
      <w:bookmarkStart w:id="153" w:name="_Toc219063034"/>
      <w:bookmarkEnd w:id="152"/>
      <w:bookmarkEnd w:id="153"/>
    </w:p>
    <w:p w14:paraId="71C6BA90" w14:textId="30188269" w:rsidR="00C2071D" w:rsidRPr="004B77D6" w:rsidRDefault="007F3242" w:rsidP="00C2071D">
      <w:pPr>
        <w:numPr>
          <w:ilvl w:val="1"/>
          <w:numId w:val="1"/>
        </w:numPr>
        <w:suppressAutoHyphens w:val="0"/>
        <w:spacing w:after="120" w:line="276" w:lineRule="auto"/>
        <w:rPr>
          <w:rFonts w:ascii="Calibri" w:hAnsi="Calibri" w:cs="Arial"/>
          <w:bCs/>
          <w:szCs w:val="24"/>
        </w:rPr>
      </w:pPr>
      <w:r>
        <w:rPr>
          <w:rFonts w:ascii="Calibri" w:hAnsi="Calibri" w:cs="Arial"/>
          <w:bCs/>
          <w:szCs w:val="24"/>
        </w:rPr>
        <w:t>wartość rezydualną</w:t>
      </w:r>
      <w:r w:rsidR="00C2071D" w:rsidRPr="004B77D6">
        <w:rPr>
          <w:rFonts w:ascii="Calibri" w:hAnsi="Calibri" w:cs="Arial"/>
          <w:bCs/>
          <w:szCs w:val="24"/>
        </w:rPr>
        <w:t>.</w:t>
      </w:r>
      <w:bookmarkStart w:id="154" w:name="_Toc219062737"/>
      <w:bookmarkStart w:id="155" w:name="_Toc219063035"/>
      <w:bookmarkEnd w:id="154"/>
      <w:bookmarkEnd w:id="155"/>
    </w:p>
    <w:p w14:paraId="6B69E30B" w14:textId="130AF472" w:rsidR="00C2071D" w:rsidRPr="004B77D6" w:rsidRDefault="00C2071D" w:rsidP="007F3242">
      <w:pPr>
        <w:suppressAutoHyphens w:val="0"/>
        <w:spacing w:after="120" w:line="276" w:lineRule="auto"/>
        <w:ind w:left="284"/>
        <w:rPr>
          <w:rFonts w:ascii="Calibri" w:hAnsi="Calibri" w:cs="Arial"/>
          <w:bCs/>
          <w:szCs w:val="24"/>
        </w:rPr>
      </w:pPr>
      <w:r w:rsidRPr="004B77D6">
        <w:rPr>
          <w:rFonts w:ascii="Calibri" w:hAnsi="Calibri" w:cs="Arial"/>
          <w:bCs/>
          <w:szCs w:val="24"/>
        </w:rPr>
        <w:lastRenderedPageBreak/>
        <w:t xml:space="preserve"> W razie potrzeby zapoznania się ze szczegółowym opisem dotyczącym metodyki przeprowadzania analizy finansowej, należy odnieść się do </w:t>
      </w:r>
      <w:r w:rsidRPr="004B77D6">
        <w:rPr>
          <w:rFonts w:ascii="Calibri" w:hAnsi="Calibri" w:cs="Arial"/>
          <w:bCs/>
          <w:i/>
          <w:szCs w:val="24"/>
        </w:rPr>
        <w:t>Przewodnika AKK</w:t>
      </w:r>
      <w:r w:rsidRPr="004B77D6">
        <w:rPr>
          <w:rFonts w:ascii="Calibri" w:hAnsi="Calibri" w:cs="Arial"/>
          <w:bCs/>
          <w:szCs w:val="24"/>
        </w:rPr>
        <w:t>.</w:t>
      </w:r>
      <w:bookmarkStart w:id="156" w:name="_Toc219062738"/>
      <w:bookmarkStart w:id="157" w:name="_Toc219063036"/>
      <w:bookmarkEnd w:id="156"/>
      <w:bookmarkEnd w:id="157"/>
    </w:p>
    <w:p w14:paraId="58380286" w14:textId="1ED1D390" w:rsidR="00C2071D" w:rsidRPr="004B77D6" w:rsidRDefault="00C2071D" w:rsidP="00C2071D">
      <w:pPr>
        <w:numPr>
          <w:ilvl w:val="0"/>
          <w:numId w:val="1"/>
        </w:numPr>
        <w:suppressAutoHyphens w:val="0"/>
        <w:spacing w:after="120" w:line="276" w:lineRule="auto"/>
        <w:rPr>
          <w:rFonts w:ascii="Calibri" w:hAnsi="Calibri" w:cs="Arial"/>
          <w:bCs/>
          <w:szCs w:val="24"/>
        </w:rPr>
      </w:pPr>
      <w:r w:rsidRPr="004B77D6">
        <w:rPr>
          <w:rFonts w:ascii="Calibri" w:hAnsi="Calibri" w:cs="Arial"/>
          <w:b/>
          <w:bCs/>
          <w:szCs w:val="24"/>
        </w:rPr>
        <w:t>Kategoria 2</w:t>
      </w:r>
      <w:r w:rsidRPr="004B77D6">
        <w:rPr>
          <w:rFonts w:ascii="Calibri" w:hAnsi="Calibri" w:cs="Arial"/>
          <w:bCs/>
          <w:szCs w:val="24"/>
        </w:rPr>
        <w:t xml:space="preserve"> dotyczy inwestycji, dla których niemożliwe jest rozdzielenie przepływów pieniężnych, zarówno osobno dla kategorii przychodów oraz kosztów, jak i dla obydwu kategorii równocześnie. Występuje ona wówczas, jeśli odpowiedź przynajmniej na jedno z pytań wymienionych w pkt 1 </w:t>
      </w:r>
      <w:r w:rsidRPr="004B77D6">
        <w:rPr>
          <w:rFonts w:ascii="Calibri" w:hAnsi="Calibri" w:cs="Arial"/>
          <w:b/>
          <w:bCs/>
          <w:szCs w:val="24"/>
        </w:rPr>
        <w:t>jest negatywna</w:t>
      </w:r>
      <w:r w:rsidRPr="004B77D6">
        <w:rPr>
          <w:rFonts w:ascii="Calibri" w:hAnsi="Calibri" w:cs="Arial"/>
          <w:bCs/>
          <w:szCs w:val="24"/>
        </w:rPr>
        <w:t xml:space="preserve">. W tym przypadku niemożliwe jest zastosowanie metody standardowej, w związku z czym analiza finansowa przeprowadzana jest </w:t>
      </w:r>
      <w:r w:rsidRPr="004B77D6">
        <w:rPr>
          <w:rFonts w:ascii="Calibri" w:hAnsi="Calibri" w:cs="Arial"/>
          <w:b/>
          <w:bCs/>
          <w:szCs w:val="24"/>
        </w:rPr>
        <w:t>metodą złożoną</w:t>
      </w:r>
      <w:r w:rsidRPr="004B77D6">
        <w:rPr>
          <w:rFonts w:ascii="Calibri" w:hAnsi="Calibri" w:cs="Arial"/>
          <w:bCs/>
          <w:szCs w:val="24"/>
        </w:rPr>
        <w:t xml:space="preserve">, która opiera się na różnicowym (przyrostowym) modelu finansowym. </w:t>
      </w:r>
      <w:bookmarkStart w:id="158" w:name="_Toc219062739"/>
      <w:bookmarkStart w:id="159" w:name="_Toc219063037"/>
      <w:bookmarkEnd w:id="158"/>
      <w:bookmarkEnd w:id="159"/>
    </w:p>
    <w:p w14:paraId="77C5AD50" w14:textId="617D5F2A" w:rsidR="00C2071D" w:rsidRPr="004B77D6" w:rsidRDefault="00C2071D" w:rsidP="00C2071D">
      <w:pPr>
        <w:numPr>
          <w:ilvl w:val="0"/>
          <w:numId w:val="1"/>
        </w:numPr>
        <w:suppressAutoHyphens w:val="0"/>
        <w:spacing w:after="120" w:line="276" w:lineRule="auto"/>
        <w:rPr>
          <w:rFonts w:ascii="Calibri" w:hAnsi="Calibri" w:cs="Arial"/>
          <w:bCs/>
          <w:szCs w:val="24"/>
        </w:rPr>
      </w:pPr>
      <w:r w:rsidRPr="004B77D6">
        <w:rPr>
          <w:rFonts w:ascii="Calibri" w:hAnsi="Calibri" w:cs="Arial"/>
          <w:bCs/>
          <w:szCs w:val="24"/>
        </w:rPr>
        <w:t xml:space="preserve">W ramach </w:t>
      </w:r>
      <w:r w:rsidRPr="004B77D6">
        <w:rPr>
          <w:rFonts w:ascii="Calibri" w:hAnsi="Calibri" w:cs="Arial"/>
          <w:b/>
          <w:bCs/>
          <w:szCs w:val="24"/>
        </w:rPr>
        <w:t>metody złożonej</w:t>
      </w:r>
      <w:r w:rsidRPr="004B77D6">
        <w:rPr>
          <w:rFonts w:ascii="Calibri" w:hAnsi="Calibri" w:cs="Arial"/>
          <w:bCs/>
          <w:szCs w:val="24"/>
        </w:rPr>
        <w:t xml:space="preserve"> dopuszczalne jest stosowanie dwóch podejść:</w:t>
      </w:r>
      <w:bookmarkStart w:id="160" w:name="_Toc219062740"/>
      <w:bookmarkStart w:id="161" w:name="_Toc219063038"/>
      <w:bookmarkEnd w:id="160"/>
      <w:bookmarkEnd w:id="161"/>
    </w:p>
    <w:p w14:paraId="7596BFB5" w14:textId="0D32FB59" w:rsidR="00C2071D" w:rsidRPr="004B77D6" w:rsidRDefault="00C2071D" w:rsidP="00C2071D">
      <w:pPr>
        <w:numPr>
          <w:ilvl w:val="1"/>
          <w:numId w:val="1"/>
        </w:numPr>
        <w:tabs>
          <w:tab w:val="left" w:pos="360"/>
        </w:tabs>
        <w:suppressAutoHyphens w:val="0"/>
        <w:spacing w:after="120" w:line="276" w:lineRule="auto"/>
        <w:rPr>
          <w:rFonts w:ascii="Calibri" w:hAnsi="Calibri" w:cs="Arial"/>
          <w:bCs/>
          <w:szCs w:val="24"/>
        </w:rPr>
      </w:pPr>
      <w:r w:rsidRPr="004B77D6">
        <w:rPr>
          <w:rFonts w:ascii="Calibri" w:hAnsi="Calibri" w:cs="Arial"/>
          <w:bCs/>
          <w:szCs w:val="24"/>
        </w:rPr>
        <w:t>strumienie pieniężne szacowane są jako różnica pomiędzy strumieniami pieniężnymi dla scenariusza „podmiot z projektem” (</w:t>
      </w:r>
      <w:r w:rsidR="00F850B4">
        <w:rPr>
          <w:rFonts w:ascii="Calibri" w:hAnsi="Calibri" w:cs="Arial"/>
          <w:bCs/>
          <w:szCs w:val="24"/>
        </w:rPr>
        <w:t>W</w:t>
      </w:r>
      <w:r w:rsidRPr="004B77D6">
        <w:rPr>
          <w:rFonts w:ascii="Calibri" w:hAnsi="Calibri" w:cs="Arial"/>
          <w:bCs/>
          <w:szCs w:val="24"/>
        </w:rPr>
        <w:t>nioskodawca z inwestycją) oraz strumieniami pieniężnymi dla scenariusza „podmiot bez projektu” (</w:t>
      </w:r>
      <w:r w:rsidR="00F850B4">
        <w:rPr>
          <w:rFonts w:ascii="Calibri" w:hAnsi="Calibri" w:cs="Arial"/>
          <w:bCs/>
          <w:szCs w:val="24"/>
        </w:rPr>
        <w:t>W</w:t>
      </w:r>
      <w:r w:rsidRPr="004B77D6">
        <w:rPr>
          <w:rFonts w:ascii="Calibri" w:hAnsi="Calibri" w:cs="Arial"/>
          <w:bCs/>
          <w:szCs w:val="24"/>
        </w:rPr>
        <w:t>nioskodawca bez inwestycji).</w:t>
      </w:r>
      <w:bookmarkStart w:id="162" w:name="_Toc219062741"/>
      <w:bookmarkStart w:id="163" w:name="_Toc219063039"/>
      <w:bookmarkEnd w:id="162"/>
      <w:bookmarkEnd w:id="163"/>
    </w:p>
    <w:p w14:paraId="33458774" w14:textId="3312261E" w:rsidR="00C2071D" w:rsidRPr="004B77D6" w:rsidRDefault="00C2071D" w:rsidP="00C2071D">
      <w:pPr>
        <w:tabs>
          <w:tab w:val="left" w:pos="360"/>
        </w:tabs>
        <w:suppressAutoHyphens w:val="0"/>
        <w:spacing w:after="120" w:line="276" w:lineRule="auto"/>
        <w:ind w:left="360"/>
        <w:rPr>
          <w:rFonts w:ascii="Calibri" w:hAnsi="Calibri" w:cs="Arial"/>
          <w:bCs/>
          <w:szCs w:val="24"/>
        </w:rPr>
      </w:pPr>
      <w:r w:rsidRPr="004B77D6">
        <w:rPr>
          <w:rFonts w:ascii="Calibri" w:hAnsi="Calibri" w:cs="Arial"/>
          <w:bCs/>
          <w:szCs w:val="24"/>
        </w:rPr>
        <w:tab/>
        <w:t>Metoda ta może zostać zastosowana m.in. w poniższych przypadkach:</w:t>
      </w:r>
      <w:bookmarkStart w:id="164" w:name="_Toc219062742"/>
      <w:bookmarkStart w:id="165" w:name="_Toc219063040"/>
      <w:bookmarkEnd w:id="164"/>
      <w:bookmarkEnd w:id="165"/>
    </w:p>
    <w:p w14:paraId="0D6A3AFF" w14:textId="5C1BFA9C" w:rsidR="00C2071D" w:rsidRPr="004B77D6" w:rsidRDefault="00C2071D" w:rsidP="00C2071D">
      <w:pPr>
        <w:suppressAutoHyphens w:val="0"/>
        <w:spacing w:after="120" w:line="276" w:lineRule="auto"/>
        <w:ind w:left="1701" w:hanging="425"/>
        <w:rPr>
          <w:rFonts w:ascii="Calibri" w:hAnsi="Calibri" w:cs="Arial"/>
          <w:bCs/>
          <w:szCs w:val="24"/>
        </w:rPr>
      </w:pPr>
      <w:r w:rsidRPr="004B77D6">
        <w:rPr>
          <w:rFonts w:ascii="Calibri" w:hAnsi="Calibri" w:cs="Arial"/>
          <w:bCs/>
          <w:szCs w:val="24"/>
        </w:rPr>
        <w:t>i)   w branżach regulowanych i/lub branżach sieciowych, w tym w szczególności dla projektów dotyczących gospodarki wodnej, kanalizacji, odpadów i sieci grzewczych/ciepłownictwa,</w:t>
      </w:r>
      <w:bookmarkStart w:id="166" w:name="_Toc219062743"/>
      <w:bookmarkStart w:id="167" w:name="_Toc219063041"/>
      <w:bookmarkEnd w:id="166"/>
      <w:bookmarkEnd w:id="167"/>
    </w:p>
    <w:p w14:paraId="3F65F18C" w14:textId="56A59850" w:rsidR="00C2071D" w:rsidRPr="004B77D6" w:rsidRDefault="00C2071D" w:rsidP="00C2071D">
      <w:pPr>
        <w:suppressAutoHyphens w:val="0"/>
        <w:spacing w:after="120" w:line="276" w:lineRule="auto"/>
        <w:ind w:left="1701" w:hanging="425"/>
        <w:rPr>
          <w:rFonts w:ascii="Calibri" w:hAnsi="Calibri" w:cs="Arial"/>
          <w:bCs/>
          <w:szCs w:val="24"/>
        </w:rPr>
      </w:pPr>
      <w:r w:rsidRPr="004B77D6">
        <w:rPr>
          <w:rFonts w:ascii="Calibri" w:hAnsi="Calibri" w:cs="Arial"/>
          <w:bCs/>
          <w:szCs w:val="24"/>
        </w:rPr>
        <w:t>ii)</w:t>
      </w:r>
      <w:r w:rsidRPr="004B77D6">
        <w:rPr>
          <w:rFonts w:ascii="Calibri" w:hAnsi="Calibri" w:cs="Arial"/>
          <w:bCs/>
          <w:szCs w:val="24"/>
        </w:rPr>
        <w:tab/>
        <w:t>zalecana jest dla całego sektora regulowanego (gospodarka wodna, energetyka, telekomunikacja itd.), w którym wartość projektu inwestycyjnego jest znacząca w porównaniu z wartością netto istniejących aktywów podmiotu,</w:t>
      </w:r>
      <w:bookmarkStart w:id="168" w:name="_Toc219062744"/>
      <w:bookmarkStart w:id="169" w:name="_Toc219063042"/>
      <w:bookmarkEnd w:id="168"/>
      <w:bookmarkEnd w:id="169"/>
    </w:p>
    <w:p w14:paraId="44F06871" w14:textId="5720E3F7" w:rsidR="00C2071D" w:rsidRPr="004B77D6" w:rsidRDefault="00C2071D" w:rsidP="00C2071D">
      <w:pPr>
        <w:numPr>
          <w:ilvl w:val="1"/>
          <w:numId w:val="1"/>
        </w:numPr>
        <w:tabs>
          <w:tab w:val="left" w:pos="360"/>
        </w:tabs>
        <w:suppressAutoHyphens w:val="0"/>
        <w:spacing w:after="120" w:line="276" w:lineRule="auto"/>
        <w:rPr>
          <w:rFonts w:ascii="Calibri" w:hAnsi="Calibri" w:cs="Arial"/>
          <w:bCs/>
          <w:szCs w:val="24"/>
        </w:rPr>
      </w:pPr>
      <w:r w:rsidRPr="004B77D6">
        <w:rPr>
          <w:rFonts w:ascii="Calibri" w:hAnsi="Calibri" w:cs="Arial"/>
          <w:bCs/>
          <w:szCs w:val="24"/>
        </w:rPr>
        <w:t>strumienie pieniężne szacowane są jako różnica pomiędzy strumieniami pieniężnymi dla scenariusza „działalność gospodarcza z projektem” oraz strumieniami pieniężnymi dla scenariusza „działalność gospodarcza bez projektu”. W ramach działalności gospodarczej można wyróżnić:</w:t>
      </w:r>
      <w:bookmarkStart w:id="170" w:name="_Toc219062745"/>
      <w:bookmarkStart w:id="171" w:name="_Toc219063043"/>
      <w:bookmarkEnd w:id="170"/>
      <w:bookmarkEnd w:id="171"/>
    </w:p>
    <w:p w14:paraId="55E3960F" w14:textId="70CD72D4" w:rsidR="00C2071D" w:rsidRPr="004B77D6" w:rsidRDefault="00C2071D" w:rsidP="004D0859">
      <w:pPr>
        <w:numPr>
          <w:ilvl w:val="2"/>
          <w:numId w:val="38"/>
        </w:numPr>
        <w:tabs>
          <w:tab w:val="left" w:pos="360"/>
          <w:tab w:val="num" w:pos="1701"/>
        </w:tabs>
        <w:suppressAutoHyphens w:val="0"/>
        <w:spacing w:after="120" w:line="276" w:lineRule="auto"/>
        <w:ind w:left="1701"/>
        <w:rPr>
          <w:rFonts w:ascii="Calibri" w:hAnsi="Calibri" w:cs="Arial"/>
          <w:bCs/>
          <w:szCs w:val="24"/>
        </w:rPr>
      </w:pPr>
      <w:r w:rsidRPr="004B77D6">
        <w:rPr>
          <w:rFonts w:ascii="Calibri" w:hAnsi="Calibri" w:cs="Arial"/>
          <w:bCs/>
          <w:szCs w:val="24"/>
        </w:rPr>
        <w:t>usługę (działalność) / pakiet usług oferowanych w obrębie zdefiniowanego regionu,</w:t>
      </w:r>
      <w:bookmarkStart w:id="172" w:name="_Toc219062746"/>
      <w:bookmarkStart w:id="173" w:name="_Toc219063044"/>
      <w:bookmarkEnd w:id="172"/>
      <w:bookmarkEnd w:id="173"/>
    </w:p>
    <w:p w14:paraId="1700A394" w14:textId="6AB6589B" w:rsidR="00C2071D" w:rsidRPr="004B77D6" w:rsidRDefault="00C2071D" w:rsidP="004D0859">
      <w:pPr>
        <w:numPr>
          <w:ilvl w:val="2"/>
          <w:numId w:val="38"/>
        </w:numPr>
        <w:tabs>
          <w:tab w:val="left" w:pos="360"/>
          <w:tab w:val="num" w:pos="1701"/>
        </w:tabs>
        <w:suppressAutoHyphens w:val="0"/>
        <w:spacing w:after="120" w:line="276" w:lineRule="auto"/>
        <w:ind w:left="1701"/>
        <w:rPr>
          <w:rFonts w:ascii="Calibri" w:hAnsi="Calibri" w:cs="Arial"/>
          <w:bCs/>
          <w:szCs w:val="24"/>
        </w:rPr>
      </w:pPr>
      <w:r w:rsidRPr="004B77D6">
        <w:rPr>
          <w:rFonts w:ascii="Calibri" w:hAnsi="Calibri" w:cs="Arial"/>
          <w:bCs/>
          <w:szCs w:val="24"/>
        </w:rPr>
        <w:t>usługę (działalność) / pakiet usług oferowanych w ramach kilku regionów,</w:t>
      </w:r>
      <w:bookmarkStart w:id="174" w:name="_Toc219062747"/>
      <w:bookmarkStart w:id="175" w:name="_Toc219063045"/>
      <w:bookmarkEnd w:id="174"/>
      <w:bookmarkEnd w:id="175"/>
    </w:p>
    <w:p w14:paraId="0E902E59" w14:textId="6861B940" w:rsidR="00C2071D" w:rsidRPr="004B77D6" w:rsidRDefault="00C2071D" w:rsidP="004D0859">
      <w:pPr>
        <w:numPr>
          <w:ilvl w:val="2"/>
          <w:numId w:val="38"/>
        </w:numPr>
        <w:tabs>
          <w:tab w:val="left" w:pos="360"/>
          <w:tab w:val="num" w:pos="1701"/>
        </w:tabs>
        <w:suppressAutoHyphens w:val="0"/>
        <w:spacing w:after="120" w:line="276" w:lineRule="auto"/>
        <w:ind w:left="1701"/>
        <w:rPr>
          <w:rFonts w:ascii="Calibri" w:hAnsi="Calibri" w:cs="Arial"/>
          <w:bCs/>
          <w:szCs w:val="24"/>
        </w:rPr>
      </w:pPr>
      <w:r w:rsidRPr="004B77D6">
        <w:rPr>
          <w:rFonts w:ascii="Calibri" w:hAnsi="Calibri" w:cs="Arial"/>
          <w:bCs/>
          <w:szCs w:val="24"/>
        </w:rPr>
        <w:t>nowy produkt wytwarzany w już istniejącej fabryce,</w:t>
      </w:r>
      <w:bookmarkStart w:id="176" w:name="_Toc219062748"/>
      <w:bookmarkStart w:id="177" w:name="_Toc219063046"/>
      <w:bookmarkEnd w:id="176"/>
      <w:bookmarkEnd w:id="177"/>
    </w:p>
    <w:p w14:paraId="4C4ECE0B" w14:textId="6C182650" w:rsidR="00C2071D" w:rsidRPr="004B77D6" w:rsidRDefault="00C2071D" w:rsidP="004D0859">
      <w:pPr>
        <w:numPr>
          <w:ilvl w:val="2"/>
          <w:numId w:val="38"/>
        </w:numPr>
        <w:tabs>
          <w:tab w:val="left" w:pos="360"/>
          <w:tab w:val="num" w:pos="1701"/>
        </w:tabs>
        <w:suppressAutoHyphens w:val="0"/>
        <w:spacing w:after="120" w:line="276" w:lineRule="auto"/>
        <w:ind w:left="1701"/>
        <w:rPr>
          <w:rFonts w:ascii="Calibri" w:hAnsi="Calibri" w:cs="Arial"/>
          <w:bCs/>
          <w:szCs w:val="24"/>
        </w:rPr>
      </w:pPr>
      <w:r w:rsidRPr="004B77D6">
        <w:rPr>
          <w:rFonts w:ascii="Calibri" w:hAnsi="Calibri" w:cs="Arial"/>
          <w:bCs/>
          <w:szCs w:val="24"/>
        </w:rPr>
        <w:t>inne.</w:t>
      </w:r>
      <w:bookmarkStart w:id="178" w:name="_Toc219062749"/>
      <w:bookmarkStart w:id="179" w:name="_Toc219063047"/>
      <w:bookmarkEnd w:id="178"/>
      <w:bookmarkEnd w:id="179"/>
    </w:p>
    <w:p w14:paraId="0643614E" w14:textId="003A6325" w:rsidR="00C2071D" w:rsidRPr="004B77D6" w:rsidRDefault="00C2071D" w:rsidP="00C2071D">
      <w:pPr>
        <w:tabs>
          <w:tab w:val="left" w:pos="360"/>
        </w:tabs>
        <w:suppressAutoHyphens w:val="0"/>
        <w:spacing w:after="120" w:line="276" w:lineRule="auto"/>
        <w:ind w:left="708"/>
        <w:rPr>
          <w:rFonts w:ascii="Calibri" w:hAnsi="Calibri" w:cs="Arial"/>
          <w:bCs/>
          <w:szCs w:val="24"/>
        </w:rPr>
      </w:pPr>
      <w:r w:rsidRPr="004B77D6">
        <w:rPr>
          <w:rFonts w:ascii="Calibri" w:hAnsi="Calibri" w:cs="Arial"/>
          <w:bCs/>
          <w:szCs w:val="24"/>
        </w:rPr>
        <w:t xml:space="preserve">Takie podejście umożliwia uproszczenie obliczeń. W przypadku podmiotu działającego na obszarze całej Polski, nie ma potrzeby analizowania jego finansów </w:t>
      </w:r>
      <w:r w:rsidRPr="004B77D6">
        <w:rPr>
          <w:rFonts w:ascii="Calibri" w:hAnsi="Calibri" w:cs="Arial"/>
          <w:bCs/>
          <w:szCs w:val="24"/>
        </w:rPr>
        <w:br/>
        <w:t xml:space="preserve">w skali całego kraju. W takim przypadku wystarczającym może się okazać przeprowadzenie analizy finansów w aspekcie danego regionu bądź usługi (rodzaju działalności), o ile tego typu dane są możliwe do wyodrębnienia z ksiąg </w:t>
      </w:r>
      <w:r w:rsidRPr="004B77D6">
        <w:rPr>
          <w:rFonts w:ascii="Calibri" w:hAnsi="Calibri" w:cs="Arial"/>
          <w:bCs/>
          <w:szCs w:val="24"/>
        </w:rPr>
        <w:lastRenderedPageBreak/>
        <w:t>rachunkowych firmy. Zamiast poddawać analizie podmiot działający w wielu regionach, wystarczy przyjrzeć się przepływom finansowym generowanym przez fabrykę, która jest unowocześniana. W przypadku branż sieciowych (np. koleje), wystarczające może okazać się przeprowadzenie analizy wybranej części sieci.</w:t>
      </w:r>
      <w:bookmarkStart w:id="180" w:name="_Toc219062750"/>
      <w:bookmarkStart w:id="181" w:name="_Toc219063048"/>
      <w:bookmarkEnd w:id="180"/>
      <w:bookmarkEnd w:id="181"/>
    </w:p>
    <w:p w14:paraId="61F890A0" w14:textId="2CF80A00" w:rsidR="00C2071D" w:rsidRPr="004B77D6" w:rsidRDefault="00C2071D" w:rsidP="00C2071D">
      <w:pPr>
        <w:numPr>
          <w:ilvl w:val="0"/>
          <w:numId w:val="1"/>
        </w:numPr>
        <w:suppressAutoHyphens w:val="0"/>
        <w:spacing w:after="120" w:line="276" w:lineRule="auto"/>
        <w:rPr>
          <w:rFonts w:ascii="Calibri" w:hAnsi="Calibri" w:cs="Arial"/>
          <w:bCs/>
          <w:szCs w:val="24"/>
        </w:rPr>
      </w:pPr>
      <w:r w:rsidRPr="004B77D6">
        <w:rPr>
          <w:rFonts w:ascii="Calibri" w:hAnsi="Calibri" w:cs="Arial"/>
          <w:bCs/>
          <w:szCs w:val="24"/>
        </w:rPr>
        <w:t xml:space="preserve">W złożonej metodzie analizy finansowej przepływy finansowe powinny zostać obliczone zgodnie z metodą </w:t>
      </w:r>
      <w:r w:rsidRPr="004B77D6">
        <w:rPr>
          <w:rFonts w:ascii="Calibri" w:hAnsi="Calibri" w:cs="Arial"/>
          <w:b/>
          <w:bCs/>
          <w:szCs w:val="24"/>
        </w:rPr>
        <w:t>różnicowego modelu finansowego</w:t>
      </w:r>
      <w:r w:rsidRPr="004B77D6">
        <w:rPr>
          <w:rFonts w:ascii="Calibri" w:hAnsi="Calibri" w:cs="Arial"/>
          <w:bCs/>
          <w:szCs w:val="24"/>
        </w:rPr>
        <w:t>, według następujących założeń:</w:t>
      </w:r>
      <w:bookmarkStart w:id="182" w:name="_Toc219062751"/>
      <w:bookmarkStart w:id="183" w:name="_Toc219063049"/>
      <w:bookmarkEnd w:id="182"/>
      <w:bookmarkEnd w:id="183"/>
    </w:p>
    <w:p w14:paraId="17D1392C" w14:textId="6EA01107" w:rsidR="00C2071D" w:rsidRPr="004B77D6" w:rsidRDefault="00C2071D" w:rsidP="00C2071D">
      <w:pPr>
        <w:numPr>
          <w:ilvl w:val="1"/>
          <w:numId w:val="1"/>
        </w:numPr>
        <w:tabs>
          <w:tab w:val="left" w:pos="360"/>
        </w:tabs>
        <w:suppressAutoHyphens w:val="0"/>
        <w:spacing w:after="120" w:line="276" w:lineRule="auto"/>
        <w:rPr>
          <w:rFonts w:ascii="Calibri" w:hAnsi="Calibri" w:cs="Arial"/>
          <w:bCs/>
          <w:szCs w:val="24"/>
        </w:rPr>
      </w:pPr>
      <w:r w:rsidRPr="004B77D6">
        <w:rPr>
          <w:rFonts w:ascii="Calibri" w:hAnsi="Calibri" w:cs="Arial"/>
          <w:bCs/>
          <w:szCs w:val="24"/>
        </w:rPr>
        <w:t xml:space="preserve">należy sporządzić prognozę wartości przepływów pieniężnych obejmujących wszystkie nakłady inwestycyjne, które podmiot/operator ponosiłby nie realizując projektu UE, nakłady odtworzeniowe związane z tymi inwestycjami, zmiany </w:t>
      </w:r>
      <w:r w:rsidRPr="004B77D6">
        <w:rPr>
          <w:rFonts w:ascii="Calibri" w:hAnsi="Calibri" w:cs="Arial"/>
          <w:bCs/>
          <w:szCs w:val="24"/>
        </w:rPr>
        <w:br/>
        <w:t xml:space="preserve">w kapitale obrotowym netto w całym okresie odniesienia – fazie inwestycyjnej </w:t>
      </w:r>
      <w:r w:rsidRPr="004B77D6">
        <w:rPr>
          <w:rFonts w:ascii="Calibri" w:hAnsi="Calibri" w:cs="Arial"/>
          <w:bCs/>
          <w:szCs w:val="24"/>
        </w:rPr>
        <w:br/>
        <w:t xml:space="preserve">i operacyjnej (w uzasadnionych przypadkach), koszty operacyjne i przychody (inne niż wynikające z projektu UE) dla podmiotu/operatora (działalność gospodarcza) bez inwestycji (scenariusz bez projektu UE) dla poszczególnych lat okresu odniesienia, </w:t>
      </w:r>
      <w:bookmarkStart w:id="184" w:name="_Toc219062752"/>
      <w:bookmarkStart w:id="185" w:name="_Toc219063050"/>
      <w:bookmarkEnd w:id="184"/>
      <w:bookmarkEnd w:id="185"/>
    </w:p>
    <w:p w14:paraId="508B07CD" w14:textId="3A1E3EF7" w:rsidR="00C2071D" w:rsidRPr="004B77D6" w:rsidRDefault="00C2071D" w:rsidP="00C2071D">
      <w:pPr>
        <w:numPr>
          <w:ilvl w:val="1"/>
          <w:numId w:val="1"/>
        </w:numPr>
        <w:tabs>
          <w:tab w:val="left" w:pos="360"/>
        </w:tabs>
        <w:suppressAutoHyphens w:val="0"/>
        <w:spacing w:after="120" w:line="276" w:lineRule="auto"/>
        <w:rPr>
          <w:rFonts w:ascii="Calibri" w:hAnsi="Calibri" w:cs="Arial"/>
          <w:bCs/>
          <w:szCs w:val="24"/>
        </w:rPr>
      </w:pPr>
      <w:r w:rsidRPr="004B77D6">
        <w:rPr>
          <w:rFonts w:ascii="Calibri" w:hAnsi="Calibri" w:cs="Arial"/>
          <w:bCs/>
          <w:szCs w:val="24"/>
        </w:rPr>
        <w:t>w kolejnym kroku należy sporządzić scenariusz z projektem, tj. należy wziąć pod uwagę ww. prognozę dla podmiotu/operatora (działalność gospodarcza) z inwestycją (scenariusz z projektem) uwzględniając:</w:t>
      </w:r>
      <w:bookmarkStart w:id="186" w:name="_Toc219062753"/>
      <w:bookmarkStart w:id="187" w:name="_Toc219063051"/>
      <w:bookmarkEnd w:id="186"/>
      <w:bookmarkEnd w:id="187"/>
    </w:p>
    <w:p w14:paraId="00B733DF" w14:textId="1964D74B" w:rsidR="00C2071D" w:rsidRPr="004B77D6" w:rsidRDefault="00C2071D" w:rsidP="004D0859">
      <w:pPr>
        <w:numPr>
          <w:ilvl w:val="0"/>
          <w:numId w:val="39"/>
        </w:numPr>
        <w:suppressAutoHyphens w:val="0"/>
        <w:spacing w:after="120" w:line="276" w:lineRule="auto"/>
        <w:ind w:left="1276" w:hanging="218"/>
        <w:rPr>
          <w:rFonts w:ascii="Calibri" w:hAnsi="Calibri" w:cs="Arial"/>
          <w:bCs/>
          <w:szCs w:val="24"/>
        </w:rPr>
      </w:pPr>
      <w:r w:rsidRPr="004B77D6">
        <w:rPr>
          <w:rFonts w:ascii="Calibri" w:hAnsi="Calibri" w:cs="Arial"/>
          <w:bCs/>
          <w:szCs w:val="24"/>
        </w:rPr>
        <w:t xml:space="preserve"> wszystkie nakłady inwestycyjne, łącznie z nakładami inwestycyjnymi na realizację projektu UE (bez rezerw na nieprzewidziane wydatki w nakładach inwestycyjnych projektu współfinansowanego ze środków UE),</w:t>
      </w:r>
      <w:bookmarkStart w:id="188" w:name="_Toc219062754"/>
      <w:bookmarkStart w:id="189" w:name="_Toc219063052"/>
      <w:bookmarkEnd w:id="188"/>
      <w:bookmarkEnd w:id="189"/>
    </w:p>
    <w:p w14:paraId="0F4D90D0" w14:textId="4DEC5829" w:rsidR="00C2071D" w:rsidRPr="004B77D6" w:rsidRDefault="00C2071D" w:rsidP="004D0859">
      <w:pPr>
        <w:numPr>
          <w:ilvl w:val="0"/>
          <w:numId w:val="39"/>
        </w:numPr>
        <w:suppressAutoHyphens w:val="0"/>
        <w:spacing w:after="120" w:line="276" w:lineRule="auto"/>
        <w:ind w:left="1418"/>
        <w:rPr>
          <w:rFonts w:ascii="Calibri" w:hAnsi="Calibri" w:cs="Arial"/>
          <w:bCs/>
          <w:szCs w:val="24"/>
        </w:rPr>
      </w:pPr>
      <w:r w:rsidRPr="004B77D6">
        <w:rPr>
          <w:rFonts w:ascii="Calibri" w:hAnsi="Calibri" w:cs="Arial"/>
          <w:bCs/>
          <w:szCs w:val="24"/>
        </w:rPr>
        <w:t xml:space="preserve"> wszystkie nakłady odtworzeniowe, </w:t>
      </w:r>
      <w:bookmarkStart w:id="190" w:name="_Toc219062755"/>
      <w:bookmarkStart w:id="191" w:name="_Toc219063053"/>
      <w:bookmarkEnd w:id="190"/>
      <w:bookmarkEnd w:id="191"/>
    </w:p>
    <w:p w14:paraId="2DB921C7" w14:textId="79515953" w:rsidR="00C2071D" w:rsidRPr="004B77D6" w:rsidRDefault="00C2071D" w:rsidP="004D0859">
      <w:pPr>
        <w:numPr>
          <w:ilvl w:val="0"/>
          <w:numId w:val="39"/>
        </w:numPr>
        <w:suppressAutoHyphens w:val="0"/>
        <w:spacing w:after="120" w:line="276" w:lineRule="auto"/>
        <w:ind w:left="1418"/>
        <w:rPr>
          <w:rFonts w:ascii="Calibri" w:hAnsi="Calibri" w:cs="Arial"/>
          <w:bCs/>
          <w:szCs w:val="24"/>
        </w:rPr>
      </w:pPr>
      <w:r w:rsidRPr="004B77D6">
        <w:rPr>
          <w:rFonts w:ascii="Calibri" w:hAnsi="Calibri" w:cs="Arial"/>
          <w:bCs/>
          <w:szCs w:val="24"/>
        </w:rPr>
        <w:t xml:space="preserve"> zmiany w kapitale obrotowym netto w całym okresie odniesienia – fazie inwestycyjnej i operacyjnej (w uzasadnionych przypadkach),</w:t>
      </w:r>
      <w:bookmarkStart w:id="192" w:name="_Toc219062756"/>
      <w:bookmarkStart w:id="193" w:name="_Toc219063054"/>
      <w:bookmarkEnd w:id="192"/>
      <w:bookmarkEnd w:id="193"/>
    </w:p>
    <w:p w14:paraId="3251A6B3" w14:textId="6F331552" w:rsidR="00C2071D" w:rsidRPr="004B77D6" w:rsidRDefault="00C2071D" w:rsidP="004D0859">
      <w:pPr>
        <w:numPr>
          <w:ilvl w:val="0"/>
          <w:numId w:val="39"/>
        </w:numPr>
        <w:suppressAutoHyphens w:val="0"/>
        <w:spacing w:after="120" w:line="276" w:lineRule="auto"/>
        <w:ind w:left="1418"/>
        <w:rPr>
          <w:rFonts w:ascii="Calibri" w:hAnsi="Calibri" w:cs="Arial"/>
          <w:bCs/>
          <w:szCs w:val="24"/>
        </w:rPr>
      </w:pPr>
      <w:r w:rsidRPr="004B77D6">
        <w:rPr>
          <w:rFonts w:ascii="Calibri" w:hAnsi="Calibri" w:cs="Arial"/>
          <w:bCs/>
          <w:szCs w:val="24"/>
        </w:rPr>
        <w:t xml:space="preserve"> wszystkie koszty operacyjne,</w:t>
      </w:r>
      <w:bookmarkStart w:id="194" w:name="_Toc219062757"/>
      <w:bookmarkStart w:id="195" w:name="_Toc219063055"/>
      <w:bookmarkEnd w:id="194"/>
      <w:bookmarkEnd w:id="195"/>
    </w:p>
    <w:p w14:paraId="0174E33B" w14:textId="6670D2FD" w:rsidR="00C2071D" w:rsidRPr="004B77D6" w:rsidRDefault="00C2071D" w:rsidP="004D0859">
      <w:pPr>
        <w:numPr>
          <w:ilvl w:val="0"/>
          <w:numId w:val="39"/>
        </w:numPr>
        <w:suppressAutoHyphens w:val="0"/>
        <w:spacing w:after="120" w:line="276" w:lineRule="auto"/>
        <w:ind w:left="1418"/>
        <w:rPr>
          <w:rFonts w:ascii="Calibri" w:hAnsi="Calibri" w:cs="Arial"/>
          <w:bCs/>
          <w:szCs w:val="24"/>
        </w:rPr>
      </w:pPr>
      <w:r w:rsidRPr="004B77D6">
        <w:rPr>
          <w:rFonts w:ascii="Calibri" w:hAnsi="Calibri" w:cs="Arial"/>
          <w:bCs/>
          <w:szCs w:val="24"/>
        </w:rPr>
        <w:t xml:space="preserve"> wszystkie przychody uwzględniające ewentualną korektę taryf, biorąc pod uwagę dostępność cenową (</w:t>
      </w:r>
      <w:r w:rsidRPr="004B77D6">
        <w:rPr>
          <w:rFonts w:ascii="Calibri" w:hAnsi="Calibri" w:cs="Arial"/>
          <w:bCs/>
          <w:i/>
          <w:szCs w:val="24"/>
        </w:rPr>
        <w:t xml:space="preserve">ang. </w:t>
      </w:r>
      <w:proofErr w:type="spellStart"/>
      <w:r w:rsidRPr="004B77D6">
        <w:rPr>
          <w:rFonts w:ascii="Calibri" w:hAnsi="Calibri" w:cs="Arial"/>
          <w:bCs/>
          <w:i/>
          <w:szCs w:val="24"/>
        </w:rPr>
        <w:t>affordability</w:t>
      </w:r>
      <w:proofErr w:type="spellEnd"/>
      <w:r w:rsidRPr="004B77D6">
        <w:rPr>
          <w:rFonts w:ascii="Calibri" w:hAnsi="Calibri" w:cs="Arial"/>
          <w:bCs/>
          <w:szCs w:val="24"/>
        </w:rPr>
        <w:t>)</w:t>
      </w:r>
      <w:r w:rsidRPr="004B77D6">
        <w:rPr>
          <w:rStyle w:val="Odwoanieprzypisudolnego"/>
          <w:rFonts w:ascii="Calibri" w:hAnsi="Calibri" w:cs="Arial"/>
          <w:bCs/>
          <w:szCs w:val="24"/>
        </w:rPr>
        <w:footnoteReference w:id="8"/>
      </w:r>
      <w:r w:rsidRPr="004B77D6">
        <w:rPr>
          <w:rFonts w:ascii="Calibri" w:hAnsi="Calibri" w:cs="Arial"/>
          <w:bCs/>
          <w:szCs w:val="24"/>
        </w:rPr>
        <w:t>,</w:t>
      </w:r>
      <w:bookmarkStart w:id="196" w:name="_Toc219062758"/>
      <w:bookmarkStart w:id="197" w:name="_Toc219063056"/>
      <w:bookmarkEnd w:id="196"/>
      <w:bookmarkEnd w:id="197"/>
    </w:p>
    <w:p w14:paraId="7C3E011F" w14:textId="70C0472A" w:rsidR="00C2071D" w:rsidRPr="004B77D6" w:rsidRDefault="00C2071D" w:rsidP="004D0859">
      <w:pPr>
        <w:numPr>
          <w:ilvl w:val="0"/>
          <w:numId w:val="39"/>
        </w:numPr>
        <w:suppressAutoHyphens w:val="0"/>
        <w:spacing w:after="120" w:line="276" w:lineRule="auto"/>
        <w:ind w:left="1418"/>
        <w:rPr>
          <w:rFonts w:ascii="Calibri" w:hAnsi="Calibri" w:cs="Arial"/>
          <w:bCs/>
          <w:szCs w:val="24"/>
        </w:rPr>
      </w:pPr>
      <w:r w:rsidRPr="004B77D6">
        <w:rPr>
          <w:rFonts w:ascii="Calibri" w:hAnsi="Calibri" w:cs="Arial"/>
          <w:bCs/>
          <w:szCs w:val="24"/>
        </w:rPr>
        <w:t xml:space="preserve"> wartość rezydualną. </w:t>
      </w:r>
      <w:bookmarkStart w:id="198" w:name="_Toc219062759"/>
      <w:bookmarkStart w:id="199" w:name="_Toc219063057"/>
      <w:bookmarkEnd w:id="198"/>
      <w:bookmarkEnd w:id="199"/>
    </w:p>
    <w:p w14:paraId="71BDEAAC" w14:textId="1CAE0EE9" w:rsidR="00C2071D" w:rsidRPr="004B77D6" w:rsidRDefault="00C2071D" w:rsidP="00C2071D">
      <w:pPr>
        <w:suppressAutoHyphens w:val="0"/>
        <w:spacing w:after="120" w:line="276" w:lineRule="auto"/>
        <w:ind w:left="720"/>
        <w:rPr>
          <w:rFonts w:ascii="Calibri" w:hAnsi="Calibri" w:cs="Arial"/>
          <w:bCs/>
          <w:szCs w:val="24"/>
        </w:rPr>
      </w:pPr>
      <w:r w:rsidRPr="004B77D6">
        <w:rPr>
          <w:rFonts w:ascii="Calibri" w:hAnsi="Calibri" w:cs="Arial"/>
          <w:bCs/>
          <w:szCs w:val="24"/>
        </w:rPr>
        <w:t xml:space="preserve">Wynikiem sporządzenia powyższej prognozy jest ustalenie wartości przepływów pieniężnych obejmujących nakłady inwestycyjne, nakłady odtworzeniowe, koszty operacyjne, zmiany w kapitale obrotowym netto w całym okresie odniesienia – fazie inwestycyjnej i operacyjnej (w uzasadnionych przypadkach) i przychody </w:t>
      </w:r>
      <w:r w:rsidRPr="004B77D6">
        <w:rPr>
          <w:rFonts w:ascii="Calibri" w:hAnsi="Calibri" w:cs="Arial"/>
          <w:bCs/>
          <w:szCs w:val="24"/>
        </w:rPr>
        <w:br/>
        <w:t>w scenariuszu z projektem.</w:t>
      </w:r>
      <w:bookmarkStart w:id="200" w:name="_Toc219062760"/>
      <w:bookmarkStart w:id="201" w:name="_Toc219063058"/>
      <w:bookmarkEnd w:id="200"/>
      <w:bookmarkEnd w:id="201"/>
    </w:p>
    <w:p w14:paraId="1DE0C58B" w14:textId="0F6AC3AF" w:rsidR="00C2071D" w:rsidRPr="004B77D6" w:rsidRDefault="00C2071D" w:rsidP="00C2071D">
      <w:pPr>
        <w:numPr>
          <w:ilvl w:val="1"/>
          <w:numId w:val="1"/>
        </w:numPr>
        <w:tabs>
          <w:tab w:val="left" w:pos="360"/>
        </w:tabs>
        <w:suppressAutoHyphens w:val="0"/>
        <w:spacing w:after="120" w:line="276" w:lineRule="auto"/>
        <w:rPr>
          <w:rFonts w:ascii="Calibri" w:hAnsi="Calibri" w:cs="Arial"/>
          <w:bCs/>
          <w:szCs w:val="24"/>
        </w:rPr>
      </w:pPr>
      <w:r w:rsidRPr="004B77D6">
        <w:rPr>
          <w:rFonts w:ascii="Calibri" w:hAnsi="Calibri" w:cs="Arial"/>
          <w:bCs/>
          <w:szCs w:val="24"/>
        </w:rPr>
        <w:t xml:space="preserve">Następnie należy dokonać porównania obu ww. scenariuszy. Różnice w poszczególnych kategoriach przepływów pieniężnych dla projektu (m.in. przychód, </w:t>
      </w:r>
      <w:r w:rsidRPr="004B77D6">
        <w:rPr>
          <w:rFonts w:ascii="Calibri" w:hAnsi="Calibri" w:cs="Arial"/>
          <w:bCs/>
          <w:szCs w:val="24"/>
        </w:rPr>
        <w:lastRenderedPageBreak/>
        <w:t xml:space="preserve">koszty operacyjne) stanowią różnicę pomiędzy odpowiednimi kategoriami przepływów pieniężnych dla scenariusza „podmiot (lub działalność gospodarcza) z projektem” oraz scenariusza „podmiot (lub działalność gospodarcza) bez projektu”. Tak uzyskane przepływy określa się jako przepływy przyrostowe lub różnicowe. Określone przepływy różnicowe są wykorzystywane między innymi dla ustalenia wskaźnika luki w finansowaniu. </w:t>
      </w:r>
      <w:bookmarkStart w:id="202" w:name="_Toc219062761"/>
      <w:bookmarkStart w:id="203" w:name="_Toc219063059"/>
      <w:bookmarkEnd w:id="202"/>
      <w:bookmarkEnd w:id="203"/>
    </w:p>
    <w:p w14:paraId="53071F1D" w14:textId="2C05178C" w:rsidR="00C2071D" w:rsidRPr="004B77D6" w:rsidRDefault="00C2071D" w:rsidP="00E3070A">
      <w:pPr>
        <w:pStyle w:val="Tekstpodstawowy22"/>
        <w:tabs>
          <w:tab w:val="num" w:pos="993"/>
        </w:tabs>
        <w:spacing w:before="240" w:after="120" w:line="276" w:lineRule="auto"/>
        <w:jc w:val="left"/>
        <w:rPr>
          <w:rFonts w:ascii="Calibri" w:hAnsi="Calibri" w:cs="Arial"/>
          <w:b/>
          <w:szCs w:val="24"/>
        </w:rPr>
      </w:pPr>
      <w:r w:rsidRPr="004B77D6">
        <w:rPr>
          <w:rFonts w:ascii="Calibri" w:hAnsi="Calibri" w:cs="Arial"/>
          <w:b/>
          <w:szCs w:val="24"/>
        </w:rPr>
        <w:t>Określenie przychodów projektu, kalkulacja taryf.</w:t>
      </w:r>
      <w:bookmarkStart w:id="204" w:name="_Toc219062762"/>
      <w:bookmarkStart w:id="205" w:name="_Toc219063060"/>
      <w:bookmarkEnd w:id="204"/>
      <w:bookmarkEnd w:id="205"/>
    </w:p>
    <w:p w14:paraId="5AA868F4" w14:textId="752ECB5B" w:rsidR="00316531" w:rsidRPr="00316531" w:rsidRDefault="00316531" w:rsidP="004D0859">
      <w:pPr>
        <w:pStyle w:val="Tekstpodstawowy22"/>
        <w:numPr>
          <w:ilvl w:val="3"/>
          <w:numId w:val="24"/>
        </w:numPr>
        <w:tabs>
          <w:tab w:val="clear" w:pos="3600"/>
          <w:tab w:val="num" w:pos="0"/>
          <w:tab w:val="left" w:pos="360"/>
          <w:tab w:val="num" w:pos="1080"/>
        </w:tabs>
        <w:spacing w:before="120" w:after="120" w:line="276" w:lineRule="auto"/>
        <w:ind w:left="0" w:firstLine="0"/>
        <w:jc w:val="left"/>
        <w:rPr>
          <w:rFonts w:ascii="Calibri" w:hAnsi="Calibri"/>
          <w:szCs w:val="24"/>
        </w:rPr>
      </w:pPr>
      <w:r w:rsidRPr="00316531">
        <w:rPr>
          <w:rFonts w:ascii="Calibri" w:hAnsi="Calibri" w:cs="Arial"/>
          <w:color w:val="000000"/>
          <w:szCs w:val="24"/>
        </w:rPr>
        <w:t xml:space="preserve">Wysokość taryf ustalających ceny za towary lub usługi zapewniane przez dany projekt jest, obok popytu, głównym czynnikiem pozwalającym określić poziom przychodów, jakie będą generowane w fazie operacyjnej projektu. </w:t>
      </w:r>
      <w:bookmarkStart w:id="206" w:name="_Toc219062763"/>
      <w:bookmarkStart w:id="207" w:name="_Toc219063061"/>
      <w:bookmarkEnd w:id="206"/>
      <w:bookmarkEnd w:id="207"/>
    </w:p>
    <w:p w14:paraId="152BE86A" w14:textId="30EE6ECC" w:rsidR="00C2071D" w:rsidRPr="00316531" w:rsidRDefault="00C2071D" w:rsidP="004D0859">
      <w:pPr>
        <w:pStyle w:val="Tekstpodstawowy22"/>
        <w:numPr>
          <w:ilvl w:val="3"/>
          <w:numId w:val="24"/>
        </w:numPr>
        <w:tabs>
          <w:tab w:val="clear" w:pos="3600"/>
          <w:tab w:val="num" w:pos="0"/>
          <w:tab w:val="left" w:pos="360"/>
          <w:tab w:val="num" w:pos="1080"/>
        </w:tabs>
        <w:spacing w:before="120" w:after="120" w:line="276" w:lineRule="auto"/>
        <w:ind w:left="0" w:firstLine="0"/>
        <w:jc w:val="left"/>
        <w:rPr>
          <w:rFonts w:ascii="Calibri" w:hAnsi="Calibri"/>
          <w:szCs w:val="24"/>
        </w:rPr>
      </w:pPr>
      <w:r w:rsidRPr="004B77D6">
        <w:rPr>
          <w:rFonts w:ascii="Calibri" w:hAnsi="Calibri" w:cs="Arial"/>
          <w:color w:val="000000"/>
          <w:szCs w:val="24"/>
        </w:rPr>
        <w:t>W odniesieniu do projektów dotyczących określonych sektorów</w:t>
      </w:r>
      <w:r w:rsidRPr="004B77D6">
        <w:rPr>
          <w:rStyle w:val="Odwoanieprzypisudolnego"/>
          <w:rFonts w:ascii="Calibri" w:hAnsi="Calibri" w:cs="Arial"/>
          <w:color w:val="000000"/>
          <w:szCs w:val="24"/>
        </w:rPr>
        <w:footnoteReference w:id="9"/>
      </w:r>
      <w:r w:rsidRPr="004B77D6">
        <w:rPr>
          <w:rFonts w:ascii="Calibri" w:hAnsi="Calibri" w:cs="Arial"/>
          <w:color w:val="000000"/>
          <w:szCs w:val="24"/>
        </w:rPr>
        <w:t xml:space="preserve">, taryfę opłat dokonywanych przez użytkowników należy ustalić zgodnie z </w:t>
      </w:r>
      <w:r w:rsidRPr="004B77D6">
        <w:rPr>
          <w:rFonts w:ascii="Calibri" w:hAnsi="Calibri" w:cs="Arial"/>
          <w:b/>
          <w:bCs/>
          <w:color w:val="000000"/>
          <w:szCs w:val="24"/>
        </w:rPr>
        <w:t xml:space="preserve">zasadą </w:t>
      </w:r>
      <w:r w:rsidR="00316531" w:rsidRPr="00316531">
        <w:rPr>
          <w:rFonts w:ascii="Calibri" w:hAnsi="Calibri" w:cs="Arial"/>
          <w:b/>
          <w:bCs/>
          <w:color w:val="000000"/>
          <w:szCs w:val="24"/>
        </w:rPr>
        <w:t xml:space="preserve">„zanieczyszczający płaci” </w:t>
      </w:r>
      <w:r w:rsidR="00316531" w:rsidRPr="00316531">
        <w:rPr>
          <w:rFonts w:ascii="Calibri" w:hAnsi="Calibri" w:cs="Arial"/>
          <w:color w:val="000000"/>
          <w:szCs w:val="24"/>
        </w:rPr>
        <w:t xml:space="preserve">oraz </w:t>
      </w:r>
      <w:r w:rsidR="00316531" w:rsidRPr="00316531">
        <w:rPr>
          <w:rFonts w:ascii="Calibri" w:hAnsi="Calibri" w:cs="Arial"/>
          <w:b/>
          <w:bCs/>
          <w:color w:val="000000"/>
          <w:szCs w:val="24"/>
        </w:rPr>
        <w:t xml:space="preserve">zasadą pełnego zwrotu kosztów, </w:t>
      </w:r>
      <w:r w:rsidR="00316531" w:rsidRPr="00316531">
        <w:rPr>
          <w:rFonts w:ascii="Calibri" w:hAnsi="Calibri" w:cs="Arial"/>
          <w:color w:val="000000"/>
          <w:szCs w:val="24"/>
        </w:rPr>
        <w:t xml:space="preserve">przy uwzględnieniu kryterium dostępności cenowej taryf (ang. </w:t>
      </w:r>
      <w:proofErr w:type="spellStart"/>
      <w:r w:rsidR="00316531" w:rsidRPr="00316531">
        <w:rPr>
          <w:rFonts w:ascii="Calibri" w:hAnsi="Calibri" w:cs="Arial"/>
          <w:color w:val="000000"/>
          <w:szCs w:val="24"/>
        </w:rPr>
        <w:t>affordability</w:t>
      </w:r>
      <w:proofErr w:type="spellEnd"/>
      <w:r w:rsidR="00316531" w:rsidRPr="00316531">
        <w:rPr>
          <w:rFonts w:ascii="Calibri" w:hAnsi="Calibri" w:cs="Arial"/>
          <w:color w:val="000000"/>
          <w:szCs w:val="24"/>
        </w:rPr>
        <w:t>), wyrażającego granicę zdolności gospodarstw domowych do ponoszenia kosztów zakupu dóbr i usług zapewnianych przez projekt. Zastosowanie zasady pełnego zwrotu kosztów polega na tym, że: a) przyjęte taryfy powinny, na tyle, na ile to możliwe, pokrywać nakłady inwestycyjne oraz koszty operacyjne i nakłady odtworzeniowe, jak również koszty związane z zanieczyszczeniem środowiska, b) struktura taryf powinna maksymalizować przychody projektu przed uwzględnieniem subwencji/dotacji, przy uwzględnieniu kryterium dostępności cenowej.</w:t>
      </w:r>
      <w:bookmarkStart w:id="208" w:name="_Toc219062764"/>
      <w:bookmarkStart w:id="209" w:name="_Toc219063062"/>
      <w:bookmarkEnd w:id="208"/>
      <w:bookmarkEnd w:id="209"/>
    </w:p>
    <w:p w14:paraId="507FF117" w14:textId="6D387BFE" w:rsidR="00C2071D" w:rsidRPr="004B77D6" w:rsidRDefault="00C2071D" w:rsidP="004D0859">
      <w:pPr>
        <w:pStyle w:val="Tekstpodstawowy22"/>
        <w:numPr>
          <w:ilvl w:val="3"/>
          <w:numId w:val="24"/>
        </w:numPr>
        <w:tabs>
          <w:tab w:val="clear" w:pos="3600"/>
          <w:tab w:val="num" w:pos="0"/>
          <w:tab w:val="left" w:pos="360"/>
          <w:tab w:val="num" w:pos="1080"/>
        </w:tabs>
        <w:spacing w:before="120" w:after="120" w:line="276" w:lineRule="auto"/>
        <w:ind w:left="0" w:firstLine="0"/>
        <w:jc w:val="left"/>
        <w:rPr>
          <w:rFonts w:ascii="Calibri" w:hAnsi="Calibri" w:cs="Arial"/>
          <w:color w:val="000000"/>
          <w:szCs w:val="24"/>
        </w:rPr>
      </w:pPr>
      <w:r w:rsidRPr="004B77D6">
        <w:rPr>
          <w:rFonts w:ascii="Calibri" w:hAnsi="Calibri" w:cs="Arial"/>
          <w:color w:val="000000"/>
          <w:szCs w:val="24"/>
        </w:rPr>
        <w:t xml:space="preserve">Dostępność cenowa jest miarą statystyczną i odzwierciedla (mierzony medianą) średni próg, powyżej którego wzrost taryf nie miałby charakteru trwałego (prowadziłby w rezultacie do wyraźnego spadku popytu) lub koszty musiałyby być pokrywane pomocą socjalną na rzecz części gospodarstw domowych. Pomoc, o której mowa powyżej może przyjąć postać zasiłków z budżetu państwa wypłacanych gospodarstwom domowym lub też dopłat do taryf wypłacanych określonej grupie taryfowej z budżetu lokalnego. </w:t>
      </w:r>
      <w:bookmarkStart w:id="210" w:name="_Toc219062765"/>
      <w:bookmarkStart w:id="211" w:name="_Toc219063063"/>
      <w:bookmarkEnd w:id="210"/>
      <w:bookmarkEnd w:id="211"/>
    </w:p>
    <w:p w14:paraId="5750DD3D" w14:textId="4AC6168C" w:rsidR="00C2071D" w:rsidRPr="004B77D6" w:rsidRDefault="00C2071D" w:rsidP="004D0859">
      <w:pPr>
        <w:pStyle w:val="Tekstpodstawowy22"/>
        <w:numPr>
          <w:ilvl w:val="3"/>
          <w:numId w:val="24"/>
        </w:numPr>
        <w:tabs>
          <w:tab w:val="clear" w:pos="3600"/>
          <w:tab w:val="num" w:pos="0"/>
          <w:tab w:val="left" w:pos="360"/>
          <w:tab w:val="num" w:pos="1080"/>
        </w:tabs>
        <w:spacing w:before="120" w:after="120" w:line="276" w:lineRule="auto"/>
        <w:ind w:left="0" w:firstLine="0"/>
        <w:jc w:val="left"/>
        <w:rPr>
          <w:rFonts w:ascii="Calibri" w:hAnsi="Calibri" w:cs="Arial"/>
          <w:color w:val="000000"/>
          <w:szCs w:val="24"/>
        </w:rPr>
      </w:pPr>
      <w:r w:rsidRPr="004B77D6">
        <w:rPr>
          <w:rFonts w:ascii="Calibri" w:hAnsi="Calibri" w:cs="Arial"/>
          <w:color w:val="000000"/>
          <w:szCs w:val="24"/>
        </w:rPr>
        <w:t xml:space="preserve">Korekty taryf w oparciu o zasadę dostępności cenowej należy dokonać w sytuacji, </w:t>
      </w:r>
      <w:r w:rsidRPr="004B77D6">
        <w:rPr>
          <w:rFonts w:ascii="Calibri" w:hAnsi="Calibri" w:cs="Arial"/>
          <w:color w:val="000000"/>
          <w:szCs w:val="24"/>
        </w:rPr>
        <w:br/>
        <w:t xml:space="preserve">gdy analiza finansowa wykazała, że zakładany poziom taryf może okazać się zbyt wysoki, </w:t>
      </w:r>
      <w:r w:rsidRPr="004B77D6">
        <w:rPr>
          <w:rFonts w:ascii="Calibri" w:hAnsi="Calibri" w:cs="Arial"/>
          <w:color w:val="000000"/>
          <w:szCs w:val="24"/>
        </w:rPr>
        <w:br/>
        <w:t xml:space="preserve">co będzie skutkowało spadkiem popytu (wynikającym z niezdolności odbiorców do pokrycia kosztów towarów i usług), a tym samym zagrozi finansowej trwałości inwestycji. </w:t>
      </w:r>
      <w:bookmarkStart w:id="212" w:name="_Toc219062766"/>
      <w:bookmarkStart w:id="213" w:name="_Toc219063064"/>
      <w:bookmarkEnd w:id="212"/>
      <w:bookmarkEnd w:id="213"/>
    </w:p>
    <w:p w14:paraId="117F1ACB" w14:textId="58F4171B" w:rsidR="00316531" w:rsidRDefault="00316531" w:rsidP="004D0859">
      <w:pPr>
        <w:pStyle w:val="Tekstpodstawowy22"/>
        <w:numPr>
          <w:ilvl w:val="3"/>
          <w:numId w:val="24"/>
        </w:numPr>
        <w:tabs>
          <w:tab w:val="clear" w:pos="3600"/>
          <w:tab w:val="num" w:pos="0"/>
          <w:tab w:val="left" w:pos="360"/>
          <w:tab w:val="num" w:pos="1080"/>
        </w:tabs>
        <w:spacing w:before="120" w:after="120" w:line="276" w:lineRule="auto"/>
        <w:ind w:left="0" w:firstLine="0"/>
        <w:jc w:val="left"/>
        <w:rPr>
          <w:rFonts w:ascii="Calibri" w:hAnsi="Calibri" w:cs="Arial"/>
          <w:color w:val="000000"/>
          <w:szCs w:val="24"/>
        </w:rPr>
      </w:pPr>
      <w:r w:rsidRPr="00316531">
        <w:rPr>
          <w:rFonts w:ascii="Calibri" w:hAnsi="Calibri" w:cs="Arial"/>
          <w:color w:val="000000"/>
          <w:szCs w:val="24"/>
        </w:rPr>
        <w:t>Skalę korekty ustala beneficjent, uwzględniając przy tym uwarunkowania lokalne, w tym zwłaszcza aktualny poziom wydatków ponoszonych przez gospodarstwa domowe.</w:t>
      </w:r>
      <w:bookmarkStart w:id="214" w:name="_Toc219062767"/>
      <w:bookmarkStart w:id="215" w:name="_Toc219063065"/>
      <w:bookmarkEnd w:id="214"/>
      <w:bookmarkEnd w:id="215"/>
    </w:p>
    <w:p w14:paraId="5DD1553A" w14:textId="27BCD3EB" w:rsidR="00C2071D" w:rsidRPr="004B77D6" w:rsidRDefault="00C2071D" w:rsidP="004D0859">
      <w:pPr>
        <w:pStyle w:val="Tekstpodstawowy22"/>
        <w:numPr>
          <w:ilvl w:val="3"/>
          <w:numId w:val="24"/>
        </w:numPr>
        <w:tabs>
          <w:tab w:val="clear" w:pos="3600"/>
          <w:tab w:val="num" w:pos="0"/>
          <w:tab w:val="left" w:pos="360"/>
          <w:tab w:val="num" w:pos="1080"/>
        </w:tabs>
        <w:spacing w:before="120" w:after="120" w:line="276" w:lineRule="auto"/>
        <w:ind w:left="0" w:firstLine="0"/>
        <w:jc w:val="left"/>
        <w:rPr>
          <w:rFonts w:ascii="Calibri" w:hAnsi="Calibri" w:cs="Arial"/>
          <w:color w:val="000000"/>
          <w:szCs w:val="24"/>
        </w:rPr>
      </w:pPr>
      <w:r w:rsidRPr="004B77D6">
        <w:rPr>
          <w:rFonts w:ascii="Calibri" w:hAnsi="Calibri" w:cs="Arial"/>
          <w:color w:val="000000"/>
          <w:szCs w:val="24"/>
        </w:rPr>
        <w:lastRenderedPageBreak/>
        <w:t xml:space="preserve">Odwołując się do kryterium dostępności cenowej przy ustalaniu poziomu taryf należy zastosować się do poniższych reguł: </w:t>
      </w:r>
      <w:bookmarkStart w:id="216" w:name="_Toc219062768"/>
      <w:bookmarkStart w:id="217" w:name="_Toc219063066"/>
      <w:bookmarkEnd w:id="216"/>
      <w:bookmarkEnd w:id="217"/>
    </w:p>
    <w:p w14:paraId="42BF7487" w14:textId="23CC7BCE" w:rsidR="00C2071D" w:rsidRPr="004B77D6" w:rsidRDefault="00C2071D" w:rsidP="004D0859">
      <w:pPr>
        <w:pStyle w:val="Akapit"/>
        <w:keepNext w:val="0"/>
        <w:numPr>
          <w:ilvl w:val="2"/>
          <w:numId w:val="37"/>
        </w:numPr>
        <w:spacing w:line="276" w:lineRule="auto"/>
        <w:ind w:left="993" w:hanging="426"/>
        <w:jc w:val="left"/>
        <w:rPr>
          <w:rFonts w:ascii="Calibri" w:hAnsi="Calibri" w:cs="Arial"/>
          <w:sz w:val="24"/>
        </w:rPr>
      </w:pPr>
      <w:r w:rsidRPr="004B77D6">
        <w:rPr>
          <w:rFonts w:ascii="Calibri" w:hAnsi="Calibri" w:cs="Arial"/>
          <w:sz w:val="24"/>
        </w:rPr>
        <w:t>korekta poziomu taryf nie powinna zagrażać trwałości finansowej projektu,</w:t>
      </w:r>
      <w:bookmarkStart w:id="218" w:name="_Toc219062769"/>
      <w:bookmarkStart w:id="219" w:name="_Toc219063067"/>
      <w:bookmarkEnd w:id="218"/>
      <w:bookmarkEnd w:id="219"/>
    </w:p>
    <w:p w14:paraId="45E62C72" w14:textId="4902CB16" w:rsidR="00C2071D" w:rsidRPr="004B77D6" w:rsidRDefault="00C2071D" w:rsidP="004D0859">
      <w:pPr>
        <w:pStyle w:val="Akapit"/>
        <w:keepNext w:val="0"/>
        <w:numPr>
          <w:ilvl w:val="2"/>
          <w:numId w:val="37"/>
        </w:numPr>
        <w:spacing w:line="276" w:lineRule="auto"/>
        <w:ind w:left="993" w:hanging="426"/>
        <w:jc w:val="left"/>
        <w:rPr>
          <w:rFonts w:ascii="Calibri" w:hAnsi="Calibri" w:cs="Arial"/>
          <w:sz w:val="24"/>
        </w:rPr>
      </w:pPr>
      <w:r w:rsidRPr="004B77D6">
        <w:rPr>
          <w:rFonts w:ascii="Calibri" w:hAnsi="Calibri" w:cs="Arial"/>
          <w:sz w:val="24"/>
        </w:rPr>
        <w:t xml:space="preserve">co do zasady, korekta powinna mieć charakter tymczasowy i obowiązywać do momentu, do którego jest ona niezbędna do zastosowania,  </w:t>
      </w:r>
      <w:bookmarkStart w:id="220" w:name="_Toc219062770"/>
      <w:bookmarkStart w:id="221" w:name="_Toc219063068"/>
      <w:bookmarkEnd w:id="220"/>
      <w:bookmarkEnd w:id="221"/>
    </w:p>
    <w:p w14:paraId="2A43DD3E" w14:textId="3033730C" w:rsidR="00C2071D" w:rsidRPr="004B77D6" w:rsidRDefault="00C2071D" w:rsidP="004D0859">
      <w:pPr>
        <w:pStyle w:val="Akapit"/>
        <w:keepNext w:val="0"/>
        <w:numPr>
          <w:ilvl w:val="2"/>
          <w:numId w:val="37"/>
        </w:numPr>
        <w:spacing w:line="276" w:lineRule="auto"/>
        <w:ind w:left="993" w:hanging="426"/>
        <w:jc w:val="left"/>
        <w:rPr>
          <w:rFonts w:ascii="Calibri" w:hAnsi="Calibri" w:cs="Arial"/>
          <w:sz w:val="24"/>
        </w:rPr>
      </w:pPr>
      <w:r w:rsidRPr="004B77D6">
        <w:rPr>
          <w:rFonts w:ascii="Calibri" w:hAnsi="Calibri" w:cs="Arial"/>
          <w:sz w:val="24"/>
        </w:rPr>
        <w:t xml:space="preserve">  korekta poziomu taryf oparta na przedmiotowej zasadzie może być dokonana wyłącznie w odniesieniu do opłat ponoszonych przez gospodarstwa domowe,</w:t>
      </w:r>
      <w:bookmarkStart w:id="222" w:name="_Toc219062771"/>
      <w:bookmarkStart w:id="223" w:name="_Toc219063069"/>
      <w:bookmarkEnd w:id="222"/>
      <w:bookmarkEnd w:id="223"/>
    </w:p>
    <w:p w14:paraId="088B6679" w14:textId="3DB8CACD" w:rsidR="00C2071D" w:rsidRPr="004B77D6" w:rsidRDefault="00C2071D" w:rsidP="004D0859">
      <w:pPr>
        <w:pStyle w:val="Akapit"/>
        <w:keepNext w:val="0"/>
        <w:numPr>
          <w:ilvl w:val="2"/>
          <w:numId w:val="37"/>
        </w:numPr>
        <w:spacing w:line="276" w:lineRule="auto"/>
        <w:ind w:left="993" w:hanging="426"/>
        <w:jc w:val="left"/>
        <w:rPr>
          <w:rFonts w:ascii="Calibri" w:hAnsi="Calibri" w:cs="Arial"/>
          <w:sz w:val="24"/>
        </w:rPr>
      </w:pPr>
      <w:r w:rsidRPr="004B77D6">
        <w:rPr>
          <w:rFonts w:ascii="Calibri" w:hAnsi="Calibri" w:cs="Arial"/>
          <w:sz w:val="24"/>
        </w:rPr>
        <w:t>jeżeli w analizie finansowej stosowano taryfy w wymiarze uwzględniającym kryterium dostępności cenowej, tożsame taryfy muszą być stosowane w fazie operacyjnej projektu,</w:t>
      </w:r>
      <w:bookmarkStart w:id="224" w:name="_Toc219062772"/>
      <w:bookmarkStart w:id="225" w:name="_Toc219063070"/>
      <w:bookmarkEnd w:id="224"/>
      <w:bookmarkEnd w:id="225"/>
    </w:p>
    <w:p w14:paraId="66E6E65A" w14:textId="0CBFDC7E" w:rsidR="00C2071D" w:rsidRPr="004B77D6" w:rsidRDefault="00C2071D" w:rsidP="004D0859">
      <w:pPr>
        <w:pStyle w:val="Akapit"/>
        <w:keepNext w:val="0"/>
        <w:numPr>
          <w:ilvl w:val="2"/>
          <w:numId w:val="37"/>
        </w:numPr>
        <w:spacing w:line="276" w:lineRule="auto"/>
        <w:ind w:left="993" w:hanging="426"/>
        <w:jc w:val="left"/>
        <w:rPr>
          <w:rFonts w:ascii="Calibri" w:hAnsi="Calibri" w:cs="Arial"/>
          <w:sz w:val="24"/>
        </w:rPr>
      </w:pPr>
      <w:r w:rsidRPr="004B77D6">
        <w:rPr>
          <w:rFonts w:ascii="Calibri" w:hAnsi="Calibri" w:cs="Arial"/>
          <w:sz w:val="24"/>
        </w:rPr>
        <w:t xml:space="preserve">  maksymalna dopuszczalna korekta taryfy nie może doprowadzić do obniżenia wydatków ponoszonych przez gospodarstwo domowe poniżej poziomu wydatków ponoszonych przed realizacją projektu, jak również poziomu wydatków gospodarstw domowych prognozowanych dla wariantu bez inwestycji.</w:t>
      </w:r>
      <w:bookmarkStart w:id="226" w:name="_Toc219062773"/>
      <w:bookmarkStart w:id="227" w:name="_Toc219063071"/>
      <w:bookmarkEnd w:id="226"/>
      <w:bookmarkEnd w:id="227"/>
    </w:p>
    <w:p w14:paraId="432005F4" w14:textId="3DCD7B42" w:rsidR="00C2071D" w:rsidRDefault="00316531" w:rsidP="004D0859">
      <w:pPr>
        <w:pStyle w:val="Tekstpodstawowy22"/>
        <w:numPr>
          <w:ilvl w:val="3"/>
          <w:numId w:val="24"/>
        </w:numPr>
        <w:tabs>
          <w:tab w:val="clear" w:pos="3600"/>
          <w:tab w:val="num" w:pos="0"/>
          <w:tab w:val="num" w:pos="360"/>
        </w:tabs>
        <w:spacing w:before="120" w:after="120" w:line="276" w:lineRule="auto"/>
        <w:ind w:left="0" w:firstLine="0"/>
        <w:jc w:val="left"/>
        <w:rPr>
          <w:rFonts w:ascii="Calibri" w:hAnsi="Calibri" w:cs="Arial"/>
          <w:color w:val="000000"/>
          <w:szCs w:val="24"/>
        </w:rPr>
      </w:pPr>
      <w:r w:rsidRPr="00316531">
        <w:rPr>
          <w:rFonts w:ascii="Calibri" w:hAnsi="Calibri" w:cs="Arial"/>
          <w:color w:val="000000"/>
          <w:szCs w:val="24"/>
        </w:rPr>
        <w:t>W analizie finansowej projektu, na potrzeby obliczenia efektywności finansowej projektu, powinny być uwzględniane wyłącznie przychody pochodzące z bezpośrednich wpłat dokonywanych przez użytkowników lub określone instytucje za towary lub usługi zapewniane przez dany projekt, tzn. przychody z opłat wnoszonych według taryf ustalonych zgodnie z zapisami niniejszego podrozdziału. W analizie tego typu nie należy uwzględniać ewentualnych subsydiów lub dopłat do taryf służących sfinansowaniu różnicy pomiędzy planami taryfowymi wynikającymi z zasady pełnego zwrotu kosztów, a przewidzianymi do wdrożenia w fazie operacyjnej projektu (ograniczonymi zgodnie z regułą dostępności cenowej). Na przychód projektu, co do zasady, nie składają się zatem transfery z budżetu państwa lub samorządu ani z publicznych systemów ubezpieczeń (np. dotacje na działalność oraz subsydia).</w:t>
      </w:r>
      <w:bookmarkStart w:id="228" w:name="_Toc219062774"/>
      <w:bookmarkStart w:id="229" w:name="_Toc219063072"/>
      <w:bookmarkEnd w:id="228"/>
      <w:bookmarkEnd w:id="229"/>
    </w:p>
    <w:p w14:paraId="6A012F8D" w14:textId="53398D3C" w:rsidR="00C30A65" w:rsidRPr="00316531" w:rsidRDefault="00316531" w:rsidP="004D0859">
      <w:pPr>
        <w:pStyle w:val="Tekstpodstawowy22"/>
        <w:numPr>
          <w:ilvl w:val="3"/>
          <w:numId w:val="24"/>
        </w:numPr>
        <w:tabs>
          <w:tab w:val="clear" w:pos="3600"/>
          <w:tab w:val="num" w:pos="0"/>
          <w:tab w:val="num" w:pos="360"/>
        </w:tabs>
        <w:spacing w:before="120" w:after="120" w:line="276" w:lineRule="auto"/>
        <w:ind w:left="0" w:firstLine="0"/>
        <w:jc w:val="left"/>
        <w:rPr>
          <w:rFonts w:ascii="Calibri" w:hAnsi="Calibri" w:cs="Arial"/>
          <w:color w:val="000000"/>
          <w:szCs w:val="24"/>
        </w:rPr>
      </w:pPr>
      <w:r w:rsidRPr="00316531">
        <w:rPr>
          <w:rFonts w:ascii="Calibri" w:hAnsi="Calibri" w:cs="Arial"/>
          <w:color w:val="000000"/>
          <w:szCs w:val="24"/>
        </w:rPr>
        <w:t>Właściwym do uwzględniania wszystkich źródeł przychodów etapem analizy finansowej jest etap analizy trwałości finansowej projektu.</w:t>
      </w:r>
      <w:bookmarkStart w:id="230" w:name="_Toc219062775"/>
      <w:bookmarkStart w:id="231" w:name="_Toc219063073"/>
      <w:bookmarkEnd w:id="230"/>
      <w:bookmarkEnd w:id="231"/>
    </w:p>
    <w:p w14:paraId="3E9133C3" w14:textId="2B28E1D6" w:rsidR="00C2071D" w:rsidRPr="004B77D6" w:rsidRDefault="00C2071D" w:rsidP="00E3070A">
      <w:pPr>
        <w:pStyle w:val="Tekstpodstawowy22"/>
        <w:tabs>
          <w:tab w:val="num" w:pos="993"/>
        </w:tabs>
        <w:spacing w:before="240" w:after="120" w:line="276" w:lineRule="auto"/>
        <w:jc w:val="left"/>
        <w:rPr>
          <w:rFonts w:ascii="Calibri" w:hAnsi="Calibri" w:cs="Arial"/>
          <w:b/>
          <w:color w:val="000000"/>
          <w:szCs w:val="24"/>
        </w:rPr>
      </w:pPr>
      <w:r w:rsidRPr="004B77D6">
        <w:rPr>
          <w:rFonts w:ascii="Calibri" w:hAnsi="Calibri" w:cs="Arial"/>
          <w:b/>
          <w:color w:val="000000"/>
          <w:szCs w:val="24"/>
        </w:rPr>
        <w:t xml:space="preserve">Ustalenie wartości wskaźników finansowej efektywności </w:t>
      </w:r>
      <w:bookmarkStart w:id="232" w:name="_Toc219062776"/>
      <w:bookmarkStart w:id="233" w:name="_Toc219063074"/>
      <w:bookmarkEnd w:id="232"/>
      <w:bookmarkEnd w:id="233"/>
    </w:p>
    <w:p w14:paraId="637B9CAD" w14:textId="46974B35" w:rsidR="00C2071D" w:rsidRPr="004B77D6" w:rsidRDefault="00C2071D" w:rsidP="004D0859">
      <w:pPr>
        <w:pStyle w:val="Akapit"/>
        <w:keepNext w:val="0"/>
        <w:numPr>
          <w:ilvl w:val="0"/>
          <w:numId w:val="31"/>
        </w:numPr>
        <w:spacing w:after="120" w:line="276" w:lineRule="auto"/>
        <w:jc w:val="left"/>
        <w:rPr>
          <w:rFonts w:ascii="Calibri" w:hAnsi="Calibri" w:cs="Arial"/>
          <w:sz w:val="24"/>
        </w:rPr>
      </w:pPr>
      <w:r w:rsidRPr="004B77D6">
        <w:rPr>
          <w:rFonts w:ascii="Calibri" w:hAnsi="Calibri" w:cs="Arial"/>
          <w:sz w:val="24"/>
        </w:rPr>
        <w:t xml:space="preserve">Ustalenie wartości wskaźników finansowej efektywności projektu dokonywane jest </w:t>
      </w:r>
      <w:r w:rsidRPr="004B77D6">
        <w:rPr>
          <w:rFonts w:ascii="Calibri" w:hAnsi="Calibri" w:cs="Arial"/>
          <w:sz w:val="24"/>
        </w:rPr>
        <w:br/>
        <w:t>na podstawie przepływów pieniężnych określonych przy zastosowaniu metody standardowej bądź złożonej.</w:t>
      </w:r>
      <w:bookmarkStart w:id="234" w:name="_Toc219062777"/>
      <w:bookmarkStart w:id="235" w:name="_Toc219063075"/>
      <w:bookmarkEnd w:id="234"/>
      <w:bookmarkEnd w:id="235"/>
    </w:p>
    <w:p w14:paraId="183674B6" w14:textId="2A1BB2D7" w:rsidR="00C2071D" w:rsidRPr="004B77D6" w:rsidRDefault="00C2071D" w:rsidP="004D0859">
      <w:pPr>
        <w:pStyle w:val="Akapit"/>
        <w:keepNext w:val="0"/>
        <w:numPr>
          <w:ilvl w:val="0"/>
          <w:numId w:val="31"/>
        </w:numPr>
        <w:spacing w:after="120" w:line="276" w:lineRule="auto"/>
        <w:jc w:val="left"/>
        <w:rPr>
          <w:rFonts w:ascii="Calibri" w:hAnsi="Calibri" w:cs="Arial"/>
          <w:sz w:val="24"/>
        </w:rPr>
      </w:pPr>
      <w:r w:rsidRPr="004B77D6">
        <w:rPr>
          <w:rFonts w:ascii="Calibri" w:hAnsi="Calibri" w:cs="Arial"/>
          <w:bCs w:val="0"/>
          <w:noProof/>
        </w:rPr>
        <mc:AlternateContent>
          <mc:Choice Requires="wps">
            <w:drawing>
              <wp:anchor distT="0" distB="0" distL="114300" distR="114300" simplePos="0" relativeHeight="251659264" behindDoc="0" locked="0" layoutInCell="1" allowOverlap="1" wp14:anchorId="05843888" wp14:editId="3C797B92">
                <wp:simplePos x="0" y="0"/>
                <wp:positionH relativeFrom="column">
                  <wp:posOffset>4760595</wp:posOffset>
                </wp:positionH>
                <wp:positionV relativeFrom="paragraph">
                  <wp:posOffset>207645</wp:posOffset>
                </wp:positionV>
                <wp:extent cx="1101725" cy="342900"/>
                <wp:effectExtent l="12700" t="12065" r="9525" b="6985"/>
                <wp:wrapNone/>
                <wp:docPr id="33"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1725" cy="342900"/>
                        </a:xfrm>
                        <a:prstGeom prst="rect">
                          <a:avLst/>
                        </a:prstGeom>
                        <a:solidFill>
                          <a:srgbClr val="FFFFFF"/>
                        </a:solidFill>
                        <a:ln w="9525">
                          <a:solidFill>
                            <a:srgbClr val="000000"/>
                          </a:solidFill>
                          <a:miter lim="800000"/>
                          <a:headEnd/>
                          <a:tailEnd/>
                        </a:ln>
                      </wps:spPr>
                      <wps:txbx>
                        <w:txbxContent>
                          <w:p w14:paraId="17A45D58" w14:textId="77777777" w:rsidR="00044260" w:rsidRPr="005A3B8B" w:rsidRDefault="00044260" w:rsidP="00C2071D">
                            <w:pPr>
                              <w:jc w:val="center"/>
                              <w:rPr>
                                <w:b/>
                                <w:sz w:val="16"/>
                                <w:szCs w:val="16"/>
                              </w:rPr>
                            </w:pPr>
                            <w:r w:rsidRPr="009D0578">
                              <w:rPr>
                                <w:b/>
                                <w:sz w:val="16"/>
                                <w:szCs w:val="16"/>
                                <w:u w:val="single"/>
                              </w:rPr>
                              <w:t xml:space="preserve">Finansowy zwrot </w:t>
                            </w:r>
                            <w:r w:rsidRPr="009D0578">
                              <w:rPr>
                                <w:b/>
                                <w:sz w:val="16"/>
                                <w:szCs w:val="16"/>
                                <w:u w:val="single"/>
                              </w:rPr>
                              <w:br/>
                            </w:r>
                            <w:r w:rsidRPr="005A3B8B">
                              <w:rPr>
                                <w:b/>
                                <w:sz w:val="16"/>
                                <w:szCs w:val="16"/>
                              </w:rPr>
                              <w:t>z inwestycji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843888" id="_x0000_t202" coordsize="21600,21600" o:spt="202" path="m,l,21600r21600,l21600,xe">
                <v:stroke joinstyle="miter"/>
                <v:path gradientshapeok="t" o:connecttype="rect"/>
              </v:shapetype>
              <v:shape id="Text Box 28" o:spid="_x0000_s1026" type="#_x0000_t202" style="position:absolute;left:0;text-align:left;margin-left:374.85pt;margin-top:16.35pt;width:86.75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">
                <v:textbox>
                  <w:txbxContent>
                    <w:p w14:paraId="17A45D58" w14:textId="77777777" w:rsidR="00044260" w:rsidRPr="005A3B8B" w:rsidRDefault="00044260" w:rsidP="00C2071D">
                      <w:pPr>
                        <w:jc w:val="center"/>
                        <w:rPr>
                          <w:b/>
                          <w:sz w:val="16"/>
                          <w:szCs w:val="16"/>
                        </w:rPr>
                      </w:pPr>
                      <w:r w:rsidRPr="009D0578">
                        <w:rPr>
                          <w:b/>
                          <w:sz w:val="16"/>
                          <w:szCs w:val="16"/>
                          <w:u w:val="single"/>
                        </w:rPr>
                        <w:t xml:space="preserve">Finansowy zwrot </w:t>
                      </w:r>
                      <w:r w:rsidRPr="009D0578">
                        <w:rPr>
                          <w:b/>
                          <w:sz w:val="16"/>
                          <w:szCs w:val="16"/>
                          <w:u w:val="single"/>
                        </w:rPr>
                        <w:br/>
                      </w:r>
                      <w:r w:rsidRPr="005A3B8B">
                        <w:rPr>
                          <w:b/>
                          <w:sz w:val="16"/>
                          <w:szCs w:val="16"/>
                        </w:rPr>
                        <w:t>z inwestycji</w:t>
                      </w:r>
                    </w:p>
                  </w:txbxContent>
                </v:textbox>
              </v:shape>
            </w:pict>
          </mc:Fallback>
        </mc:AlternateContent>
      </w:r>
      <w:r w:rsidRPr="004B77D6">
        <w:rPr>
          <w:rFonts w:ascii="Calibri" w:hAnsi="Calibri" w:cs="Arial"/>
          <w:bCs w:val="0"/>
          <w:noProof/>
        </w:rPr>
        <mc:AlternateContent>
          <mc:Choice Requires="wpg">
            <w:drawing>
              <wp:anchor distT="0" distB="0" distL="114300" distR="114300" simplePos="0" relativeHeight="251661312" behindDoc="0" locked="0" layoutInCell="1" allowOverlap="1" wp14:anchorId="1B86526E" wp14:editId="0B14F6E5">
                <wp:simplePos x="0" y="0"/>
                <wp:positionH relativeFrom="column">
                  <wp:posOffset>4627880</wp:posOffset>
                </wp:positionH>
                <wp:positionV relativeFrom="paragraph">
                  <wp:posOffset>207645</wp:posOffset>
                </wp:positionV>
                <wp:extent cx="132715" cy="839470"/>
                <wp:effectExtent l="13335" t="12065" r="6350" b="5715"/>
                <wp:wrapNone/>
                <wp:docPr id="30" name="Group 30" descr="grafika wskazująca, że wskaźniki (FNPV/C) i (FRR/C) to finansowy zwrot z inwestycji a wskaźniki (FNPV/K) i (FRR/K) to finansowy zwrot z kapitału krajowego"/>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2715" cy="839470"/>
                          <a:chOff x="8100" y="3810"/>
                          <a:chExt cx="240" cy="1322"/>
                        </a:xfrm>
                      </wpg:grpSpPr>
                      <wps:wsp>
                        <wps:cNvPr id="31" name="AutoShape 31"/>
                        <wps:cNvSpPr>
                          <a:spLocks/>
                        </wps:cNvSpPr>
                        <wps:spPr bwMode="auto">
                          <a:xfrm>
                            <a:off x="8100" y="3810"/>
                            <a:ext cx="240" cy="720"/>
                          </a:xfrm>
                          <a:prstGeom prst="rightBrace">
                            <a:avLst>
                              <a:gd name="adj1" fmla="val 25000"/>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 name="AutoShape 32"/>
                        <wps:cNvSpPr>
                          <a:spLocks/>
                        </wps:cNvSpPr>
                        <wps:spPr bwMode="auto">
                          <a:xfrm>
                            <a:off x="8100" y="4530"/>
                            <a:ext cx="218" cy="602"/>
                          </a:xfrm>
                          <a:prstGeom prst="rightBrace">
                            <a:avLst>
                              <a:gd name="adj1" fmla="val 23012"/>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2EA2D5B5" id="Group 30" o:spid="_x0000_s1026" alt="grafika wskazująca, że wskaźniki (FNPV/C) i (FRR/C) to finansowy zwrot z inwestycji a wskaźniki (FNPV/K) i (FRR/K) to finansowy zwrot z kapitału krajowego" style="position:absolute;margin-left:364.4pt;margin-top:16.35pt;width:10.45pt;height:66.1pt;z-index:251661312" coordorigin="8100,3810" coordsize="240,13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">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1" o:spid="_x0000_s1027" type="#_x0000_t88" style="position:absolute;left:8100;top:3810;width:240;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8mtm8UA&#10;AADbAAAADwAAAGRycy9kb3ducmV2LnhtbESP3WoCMRSE74W+QziF3mnWClK2RlFLobQW8QeKd8fN&#10;cbO4OVmS1F3f3hQKXg4z8w0zmXW2FhfyoXKsYDjIQBAXTldcKtjv3vsvIEJE1lg7JgVXCjCbPvQm&#10;mGvX8oYu21iKBOGQowITY5NLGQpDFsPANcTJOzlvMSbpS6k9tglua/mcZWNpseK0YLChpaHivP21&#10;Ck4HM3Kfq7evo/U/3/t6MV8f21Kpp8du/goiUhfv4f/2h1YwGsLfl/QD5PQ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ya2bxQAAANsAAAAPAAAAAAAAAAAAAAAAAJgCAABkcnMv&#10;ZG93bnJldi54bWxQSwUGAAAAAAQABAD1AAAAigMAAAAA&#10;"/>
                <v:shape id="AutoShape 32" o:spid="_x0000_s1028" type="#_x0000_t88" style="position:absolute;left:8100;top:4530;width:218;height:6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sz7MUA&#10;AADbAAAADwAAAGRycy9kb3ducmV2LnhtbESP3WoCMRSE7wu+QziF3tVsFaRsjaIthaIW8QeKd8fN&#10;cbO4OVmS1F3f3hQKXg4z8w0znna2FhfyoXKs4KWfgSAunK64VLDffT6/gggRWWPtmBRcKcB00nsY&#10;Y65dyxu6bGMpEoRDjgpMjE0uZSgMWQx91xAn7+S8xZikL6X22Ca4reUgy0bSYsVpwWBD74aK8/bX&#10;KjgdzNAtVh/Lo/U/3/t6Plsf21Kpp8du9gYiUhfv4f/2l1YwHMDfl/QD5OQ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GzPsxQAAANsAAAAPAAAAAAAAAAAAAAAAAJgCAABkcnMv&#10;ZG93bnJldi54bWxQSwUGAAAAAAQABAD1AAAAigMAAAAA&#10;"/>
              </v:group>
            </w:pict>
          </mc:Fallback>
        </mc:AlternateContent>
      </w:r>
      <w:r w:rsidRPr="004B77D6">
        <w:rPr>
          <w:rFonts w:ascii="Calibri" w:hAnsi="Calibri" w:cs="Arial"/>
          <w:sz w:val="24"/>
        </w:rPr>
        <w:t>Wskaźniki efektywności finansowej projektu to:</w:t>
      </w:r>
      <w:bookmarkStart w:id="236" w:name="_Toc219062778"/>
      <w:bookmarkStart w:id="237" w:name="_Toc219063076"/>
      <w:bookmarkEnd w:id="236"/>
      <w:bookmarkEnd w:id="237"/>
    </w:p>
    <w:p w14:paraId="7C28381D" w14:textId="76317EC8" w:rsidR="00C2071D" w:rsidRPr="004B77D6" w:rsidRDefault="00C2071D" w:rsidP="004D0859">
      <w:pPr>
        <w:pStyle w:val="Akapit"/>
        <w:keepNext w:val="0"/>
        <w:numPr>
          <w:ilvl w:val="0"/>
          <w:numId w:val="31"/>
        </w:numPr>
        <w:spacing w:after="120" w:line="276" w:lineRule="auto"/>
        <w:jc w:val="left"/>
        <w:rPr>
          <w:rFonts w:ascii="Calibri" w:hAnsi="Calibri" w:cs="Arial"/>
          <w:sz w:val="24"/>
        </w:rPr>
      </w:pPr>
      <w:r w:rsidRPr="004B77D6">
        <w:rPr>
          <w:rFonts w:ascii="Calibri" w:hAnsi="Calibri" w:cs="Arial"/>
          <w:sz w:val="24"/>
        </w:rPr>
        <w:t>finansowa bieżąca wartość netto inwestycji (FNPV/C),</w:t>
      </w:r>
      <w:bookmarkStart w:id="238" w:name="_Toc219062779"/>
      <w:bookmarkStart w:id="239" w:name="_Toc219063077"/>
      <w:bookmarkEnd w:id="238"/>
      <w:bookmarkEnd w:id="239"/>
    </w:p>
    <w:p w14:paraId="2DFDB41C" w14:textId="30678C11" w:rsidR="00C2071D" w:rsidRPr="004B77D6" w:rsidRDefault="00C2071D" w:rsidP="004D0859">
      <w:pPr>
        <w:pStyle w:val="Akapit"/>
        <w:keepNext w:val="0"/>
        <w:numPr>
          <w:ilvl w:val="0"/>
          <w:numId w:val="31"/>
        </w:numPr>
        <w:spacing w:after="120" w:line="276" w:lineRule="auto"/>
        <w:jc w:val="left"/>
        <w:rPr>
          <w:rFonts w:ascii="Calibri" w:hAnsi="Calibri" w:cs="Arial"/>
          <w:sz w:val="24"/>
        </w:rPr>
      </w:pPr>
      <w:r w:rsidRPr="004B77D6">
        <w:rPr>
          <w:rFonts w:ascii="Calibri" w:hAnsi="Calibri" w:cs="Arial"/>
          <w:bCs w:val="0"/>
          <w:noProof/>
        </w:rPr>
        <mc:AlternateContent>
          <mc:Choice Requires="wps">
            <w:drawing>
              <wp:anchor distT="0" distB="0" distL="114300" distR="114300" simplePos="0" relativeHeight="251660288" behindDoc="0" locked="0" layoutInCell="1" allowOverlap="1" wp14:anchorId="3E5053C2" wp14:editId="2AAA0588">
                <wp:simplePos x="0" y="0"/>
                <wp:positionH relativeFrom="column">
                  <wp:posOffset>4760595</wp:posOffset>
                </wp:positionH>
                <wp:positionV relativeFrom="paragraph">
                  <wp:posOffset>139700</wp:posOffset>
                </wp:positionV>
                <wp:extent cx="1101725" cy="374650"/>
                <wp:effectExtent l="12700" t="9525" r="9525" b="6350"/>
                <wp:wrapNone/>
                <wp:docPr id="28"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1725" cy="374650"/>
                        </a:xfrm>
                        <a:prstGeom prst="rect">
                          <a:avLst/>
                        </a:prstGeom>
                        <a:solidFill>
                          <a:srgbClr val="FFFFFF"/>
                        </a:solidFill>
                        <a:ln w="9525">
                          <a:solidFill>
                            <a:srgbClr val="000000"/>
                          </a:solidFill>
                          <a:miter lim="800000"/>
                          <a:headEnd/>
                          <a:tailEnd/>
                        </a:ln>
                      </wps:spPr>
                      <wps:txbx>
                        <w:txbxContent>
                          <w:p w14:paraId="165509F1" w14:textId="77777777" w:rsidR="00044260" w:rsidRPr="005A3B8B" w:rsidRDefault="00044260" w:rsidP="00C2071D">
                            <w:pPr>
                              <w:jc w:val="center"/>
                              <w:rPr>
                                <w:b/>
                                <w:sz w:val="16"/>
                                <w:szCs w:val="16"/>
                              </w:rPr>
                            </w:pPr>
                            <w:r w:rsidRPr="005A3B8B">
                              <w:rPr>
                                <w:b/>
                                <w:sz w:val="16"/>
                                <w:szCs w:val="16"/>
                              </w:rPr>
                              <w:t xml:space="preserve">Finansowy zwrot </w:t>
                            </w:r>
                            <w:r>
                              <w:rPr>
                                <w:b/>
                                <w:sz w:val="16"/>
                                <w:szCs w:val="16"/>
                              </w:rPr>
                              <w:br/>
                            </w:r>
                            <w:r w:rsidRPr="005A3B8B">
                              <w:rPr>
                                <w:b/>
                                <w:sz w:val="16"/>
                                <w:szCs w:val="16"/>
                              </w:rPr>
                              <w:t xml:space="preserve">z kapitału </w:t>
                            </w:r>
                            <w:r>
                              <w:rPr>
                                <w:b/>
                                <w:sz w:val="16"/>
                                <w:szCs w:val="16"/>
                              </w:rPr>
                              <w:t>krajowego</w:t>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5053C2" id="Text Box 29" o:spid="_x0000_s1027" type="#_x0000_t202" style="position:absolute;left:0;text-align:left;margin-left:374.85pt;margin-top:11pt;width:86.75pt;height:2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">
                <v:textbox inset="0,,0">
                  <w:txbxContent>
                    <w:p w14:paraId="165509F1" w14:textId="77777777" w:rsidR="00044260" w:rsidRPr="005A3B8B" w:rsidRDefault="00044260" w:rsidP="00C2071D">
                      <w:pPr>
                        <w:jc w:val="center"/>
                        <w:rPr>
                          <w:b/>
                          <w:sz w:val="16"/>
                          <w:szCs w:val="16"/>
                        </w:rPr>
                      </w:pPr>
                      <w:r w:rsidRPr="005A3B8B">
                        <w:rPr>
                          <w:b/>
                          <w:sz w:val="16"/>
                          <w:szCs w:val="16"/>
                        </w:rPr>
                        <w:t xml:space="preserve">Finansowy zwrot </w:t>
                      </w:r>
                      <w:r>
                        <w:rPr>
                          <w:b/>
                          <w:sz w:val="16"/>
                          <w:szCs w:val="16"/>
                        </w:rPr>
                        <w:br/>
                      </w:r>
                      <w:r w:rsidRPr="005A3B8B">
                        <w:rPr>
                          <w:b/>
                          <w:sz w:val="16"/>
                          <w:szCs w:val="16"/>
                        </w:rPr>
                        <w:t xml:space="preserve">z kapitału </w:t>
                      </w:r>
                      <w:r>
                        <w:rPr>
                          <w:b/>
                          <w:sz w:val="16"/>
                          <w:szCs w:val="16"/>
                        </w:rPr>
                        <w:t>krajowego</w:t>
                      </w:r>
                    </w:p>
                  </w:txbxContent>
                </v:textbox>
              </v:shape>
            </w:pict>
          </mc:Fallback>
        </mc:AlternateContent>
      </w:r>
      <w:r w:rsidRPr="004B77D6">
        <w:rPr>
          <w:rFonts w:ascii="Calibri" w:hAnsi="Calibri" w:cs="Arial"/>
          <w:sz w:val="24"/>
        </w:rPr>
        <w:t>finansowa wewnętrzna stopa zwrotu z inwestycji (FRR/C),</w:t>
      </w:r>
      <w:bookmarkStart w:id="240" w:name="_Toc219062780"/>
      <w:bookmarkStart w:id="241" w:name="_Toc219063078"/>
      <w:bookmarkEnd w:id="240"/>
      <w:bookmarkEnd w:id="241"/>
    </w:p>
    <w:p w14:paraId="78F36E82" w14:textId="20B48227" w:rsidR="00C2071D" w:rsidRPr="004B77D6" w:rsidRDefault="00C2071D" w:rsidP="004D0859">
      <w:pPr>
        <w:pStyle w:val="Akapit"/>
        <w:keepNext w:val="0"/>
        <w:numPr>
          <w:ilvl w:val="0"/>
          <w:numId w:val="31"/>
        </w:numPr>
        <w:spacing w:after="120" w:line="276" w:lineRule="auto"/>
        <w:jc w:val="left"/>
        <w:rPr>
          <w:rFonts w:ascii="Calibri" w:hAnsi="Calibri" w:cs="Arial"/>
          <w:sz w:val="24"/>
        </w:rPr>
      </w:pPr>
      <w:r w:rsidRPr="004B77D6">
        <w:rPr>
          <w:rFonts w:ascii="Calibri" w:hAnsi="Calibri" w:cs="Arial"/>
          <w:sz w:val="24"/>
        </w:rPr>
        <w:t>finansowa bieżąca wartość netto kapitału krajowego (FNPV/K),</w:t>
      </w:r>
      <w:bookmarkStart w:id="242" w:name="_Toc219062781"/>
      <w:bookmarkStart w:id="243" w:name="_Toc219063079"/>
      <w:bookmarkEnd w:id="242"/>
      <w:bookmarkEnd w:id="243"/>
    </w:p>
    <w:p w14:paraId="2DE3775A" w14:textId="2431DA58" w:rsidR="00C2071D" w:rsidRPr="004B77D6" w:rsidRDefault="00C2071D" w:rsidP="004D0859">
      <w:pPr>
        <w:pStyle w:val="Akapit"/>
        <w:keepNext w:val="0"/>
        <w:numPr>
          <w:ilvl w:val="0"/>
          <w:numId w:val="31"/>
        </w:numPr>
        <w:spacing w:after="120" w:line="276" w:lineRule="auto"/>
        <w:jc w:val="left"/>
        <w:rPr>
          <w:rFonts w:ascii="Calibri" w:hAnsi="Calibri" w:cs="Arial"/>
          <w:sz w:val="24"/>
        </w:rPr>
      </w:pPr>
      <w:r w:rsidRPr="004B77D6">
        <w:rPr>
          <w:rFonts w:ascii="Calibri" w:hAnsi="Calibri" w:cs="Arial"/>
          <w:sz w:val="24"/>
        </w:rPr>
        <w:t>finansowa wewnętrzna stopa zwrotu z kapitału krajowego (FRR/K).</w:t>
      </w:r>
      <w:bookmarkStart w:id="244" w:name="_Toc219062782"/>
      <w:bookmarkStart w:id="245" w:name="_Toc219063080"/>
      <w:bookmarkEnd w:id="244"/>
      <w:bookmarkEnd w:id="245"/>
    </w:p>
    <w:p w14:paraId="6AE57D0C" w14:textId="32565CF7" w:rsidR="00837BC5" w:rsidRPr="00837BC5" w:rsidRDefault="00837BC5" w:rsidP="004D0859">
      <w:pPr>
        <w:pStyle w:val="Akapit"/>
        <w:keepNext w:val="0"/>
        <w:numPr>
          <w:ilvl w:val="0"/>
          <w:numId w:val="31"/>
        </w:numPr>
        <w:spacing w:after="120" w:line="276" w:lineRule="auto"/>
        <w:jc w:val="left"/>
        <w:rPr>
          <w:rFonts w:ascii="Calibri" w:hAnsi="Calibri" w:cs="Arial"/>
          <w:sz w:val="24"/>
        </w:rPr>
      </w:pPr>
      <w:r w:rsidRPr="00837BC5">
        <w:rPr>
          <w:rFonts w:ascii="Calibri" w:hAnsi="Calibri" w:cs="Arial"/>
          <w:sz w:val="24"/>
          <w:lang w:val="pl-PL"/>
        </w:rPr>
        <w:lastRenderedPageBreak/>
        <w:t xml:space="preserve">Dla wszystkich projektów inwestycyjnych, w przypadku których dla uzyskania dofinansowania wymagane jest przedłożenie studium wykonalności lub Innego Dokumentu (patrz: Rozdział 2, pkt 1), należy wyliczyć 2 pierwsze wskaźniki, tj. FNPV/C </w:t>
      </w:r>
      <w:r w:rsidR="006E53A8">
        <w:rPr>
          <w:rFonts w:ascii="Calibri" w:hAnsi="Calibri" w:cs="Arial"/>
          <w:sz w:val="24"/>
          <w:lang w:val="pl-PL"/>
        </w:rPr>
        <w:br/>
      </w:r>
      <w:r w:rsidRPr="00837BC5">
        <w:rPr>
          <w:rFonts w:ascii="Calibri" w:hAnsi="Calibri" w:cs="Arial"/>
          <w:sz w:val="24"/>
          <w:lang w:val="pl-PL"/>
        </w:rPr>
        <w:t>i FRR/C. Wskaźniki FNPV/K i FRR/K – dla projektów/typów projektów określonych przez instytucję zarządzającą w dokumentacji programu lub naboru.</w:t>
      </w:r>
      <w:bookmarkStart w:id="246" w:name="_Toc219062783"/>
      <w:bookmarkStart w:id="247" w:name="_Toc219063081"/>
      <w:bookmarkEnd w:id="246"/>
      <w:bookmarkEnd w:id="247"/>
    </w:p>
    <w:p w14:paraId="5C0C6A33" w14:textId="4F390341" w:rsidR="00837BC5" w:rsidRPr="00837BC5" w:rsidRDefault="00837BC5" w:rsidP="004D0859">
      <w:pPr>
        <w:pStyle w:val="Akapit"/>
        <w:numPr>
          <w:ilvl w:val="0"/>
          <w:numId w:val="31"/>
        </w:numPr>
        <w:spacing w:after="120" w:line="276" w:lineRule="auto"/>
        <w:jc w:val="left"/>
        <w:rPr>
          <w:rFonts w:ascii="Calibri" w:hAnsi="Calibri" w:cs="Arial"/>
          <w:b/>
          <w:sz w:val="24"/>
        </w:rPr>
      </w:pPr>
      <w:r w:rsidRPr="00837BC5">
        <w:rPr>
          <w:rFonts w:ascii="Calibri" w:hAnsi="Calibri" w:cs="Arial"/>
          <w:sz w:val="24"/>
          <w:lang w:val="pl-PL"/>
        </w:rPr>
        <w:t xml:space="preserve">Efektywność finansowa inwestycji może być oceniona przez oszacowanie FNPV/C </w:t>
      </w:r>
      <w:r w:rsidR="006E53A8">
        <w:rPr>
          <w:rFonts w:ascii="Calibri" w:hAnsi="Calibri" w:cs="Arial"/>
          <w:sz w:val="24"/>
          <w:lang w:val="pl-PL"/>
        </w:rPr>
        <w:br/>
      </w:r>
      <w:r w:rsidRPr="00837BC5">
        <w:rPr>
          <w:rFonts w:ascii="Calibri" w:hAnsi="Calibri" w:cs="Arial"/>
          <w:sz w:val="24"/>
          <w:lang w:val="pl-PL"/>
        </w:rPr>
        <w:t xml:space="preserve">i FRR/C. Wskaźniki te obrazują zdolność wpływów z projektu do pokrycia wydatków z nim związanych. W tym celu jako wpływy projektu przyjmuje się wyłącznie przychody oraz wartość rezydualną. Pozostałe wpływy, np. dotacje o charakterze operacyjnym należy traktować jako jedno ze źródeł finansowania i uwzględnić we wpływach całkowitych </w:t>
      </w:r>
      <w:r w:rsidR="006E53A8">
        <w:rPr>
          <w:rFonts w:ascii="Calibri" w:hAnsi="Calibri" w:cs="Arial"/>
          <w:sz w:val="24"/>
          <w:lang w:val="pl-PL"/>
        </w:rPr>
        <w:br/>
      </w:r>
      <w:r w:rsidRPr="00837BC5">
        <w:rPr>
          <w:rFonts w:ascii="Calibri" w:hAnsi="Calibri" w:cs="Arial"/>
          <w:sz w:val="24"/>
          <w:lang w:val="pl-PL"/>
        </w:rPr>
        <w:t>w analizie trwałości finansowej projektu.</w:t>
      </w:r>
      <w:bookmarkStart w:id="248" w:name="_Toc219062784"/>
      <w:bookmarkStart w:id="249" w:name="_Toc219063082"/>
      <w:bookmarkEnd w:id="248"/>
      <w:bookmarkEnd w:id="249"/>
    </w:p>
    <w:p w14:paraId="32DE7165" w14:textId="5788E95A" w:rsidR="00837BC5" w:rsidRPr="00837BC5" w:rsidRDefault="00837BC5" w:rsidP="004D0859">
      <w:pPr>
        <w:pStyle w:val="Akapit"/>
        <w:keepNext w:val="0"/>
        <w:numPr>
          <w:ilvl w:val="0"/>
          <w:numId w:val="31"/>
        </w:numPr>
        <w:spacing w:after="120" w:line="276" w:lineRule="auto"/>
        <w:jc w:val="left"/>
        <w:rPr>
          <w:rFonts w:ascii="Calibri" w:hAnsi="Calibri" w:cs="Arial"/>
          <w:sz w:val="24"/>
        </w:rPr>
      </w:pPr>
      <w:r w:rsidRPr="00837BC5">
        <w:rPr>
          <w:rFonts w:ascii="Calibri" w:hAnsi="Calibri" w:cs="Arial"/>
          <w:sz w:val="24"/>
          <w:lang w:val="pl-PL"/>
        </w:rPr>
        <w:t>FNPV/C jest sumą zdyskontowanych strumieni pieniężnych netto generowanych przez projekt. FRR/C jest stopą dyskontową, przy której wartość FNPV/C wynosi zero, tzn. bieżąca wartość przychodów jest równa bieżącej wartości kosztów projektu.</w:t>
      </w:r>
      <w:bookmarkStart w:id="250" w:name="_Toc219062785"/>
      <w:bookmarkStart w:id="251" w:name="_Toc219063083"/>
      <w:bookmarkEnd w:id="250"/>
      <w:bookmarkEnd w:id="251"/>
    </w:p>
    <w:p w14:paraId="36796F97" w14:textId="6DBB4CEA" w:rsidR="00837BC5" w:rsidRPr="00837BC5" w:rsidRDefault="00837BC5" w:rsidP="004D0859">
      <w:pPr>
        <w:pStyle w:val="Akapit"/>
        <w:keepNext w:val="0"/>
        <w:numPr>
          <w:ilvl w:val="0"/>
          <w:numId w:val="31"/>
        </w:numPr>
        <w:spacing w:after="120" w:line="276" w:lineRule="auto"/>
        <w:jc w:val="left"/>
        <w:rPr>
          <w:rFonts w:ascii="Calibri" w:hAnsi="Calibri" w:cs="Arial"/>
          <w:b/>
          <w:sz w:val="24"/>
        </w:rPr>
      </w:pPr>
      <w:r w:rsidRPr="00837BC5">
        <w:rPr>
          <w:rFonts w:ascii="Calibri" w:hAnsi="Calibri" w:cs="Arial"/>
          <w:sz w:val="24"/>
          <w:lang w:val="pl-PL"/>
        </w:rPr>
        <w:t xml:space="preserve">Zgodnie z art. 73 ust. 2 lit. c rozporządzenia nr 2021/1060, projekty wybrane do wsparcia powinny charakteryzować się najkorzystniejszą relacją między kwotą wsparcia, podejmowanymi działaniami i celami, które mają być osiągnięte w wyniku 41 ich realizacji. Co do zasady, dla projektu wymagającego dofinansowania z funduszy UE wskaźnik FNPV/C przed otrzymaniem wkładu z UE powinien mieć wartość ujemną, </w:t>
      </w:r>
      <w:r w:rsidR="006E53A8">
        <w:rPr>
          <w:rFonts w:ascii="Calibri" w:hAnsi="Calibri" w:cs="Arial"/>
          <w:sz w:val="24"/>
          <w:lang w:val="pl-PL"/>
        </w:rPr>
        <w:br/>
      </w:r>
      <w:r w:rsidRPr="00837BC5">
        <w:rPr>
          <w:rFonts w:ascii="Calibri" w:hAnsi="Calibri" w:cs="Arial"/>
          <w:sz w:val="24"/>
          <w:lang w:val="pl-PL"/>
        </w:rPr>
        <w:t>a FRR/C – niższą od stopy dyskontowej użytej w analizie finansowej. Taka wartość wskaźników oznacza, że bieżąca wartość przyszłych przychodów nie pokrywa bieżącej wartości kosztów projektu. Odstępstwo od tej zasady może wynikać ze specyfiki projektu</w:t>
      </w:r>
      <w:r w:rsidR="006E53A8" w:rsidRPr="00837BC5">
        <w:rPr>
          <w:rFonts w:ascii="Calibri" w:hAnsi="Calibri" w:cs="Arial"/>
          <w:sz w:val="24"/>
          <w:lang w:val="pl-PL"/>
        </w:rPr>
        <w:t>,</w:t>
      </w:r>
      <w:r w:rsidRPr="00837BC5">
        <w:rPr>
          <w:rFonts w:ascii="Calibri" w:hAnsi="Calibri" w:cs="Arial"/>
          <w:sz w:val="24"/>
          <w:lang w:val="pl-PL"/>
        </w:rPr>
        <w:t xml:space="preserve"> np. znacznego poziomu ryzyka związanego z wysokim poziomem innowacyjności, jak również faktu objęcia projektu pomocą publiczną.</w:t>
      </w:r>
      <w:bookmarkStart w:id="252" w:name="_Toc219062786"/>
      <w:bookmarkStart w:id="253" w:name="_Toc219063084"/>
      <w:bookmarkEnd w:id="252"/>
      <w:bookmarkEnd w:id="253"/>
    </w:p>
    <w:p w14:paraId="60879062" w14:textId="5A0E5F1B" w:rsidR="00837BC5" w:rsidRPr="00837BC5" w:rsidRDefault="00837BC5" w:rsidP="004D0859">
      <w:pPr>
        <w:pStyle w:val="Akapit"/>
        <w:keepNext w:val="0"/>
        <w:numPr>
          <w:ilvl w:val="0"/>
          <w:numId w:val="31"/>
        </w:numPr>
        <w:spacing w:after="120" w:line="276" w:lineRule="auto"/>
        <w:jc w:val="left"/>
        <w:rPr>
          <w:rFonts w:ascii="Calibri" w:hAnsi="Calibri" w:cs="Arial"/>
          <w:sz w:val="24"/>
        </w:rPr>
      </w:pPr>
      <w:r w:rsidRPr="00837BC5">
        <w:rPr>
          <w:rFonts w:ascii="Calibri" w:hAnsi="Calibri" w:cs="Arial"/>
          <w:sz w:val="24"/>
          <w:lang w:val="pl-PL"/>
        </w:rPr>
        <w:t>Finansowa bieżąca wartość netto kapitału (FNPV/K) jest sumą zdyskontowanych strumieni pieniężnych netto wygenerowanych dla beneficjenta w wyniku realizacji inwestycji. FRR/K jest równa stopie dyskontowej, dla której wartość FNPV/K wynosi zero. Projekt uznaje się za efektywny dla podmiotu realizującego projekt, jeżeli wskaźnik FNPV/K jest dodatni, co świadczy o tym, iż zdyskontowane wpływy przewyższają zdyskontowane wydatki związane z projektem</w:t>
      </w:r>
      <w:r>
        <w:rPr>
          <w:rFonts w:ascii="Calibri" w:hAnsi="Calibri" w:cs="Arial"/>
          <w:sz w:val="24"/>
          <w:lang w:val="pl-PL"/>
        </w:rPr>
        <w:t>.</w:t>
      </w:r>
      <w:bookmarkStart w:id="254" w:name="_Toc219062787"/>
      <w:bookmarkStart w:id="255" w:name="_Toc219063085"/>
      <w:bookmarkEnd w:id="254"/>
      <w:bookmarkEnd w:id="255"/>
    </w:p>
    <w:p w14:paraId="6AB47EEF" w14:textId="2356FD83" w:rsidR="00837BC5" w:rsidRPr="00837BC5" w:rsidRDefault="00837BC5" w:rsidP="004D0859">
      <w:pPr>
        <w:pStyle w:val="Akapit"/>
        <w:keepNext w:val="0"/>
        <w:numPr>
          <w:ilvl w:val="0"/>
          <w:numId w:val="31"/>
        </w:numPr>
        <w:spacing w:after="120" w:line="276" w:lineRule="auto"/>
        <w:jc w:val="left"/>
        <w:rPr>
          <w:rFonts w:ascii="Calibri" w:hAnsi="Calibri" w:cs="Arial"/>
          <w:sz w:val="24"/>
        </w:rPr>
      </w:pPr>
      <w:r w:rsidRPr="00837BC5">
        <w:rPr>
          <w:rFonts w:ascii="Calibri" w:hAnsi="Calibri" w:cs="Arial"/>
          <w:sz w:val="24"/>
        </w:rPr>
        <w:t xml:space="preserve">Biorąc pod uwagę przepis art. 73 ust. 2 lit. c rozporządzenia nr 2021/1060 (patrz: punkt 6) co do zasady, w przypadku projektu wymagającego wkładu z funduszy UE, wskaźnik FNPV/K ze wsparciem unijnym powinien mieć wartość ujemną lub równać się zeru, natomiast FRR(K) powinna być niższa lub równa stopie dyskontowej. W uzasadnionych przypadkach dopuszcza się odstępstwa od tej zasady, m.in. może mieć to miejsce </w:t>
      </w:r>
      <w:r>
        <w:rPr>
          <w:rFonts w:ascii="Calibri" w:hAnsi="Calibri" w:cs="Arial"/>
          <w:sz w:val="24"/>
        </w:rPr>
        <w:br/>
      </w:r>
      <w:r w:rsidRPr="00837BC5">
        <w:rPr>
          <w:rFonts w:ascii="Calibri" w:hAnsi="Calibri" w:cs="Arial"/>
          <w:sz w:val="24"/>
        </w:rPr>
        <w:t xml:space="preserve">w przypadkach wskazanych w </w:t>
      </w:r>
      <w:bookmarkStart w:id="256" w:name="_Hlk129938304"/>
      <w:r w:rsidRPr="00837BC5">
        <w:rPr>
          <w:rFonts w:ascii="Calibri" w:hAnsi="Calibri" w:cs="Arial"/>
          <w:i/>
          <w:sz w:val="24"/>
        </w:rPr>
        <w:t xml:space="preserve">Wytycznych w zakresie zagadnień związanych </w:t>
      </w:r>
      <w:r w:rsidRPr="00837BC5">
        <w:rPr>
          <w:rFonts w:ascii="Calibri" w:hAnsi="Calibri" w:cs="Arial"/>
          <w:i/>
          <w:sz w:val="24"/>
        </w:rPr>
        <w:br/>
        <w:t>z przygotowaniem projektów inwestycyjnych, w tym hybrydowych na lata 2021-2027</w:t>
      </w:r>
      <w:bookmarkEnd w:id="256"/>
      <w:r w:rsidRPr="00837BC5">
        <w:rPr>
          <w:rFonts w:ascii="Calibri" w:hAnsi="Calibri" w:cs="Arial"/>
          <w:b/>
          <w:i/>
          <w:sz w:val="24"/>
        </w:rPr>
        <w:t>.</w:t>
      </w:r>
      <w:bookmarkStart w:id="257" w:name="_Toc219062788"/>
      <w:bookmarkStart w:id="258" w:name="_Toc219063086"/>
      <w:bookmarkEnd w:id="257"/>
      <w:bookmarkEnd w:id="258"/>
    </w:p>
    <w:p w14:paraId="42994AAA" w14:textId="4F23C620" w:rsidR="00C2071D" w:rsidRPr="00837BC5" w:rsidRDefault="00C2071D" w:rsidP="004D0859">
      <w:pPr>
        <w:pStyle w:val="Akapit"/>
        <w:keepNext w:val="0"/>
        <w:numPr>
          <w:ilvl w:val="0"/>
          <w:numId w:val="31"/>
        </w:numPr>
        <w:spacing w:after="120" w:line="276" w:lineRule="auto"/>
        <w:jc w:val="left"/>
        <w:rPr>
          <w:rFonts w:ascii="Calibri" w:hAnsi="Calibri" w:cs="Arial"/>
          <w:sz w:val="24"/>
        </w:rPr>
      </w:pPr>
      <w:r w:rsidRPr="00837BC5">
        <w:rPr>
          <w:rFonts w:ascii="Calibri" w:hAnsi="Calibri" w:cs="Arial"/>
          <w:sz w:val="24"/>
        </w:rPr>
        <w:t xml:space="preserve">Zestawienie kategorii przepływów pieniężnych branych pod uwagę w celu wyliczenia poszczególnych wskaźników efektywności finansowej oraz wzory do obliczenia </w:t>
      </w:r>
      <w:r w:rsidRPr="00837BC5">
        <w:rPr>
          <w:rFonts w:ascii="Calibri" w:hAnsi="Calibri" w:cs="Arial"/>
          <w:sz w:val="24"/>
        </w:rPr>
        <w:lastRenderedPageBreak/>
        <w:t xml:space="preserve">powyższych wskaźników zostały przedstawione w Załączniku 1 do </w:t>
      </w:r>
      <w:r w:rsidR="00837BC5" w:rsidRPr="00837BC5">
        <w:rPr>
          <w:rFonts w:ascii="Calibri" w:hAnsi="Calibri" w:cs="Arial"/>
          <w:i/>
          <w:sz w:val="24"/>
          <w:lang w:val="pl-PL"/>
        </w:rPr>
        <w:t>Wytycznych w zakresie zagadnień związanych z przygotowaniem projektów inwestycyjnych, w tym hybrydowych na lata 2021-2027</w:t>
      </w:r>
      <w:r w:rsidRPr="00837BC5">
        <w:rPr>
          <w:rFonts w:ascii="Calibri" w:hAnsi="Calibri" w:cs="Arial"/>
          <w:sz w:val="24"/>
        </w:rPr>
        <w:t xml:space="preserve">, jak również w </w:t>
      </w:r>
      <w:r w:rsidRPr="00837BC5">
        <w:rPr>
          <w:rFonts w:ascii="Calibri" w:hAnsi="Calibri" w:cs="Arial"/>
          <w:i/>
          <w:sz w:val="24"/>
        </w:rPr>
        <w:t>Przewodniku AKK</w:t>
      </w:r>
      <w:r w:rsidRPr="00837BC5">
        <w:rPr>
          <w:rFonts w:ascii="Calibri" w:hAnsi="Calibri" w:cs="Arial"/>
          <w:sz w:val="24"/>
        </w:rPr>
        <w:t xml:space="preserve">. </w:t>
      </w:r>
      <w:bookmarkStart w:id="259" w:name="_Toc219062789"/>
      <w:bookmarkStart w:id="260" w:name="_Toc219063087"/>
      <w:bookmarkEnd w:id="259"/>
      <w:bookmarkEnd w:id="260"/>
    </w:p>
    <w:p w14:paraId="0DD22E7B" w14:textId="54EE120A" w:rsidR="00C2071D" w:rsidRPr="004B77D6" w:rsidRDefault="00C2071D" w:rsidP="00E3070A">
      <w:pPr>
        <w:tabs>
          <w:tab w:val="num" w:pos="993"/>
        </w:tabs>
        <w:spacing w:before="240" w:after="120" w:line="276" w:lineRule="auto"/>
        <w:rPr>
          <w:rFonts w:ascii="Calibri" w:hAnsi="Calibri" w:cs="Arial"/>
          <w:b/>
          <w:szCs w:val="24"/>
        </w:rPr>
      </w:pPr>
      <w:r w:rsidRPr="004B77D6">
        <w:rPr>
          <w:rFonts w:ascii="Calibri" w:hAnsi="Calibri" w:cs="Arial"/>
          <w:b/>
          <w:szCs w:val="24"/>
        </w:rPr>
        <w:t>Analiza trwałości finansowej</w:t>
      </w:r>
      <w:bookmarkStart w:id="261" w:name="_Toc219062790"/>
      <w:bookmarkStart w:id="262" w:name="_Toc219063088"/>
      <w:bookmarkEnd w:id="261"/>
      <w:bookmarkEnd w:id="262"/>
    </w:p>
    <w:p w14:paraId="534DEC8A" w14:textId="1A1D45F1" w:rsidR="00C2071D" w:rsidRPr="004B77D6" w:rsidRDefault="005E7CD2" w:rsidP="004D0859">
      <w:pPr>
        <w:numPr>
          <w:ilvl w:val="0"/>
          <w:numId w:val="43"/>
        </w:numPr>
        <w:suppressAutoHyphens w:val="0"/>
        <w:autoSpaceDE w:val="0"/>
        <w:autoSpaceDN w:val="0"/>
        <w:adjustRightInd w:val="0"/>
        <w:spacing w:after="120" w:line="276" w:lineRule="auto"/>
        <w:ind w:left="360"/>
        <w:rPr>
          <w:rFonts w:ascii="Calibri" w:hAnsi="Calibri" w:cs="Arial"/>
          <w:color w:val="000000"/>
          <w:szCs w:val="24"/>
        </w:rPr>
      </w:pPr>
      <w:r w:rsidRPr="005E7CD2">
        <w:rPr>
          <w:rFonts w:ascii="Calibri" w:hAnsi="Calibri" w:cs="Arial"/>
          <w:color w:val="000000"/>
          <w:szCs w:val="24"/>
        </w:rPr>
        <w:t xml:space="preserve">Zgodnie z art. 73 ust. 2 lit. d rozporządzenia nr 2021/1060 analiza trwałości finansowej projektu polega na wykazaniu, że beneficjent dysponuje niezbędnymi zasobami, aby pokryć koszty eksploatacji i utrzymania inwestycji realizowanej w ramach projektu zarówno na etapie inwestycyjnym, jak i operacyjnym. Analizę trwałości należy przeprowadzić dla wszystkich projektów obejmujących inwestycje w infrastrukturę lub inwestycje produkcyjne, w przypadku których dla uzyskania dofinansowania wymagane jest przedłożenie </w:t>
      </w:r>
      <w:r>
        <w:rPr>
          <w:rFonts w:ascii="Calibri" w:hAnsi="Calibri" w:cs="Arial"/>
          <w:color w:val="000000"/>
          <w:szCs w:val="24"/>
        </w:rPr>
        <w:t>S</w:t>
      </w:r>
      <w:r w:rsidRPr="005E7CD2">
        <w:rPr>
          <w:rFonts w:ascii="Calibri" w:hAnsi="Calibri" w:cs="Arial"/>
          <w:color w:val="000000"/>
          <w:szCs w:val="24"/>
        </w:rPr>
        <w:t xml:space="preserve">tudium </w:t>
      </w:r>
      <w:r>
        <w:rPr>
          <w:rFonts w:ascii="Calibri" w:hAnsi="Calibri" w:cs="Arial"/>
          <w:color w:val="000000"/>
          <w:szCs w:val="24"/>
        </w:rPr>
        <w:t>W</w:t>
      </w:r>
      <w:r w:rsidRPr="005E7CD2">
        <w:rPr>
          <w:rFonts w:ascii="Calibri" w:hAnsi="Calibri" w:cs="Arial"/>
          <w:color w:val="000000"/>
          <w:szCs w:val="24"/>
        </w:rPr>
        <w:t xml:space="preserve">ykonalności </w:t>
      </w:r>
      <w:r>
        <w:rPr>
          <w:rFonts w:ascii="Calibri" w:hAnsi="Calibri" w:cs="Arial"/>
          <w:color w:val="000000"/>
          <w:szCs w:val="24"/>
        </w:rPr>
        <w:t>Inwestycji.</w:t>
      </w:r>
      <w:bookmarkStart w:id="263" w:name="_Toc219062791"/>
      <w:bookmarkStart w:id="264" w:name="_Toc219063089"/>
      <w:bookmarkEnd w:id="263"/>
      <w:bookmarkEnd w:id="264"/>
    </w:p>
    <w:p w14:paraId="6F784B63" w14:textId="522F1E8D" w:rsidR="00C2071D" w:rsidRPr="004B77D6" w:rsidRDefault="00C2071D" w:rsidP="004D0859">
      <w:pPr>
        <w:numPr>
          <w:ilvl w:val="0"/>
          <w:numId w:val="43"/>
        </w:numPr>
        <w:suppressAutoHyphens w:val="0"/>
        <w:autoSpaceDE w:val="0"/>
        <w:autoSpaceDN w:val="0"/>
        <w:adjustRightInd w:val="0"/>
        <w:spacing w:after="120" w:line="276" w:lineRule="auto"/>
        <w:ind w:left="360"/>
        <w:rPr>
          <w:rFonts w:ascii="Calibri" w:hAnsi="Calibri" w:cs="Arial"/>
          <w:color w:val="000000"/>
          <w:szCs w:val="24"/>
        </w:rPr>
      </w:pPr>
      <w:r w:rsidRPr="004B77D6">
        <w:rPr>
          <w:rFonts w:ascii="Calibri" w:hAnsi="Calibri" w:cs="Arial"/>
          <w:color w:val="000000"/>
          <w:szCs w:val="24"/>
        </w:rPr>
        <w:t xml:space="preserve">Analiza trwałości finansowej projektu powinna obejmować co najmniej następujące działania: </w:t>
      </w:r>
      <w:bookmarkStart w:id="265" w:name="_Toc219062792"/>
      <w:bookmarkStart w:id="266" w:name="_Toc219063090"/>
      <w:bookmarkEnd w:id="265"/>
      <w:bookmarkEnd w:id="266"/>
    </w:p>
    <w:p w14:paraId="74F10C53" w14:textId="3543A3AC" w:rsidR="00C2071D" w:rsidRPr="004B77D6" w:rsidRDefault="00C2071D" w:rsidP="004D0859">
      <w:pPr>
        <w:numPr>
          <w:ilvl w:val="0"/>
          <w:numId w:val="44"/>
        </w:numPr>
        <w:tabs>
          <w:tab w:val="left" w:pos="360"/>
        </w:tabs>
        <w:suppressAutoHyphens w:val="0"/>
        <w:autoSpaceDE w:val="0"/>
        <w:autoSpaceDN w:val="0"/>
        <w:adjustRightInd w:val="0"/>
        <w:spacing w:after="120" w:line="276" w:lineRule="auto"/>
        <w:ind w:left="1080"/>
        <w:rPr>
          <w:rFonts w:ascii="Calibri" w:hAnsi="Calibri" w:cs="Arial"/>
          <w:color w:val="000000"/>
          <w:szCs w:val="24"/>
        </w:rPr>
      </w:pPr>
      <w:r w:rsidRPr="004B77D6">
        <w:rPr>
          <w:rFonts w:ascii="Calibri" w:hAnsi="Calibri" w:cs="Arial"/>
          <w:color w:val="000000"/>
          <w:szCs w:val="24"/>
        </w:rPr>
        <w:t xml:space="preserve">analizę zasobów finansowych projektu, </w:t>
      </w:r>
      <w:bookmarkStart w:id="267" w:name="_Toc219062793"/>
      <w:bookmarkStart w:id="268" w:name="_Toc219063091"/>
      <w:bookmarkEnd w:id="267"/>
      <w:bookmarkEnd w:id="268"/>
    </w:p>
    <w:p w14:paraId="5E72B3A0" w14:textId="222E7E08" w:rsidR="00C2071D" w:rsidRPr="004B77D6" w:rsidRDefault="00C2071D" w:rsidP="004D0859">
      <w:pPr>
        <w:numPr>
          <w:ilvl w:val="0"/>
          <w:numId w:val="44"/>
        </w:numPr>
        <w:tabs>
          <w:tab w:val="left" w:pos="360"/>
        </w:tabs>
        <w:suppressAutoHyphens w:val="0"/>
        <w:autoSpaceDE w:val="0"/>
        <w:autoSpaceDN w:val="0"/>
        <w:adjustRightInd w:val="0"/>
        <w:spacing w:after="120" w:line="276" w:lineRule="auto"/>
        <w:ind w:left="1080"/>
        <w:rPr>
          <w:rFonts w:ascii="Calibri" w:hAnsi="Calibri" w:cs="Arial"/>
          <w:color w:val="000000"/>
          <w:szCs w:val="24"/>
        </w:rPr>
      </w:pPr>
      <w:r w:rsidRPr="004B77D6">
        <w:rPr>
          <w:rFonts w:ascii="Calibri" w:hAnsi="Calibri" w:cs="Arial"/>
          <w:color w:val="000000"/>
          <w:szCs w:val="24"/>
        </w:rPr>
        <w:t xml:space="preserve">analizę sytuacji finansowej </w:t>
      </w:r>
      <w:r w:rsidR="004E4EE7">
        <w:rPr>
          <w:rFonts w:ascii="Calibri" w:hAnsi="Calibri" w:cs="Arial"/>
          <w:color w:val="000000"/>
          <w:szCs w:val="24"/>
        </w:rPr>
        <w:t>W</w:t>
      </w:r>
      <w:r w:rsidRPr="004B77D6">
        <w:rPr>
          <w:rFonts w:ascii="Calibri" w:hAnsi="Calibri" w:cs="Arial"/>
          <w:color w:val="000000"/>
          <w:szCs w:val="24"/>
        </w:rPr>
        <w:t xml:space="preserve">nioskodawcy/operatora z projektem. </w:t>
      </w:r>
      <w:bookmarkStart w:id="269" w:name="_Toc219062794"/>
      <w:bookmarkStart w:id="270" w:name="_Toc219063092"/>
      <w:bookmarkEnd w:id="269"/>
      <w:bookmarkEnd w:id="270"/>
    </w:p>
    <w:p w14:paraId="7161FB7B" w14:textId="340F2FF2" w:rsidR="00C2071D" w:rsidRPr="004B77D6" w:rsidRDefault="005E7CD2" w:rsidP="004D0859">
      <w:pPr>
        <w:numPr>
          <w:ilvl w:val="0"/>
          <w:numId w:val="43"/>
        </w:numPr>
        <w:suppressAutoHyphens w:val="0"/>
        <w:autoSpaceDE w:val="0"/>
        <w:autoSpaceDN w:val="0"/>
        <w:adjustRightInd w:val="0"/>
        <w:spacing w:after="120" w:line="276" w:lineRule="auto"/>
        <w:ind w:left="360"/>
        <w:rPr>
          <w:rFonts w:ascii="Calibri" w:hAnsi="Calibri" w:cs="Arial"/>
          <w:color w:val="000000"/>
          <w:szCs w:val="24"/>
        </w:rPr>
      </w:pPr>
      <w:r w:rsidRPr="005E7CD2">
        <w:rPr>
          <w:rFonts w:ascii="Calibri" w:hAnsi="Calibri" w:cs="Arial"/>
          <w:color w:val="000000"/>
          <w:szCs w:val="24"/>
        </w:rPr>
        <w:t xml:space="preserve">Analiza zasobów finansowych projektu zakłada dokonanie weryfikacji trwałości finansowej projektu i polega na zbadaniu salda niezdyskontowanych skumulowanych przepływów pieniężnych generowanych przez projekt, z uwzględnieniem dofinansowania projektu z funduszy UE. Projekt uznaje się za trwały finansowo, jeżeli saldo to jest większe bądź równe zeru we wszystkich latach objętych analizą. Oznacza to wówczas, </w:t>
      </w:r>
      <w:r w:rsidR="006E53A8">
        <w:rPr>
          <w:rFonts w:ascii="Calibri" w:hAnsi="Calibri" w:cs="Arial"/>
          <w:color w:val="000000"/>
          <w:szCs w:val="24"/>
        </w:rPr>
        <w:br/>
      </w:r>
      <w:r w:rsidRPr="005E7CD2">
        <w:rPr>
          <w:rFonts w:ascii="Calibri" w:hAnsi="Calibri" w:cs="Arial"/>
          <w:color w:val="000000"/>
          <w:szCs w:val="24"/>
        </w:rPr>
        <w:t>że planowane wpływy (w tym z tytułu dofinansowania z funduszy UE) i wydatki zostały odpowiednio czasowo zharmonizowane tak, że przedsięwzięcie ma zapewnioną płynność finansową</w:t>
      </w:r>
      <w:r>
        <w:rPr>
          <w:rFonts w:ascii="Calibri" w:hAnsi="Calibri" w:cs="Arial"/>
          <w:color w:val="000000"/>
          <w:szCs w:val="24"/>
        </w:rPr>
        <w:t>.</w:t>
      </w:r>
      <w:bookmarkStart w:id="271" w:name="_Toc219062795"/>
      <w:bookmarkStart w:id="272" w:name="_Toc219063093"/>
      <w:bookmarkEnd w:id="271"/>
      <w:bookmarkEnd w:id="272"/>
    </w:p>
    <w:p w14:paraId="56F98F46" w14:textId="62595559" w:rsidR="00C2071D" w:rsidRDefault="00C2071D" w:rsidP="004D0859">
      <w:pPr>
        <w:numPr>
          <w:ilvl w:val="0"/>
          <w:numId w:val="43"/>
        </w:numPr>
        <w:suppressAutoHyphens w:val="0"/>
        <w:autoSpaceDE w:val="0"/>
        <w:autoSpaceDN w:val="0"/>
        <w:adjustRightInd w:val="0"/>
        <w:spacing w:after="120" w:line="276" w:lineRule="auto"/>
        <w:ind w:left="360"/>
        <w:rPr>
          <w:rFonts w:ascii="Calibri" w:hAnsi="Calibri" w:cs="Arial"/>
          <w:color w:val="000000"/>
          <w:szCs w:val="24"/>
        </w:rPr>
      </w:pPr>
      <w:r w:rsidRPr="004B77D6">
        <w:rPr>
          <w:rFonts w:ascii="Calibri" w:hAnsi="Calibri" w:cs="Arial"/>
          <w:color w:val="000000"/>
          <w:szCs w:val="24"/>
        </w:rPr>
        <w:t xml:space="preserve">Analiza sytuacji finansowej </w:t>
      </w:r>
      <w:r w:rsidR="004E4EE7">
        <w:rPr>
          <w:rFonts w:ascii="Calibri" w:hAnsi="Calibri" w:cs="Arial"/>
          <w:color w:val="000000"/>
          <w:szCs w:val="24"/>
        </w:rPr>
        <w:t>W</w:t>
      </w:r>
      <w:r w:rsidRPr="004B77D6">
        <w:rPr>
          <w:rFonts w:ascii="Calibri" w:hAnsi="Calibri" w:cs="Arial"/>
          <w:color w:val="000000"/>
          <w:szCs w:val="24"/>
        </w:rPr>
        <w:t xml:space="preserve">nioskodawcy/operatora polega na sprawdzeniu trwałości finansowej nie tylko samego projektu, ale również </w:t>
      </w:r>
      <w:r w:rsidR="004E4EE7">
        <w:rPr>
          <w:rFonts w:ascii="Calibri" w:hAnsi="Calibri" w:cs="Arial"/>
          <w:color w:val="000000"/>
          <w:szCs w:val="24"/>
        </w:rPr>
        <w:t>W</w:t>
      </w:r>
      <w:r w:rsidRPr="004B77D6">
        <w:rPr>
          <w:rFonts w:ascii="Calibri" w:hAnsi="Calibri" w:cs="Arial"/>
          <w:color w:val="000000"/>
          <w:szCs w:val="24"/>
        </w:rPr>
        <w:t xml:space="preserve">nioskodawcy/operatora </w:t>
      </w:r>
      <w:r w:rsidRPr="004B77D6">
        <w:rPr>
          <w:rFonts w:ascii="Calibri" w:hAnsi="Calibri" w:cs="Arial"/>
          <w:color w:val="000000"/>
          <w:szCs w:val="24"/>
        </w:rPr>
        <w:br/>
        <w:t xml:space="preserve">z projektem. Jeżeli operator zbankrutuje, trwałość samej inwestycji może stracić znaczenie. Analiza przepływów pieniężnych powinna wykazać, że beneficjent/operator </w:t>
      </w:r>
      <w:r w:rsidRPr="004B77D6">
        <w:rPr>
          <w:rFonts w:ascii="Calibri" w:hAnsi="Calibri" w:cs="Arial"/>
          <w:color w:val="000000"/>
          <w:szCs w:val="24"/>
        </w:rPr>
        <w:br/>
        <w:t xml:space="preserve">z projektem ma dodatnie roczne saldo przepływów pieniężnych na koniec każdego roku, we wszystkich latach objętych analizą. </w:t>
      </w:r>
      <w:bookmarkStart w:id="273" w:name="_Toc219062796"/>
      <w:bookmarkStart w:id="274" w:name="_Toc219063094"/>
      <w:bookmarkEnd w:id="273"/>
      <w:bookmarkEnd w:id="274"/>
    </w:p>
    <w:p w14:paraId="33927B23" w14:textId="08E7A21A" w:rsidR="009370FF" w:rsidRPr="004B77D6" w:rsidRDefault="009370FF" w:rsidP="004D0859">
      <w:pPr>
        <w:numPr>
          <w:ilvl w:val="0"/>
          <w:numId w:val="43"/>
        </w:numPr>
        <w:suppressAutoHyphens w:val="0"/>
        <w:autoSpaceDE w:val="0"/>
        <w:autoSpaceDN w:val="0"/>
        <w:adjustRightInd w:val="0"/>
        <w:spacing w:after="120" w:line="276" w:lineRule="auto"/>
        <w:ind w:left="360"/>
        <w:rPr>
          <w:rFonts w:ascii="Calibri" w:hAnsi="Calibri" w:cs="Arial"/>
          <w:color w:val="000000"/>
          <w:szCs w:val="24"/>
        </w:rPr>
      </w:pPr>
      <w:r w:rsidRPr="009370FF">
        <w:rPr>
          <w:rFonts w:ascii="Calibri" w:hAnsi="Calibri" w:cs="Arial"/>
          <w:color w:val="000000"/>
          <w:szCs w:val="24"/>
        </w:rPr>
        <w:t xml:space="preserve">Analizę trwałości finansowej przeprowadza się w wartościach niezdyskontowanych, </w:t>
      </w:r>
      <w:r w:rsidR="009C07F8">
        <w:rPr>
          <w:rFonts w:ascii="Calibri" w:hAnsi="Calibri" w:cs="Arial"/>
          <w:color w:val="000000"/>
          <w:szCs w:val="24"/>
        </w:rPr>
        <w:br/>
      </w:r>
      <w:r w:rsidRPr="009370FF">
        <w:rPr>
          <w:rFonts w:ascii="Calibri" w:hAnsi="Calibri" w:cs="Arial"/>
          <w:color w:val="000000"/>
          <w:szCs w:val="24"/>
        </w:rPr>
        <w:t>w oparciu o ceny stałe lub bieżącego, zależnie od tego, w jakich cena prowadzona była analiza finansowa</w:t>
      </w:r>
      <w:r>
        <w:rPr>
          <w:rFonts w:ascii="Calibri" w:hAnsi="Calibri" w:cs="Arial"/>
          <w:color w:val="000000"/>
          <w:szCs w:val="24"/>
        </w:rPr>
        <w:t>.</w:t>
      </w:r>
      <w:bookmarkStart w:id="275" w:name="_Toc219062797"/>
      <w:bookmarkStart w:id="276" w:name="_Toc219063095"/>
      <w:bookmarkEnd w:id="275"/>
      <w:bookmarkEnd w:id="276"/>
    </w:p>
    <w:p w14:paraId="3EFA585B" w14:textId="468D0A68" w:rsidR="00C2071D" w:rsidRPr="004B77D6" w:rsidRDefault="00C2071D" w:rsidP="004D0859">
      <w:pPr>
        <w:numPr>
          <w:ilvl w:val="0"/>
          <w:numId w:val="43"/>
        </w:numPr>
        <w:suppressAutoHyphens w:val="0"/>
        <w:autoSpaceDE w:val="0"/>
        <w:autoSpaceDN w:val="0"/>
        <w:adjustRightInd w:val="0"/>
        <w:spacing w:after="120" w:line="276" w:lineRule="auto"/>
        <w:ind w:left="360"/>
        <w:rPr>
          <w:rFonts w:ascii="Calibri" w:hAnsi="Calibri" w:cs="Arial"/>
          <w:color w:val="000000"/>
          <w:szCs w:val="24"/>
        </w:rPr>
      </w:pPr>
      <w:r w:rsidRPr="004B77D6">
        <w:rPr>
          <w:rFonts w:ascii="Calibri" w:hAnsi="Calibri" w:cs="Arial"/>
          <w:color w:val="000000"/>
          <w:szCs w:val="24"/>
        </w:rPr>
        <w:t xml:space="preserve">Przy analizie trwałości finansowej bierze się pod uwagę wszystkie przypływy pieniężne, </w:t>
      </w:r>
      <w:r w:rsidRPr="004B77D6">
        <w:rPr>
          <w:rFonts w:ascii="Calibri" w:hAnsi="Calibri" w:cs="Arial"/>
          <w:color w:val="000000"/>
          <w:szCs w:val="24"/>
        </w:rPr>
        <w:br/>
        <w:t>w tym również te wpływy na rzecz projektu, które nie stanowią przychodów np. dotacje o charakterze operacyjnym.</w:t>
      </w:r>
      <w:bookmarkStart w:id="277" w:name="_Toc219062798"/>
      <w:bookmarkStart w:id="278" w:name="_Toc219063096"/>
      <w:bookmarkEnd w:id="277"/>
      <w:bookmarkEnd w:id="278"/>
    </w:p>
    <w:p w14:paraId="61973B87" w14:textId="4C40B7EE" w:rsidR="00C2071D" w:rsidRPr="004B77D6" w:rsidRDefault="00C2071D" w:rsidP="00E3070A">
      <w:pPr>
        <w:pStyle w:val="Tekstpodstawowy22"/>
        <w:spacing w:before="360" w:after="120" w:line="276" w:lineRule="auto"/>
        <w:jc w:val="left"/>
        <w:rPr>
          <w:rFonts w:ascii="Calibri" w:hAnsi="Calibri" w:cs="Arial"/>
          <w:b/>
          <w:szCs w:val="24"/>
        </w:rPr>
      </w:pPr>
      <w:r w:rsidRPr="004B77D6">
        <w:rPr>
          <w:rFonts w:ascii="Calibri" w:hAnsi="Calibri" w:cs="Arial"/>
          <w:b/>
          <w:szCs w:val="24"/>
        </w:rPr>
        <w:lastRenderedPageBreak/>
        <w:t>Zestawienie kategorii przepływów pieniężnych branych pod uwagę w celu wyznaczenia wskaźników efektywności finansowej oraz wzory do obliczenia tych wskaźników</w:t>
      </w:r>
      <w:bookmarkStart w:id="279" w:name="_Toc219062799"/>
      <w:bookmarkStart w:id="280" w:name="_Toc219063097"/>
      <w:bookmarkEnd w:id="279"/>
      <w:bookmarkEnd w:id="280"/>
    </w:p>
    <w:p w14:paraId="01D38A54" w14:textId="52F4C9D9" w:rsidR="00C2071D" w:rsidRPr="004B77D6" w:rsidRDefault="00C2071D" w:rsidP="004D0859">
      <w:pPr>
        <w:pStyle w:val="Tekstpodstawowy22"/>
        <w:numPr>
          <w:ilvl w:val="0"/>
          <w:numId w:val="33"/>
        </w:numPr>
        <w:spacing w:after="120" w:line="276" w:lineRule="auto"/>
        <w:jc w:val="left"/>
        <w:rPr>
          <w:rFonts w:ascii="Calibri" w:hAnsi="Calibri" w:cs="Arial"/>
          <w:b/>
          <w:bCs/>
          <w:color w:val="000000"/>
          <w:szCs w:val="24"/>
        </w:rPr>
      </w:pPr>
      <w:r w:rsidRPr="004B77D6">
        <w:rPr>
          <w:rFonts w:ascii="Calibri" w:hAnsi="Calibri" w:cs="Arial"/>
          <w:b/>
          <w:bCs/>
          <w:color w:val="000000"/>
          <w:szCs w:val="24"/>
        </w:rPr>
        <w:t>Wskaźniki efektywności finansowej projektu</w:t>
      </w:r>
      <w:bookmarkStart w:id="281" w:name="_Toc219062800"/>
      <w:bookmarkStart w:id="282" w:name="_Toc219063098"/>
      <w:bookmarkEnd w:id="281"/>
      <w:bookmarkEnd w:id="282"/>
    </w:p>
    <w:p w14:paraId="2B6E7BA7" w14:textId="07FBB15C" w:rsidR="00C2071D" w:rsidRPr="004B77D6" w:rsidRDefault="00C2071D" w:rsidP="004D0859">
      <w:pPr>
        <w:pStyle w:val="Tekstpodstawowy22"/>
        <w:numPr>
          <w:ilvl w:val="2"/>
          <w:numId w:val="28"/>
        </w:numPr>
        <w:tabs>
          <w:tab w:val="clear" w:pos="2520"/>
        </w:tabs>
        <w:spacing w:line="276" w:lineRule="auto"/>
        <w:ind w:left="1276" w:hanging="283"/>
        <w:jc w:val="left"/>
        <w:rPr>
          <w:rFonts w:ascii="Calibri" w:hAnsi="Calibri" w:cs="Arial"/>
          <w:color w:val="000000"/>
          <w:szCs w:val="24"/>
        </w:rPr>
      </w:pPr>
      <w:r w:rsidRPr="004B77D6">
        <w:rPr>
          <w:rFonts w:ascii="Calibri" w:hAnsi="Calibri" w:cs="Arial"/>
          <w:color w:val="000000"/>
          <w:szCs w:val="24"/>
        </w:rPr>
        <w:t>Kategorie przepływów pieniężnych branych pod uwagę w celu wyliczenia wskaźników efektywności finansowej.</w:t>
      </w:r>
      <w:bookmarkStart w:id="283" w:name="_Toc219062801"/>
      <w:bookmarkStart w:id="284" w:name="_Toc219063099"/>
      <w:bookmarkEnd w:id="283"/>
      <w:bookmarkEnd w:id="284"/>
    </w:p>
    <w:p w14:paraId="05406776" w14:textId="1A8194D9" w:rsidR="00C2071D" w:rsidRPr="004B77D6" w:rsidRDefault="00C2071D" w:rsidP="00C2071D">
      <w:pPr>
        <w:pStyle w:val="Tekstpodstawowy22"/>
        <w:spacing w:line="276" w:lineRule="auto"/>
        <w:jc w:val="left"/>
        <w:rPr>
          <w:rFonts w:ascii="Calibri" w:hAnsi="Calibri" w:cs="Arial"/>
          <w:b/>
          <w:color w:val="000000"/>
          <w:szCs w:val="24"/>
        </w:rPr>
      </w:pPr>
      <w:bookmarkStart w:id="285" w:name="_Toc219062802"/>
      <w:bookmarkStart w:id="286" w:name="_Toc219063100"/>
      <w:bookmarkEnd w:id="285"/>
      <w:bookmarkEnd w:id="286"/>
      <w:r w:rsidRPr="004B77D6">
        <w:rPr>
          <w:rFonts w:ascii="Calibri" w:hAnsi="Calibri" w:cs="Arial"/>
          <w:b/>
          <w:color w:val="000000"/>
          <w:szCs w:val="24"/>
        </w:rPr>
        <w:t>FNPV/C, FRR/C:</w:t>
      </w:r>
      <w:bookmarkStart w:id="287" w:name="_Toc219062803"/>
      <w:bookmarkStart w:id="288" w:name="_Toc219063101"/>
      <w:bookmarkEnd w:id="287"/>
      <w:bookmarkEnd w:id="288"/>
    </w:p>
    <w:p w14:paraId="12CDBA3D" w14:textId="1B43C16B" w:rsidR="00C2071D" w:rsidRPr="004B77D6" w:rsidRDefault="00C2071D" w:rsidP="004D0859">
      <w:pPr>
        <w:pStyle w:val="Tekstpodstawowy22"/>
        <w:numPr>
          <w:ilvl w:val="0"/>
          <w:numId w:val="29"/>
        </w:numPr>
        <w:spacing w:line="276" w:lineRule="auto"/>
        <w:jc w:val="left"/>
        <w:rPr>
          <w:rFonts w:ascii="Calibri" w:hAnsi="Calibri" w:cs="Arial"/>
          <w:color w:val="000000"/>
          <w:szCs w:val="24"/>
        </w:rPr>
      </w:pPr>
      <w:r w:rsidRPr="004B77D6">
        <w:rPr>
          <w:rFonts w:ascii="Calibri" w:hAnsi="Calibri" w:cs="Arial"/>
          <w:color w:val="000000"/>
          <w:szCs w:val="24"/>
        </w:rPr>
        <w:t>Przychody,</w:t>
      </w:r>
      <w:bookmarkStart w:id="289" w:name="_Toc219062804"/>
      <w:bookmarkStart w:id="290" w:name="_Toc219063102"/>
      <w:bookmarkEnd w:id="289"/>
      <w:bookmarkEnd w:id="290"/>
    </w:p>
    <w:p w14:paraId="796E7B9E" w14:textId="28F35109" w:rsidR="00C2071D" w:rsidRPr="004B77D6" w:rsidRDefault="00C2071D" w:rsidP="004D0859">
      <w:pPr>
        <w:pStyle w:val="Tekstpodstawowy22"/>
        <w:numPr>
          <w:ilvl w:val="0"/>
          <w:numId w:val="29"/>
        </w:numPr>
        <w:spacing w:line="276" w:lineRule="auto"/>
        <w:jc w:val="left"/>
        <w:rPr>
          <w:rFonts w:ascii="Calibri" w:hAnsi="Calibri" w:cs="Arial"/>
          <w:color w:val="000000"/>
          <w:szCs w:val="24"/>
        </w:rPr>
      </w:pPr>
      <w:r w:rsidRPr="004B77D6">
        <w:rPr>
          <w:rFonts w:ascii="Calibri" w:hAnsi="Calibri" w:cs="Arial"/>
          <w:color w:val="000000"/>
          <w:szCs w:val="24"/>
        </w:rPr>
        <w:t>Wartość rezydualna,</w:t>
      </w:r>
      <w:bookmarkStart w:id="291" w:name="_Toc219062805"/>
      <w:bookmarkStart w:id="292" w:name="_Toc219063103"/>
      <w:bookmarkEnd w:id="291"/>
      <w:bookmarkEnd w:id="292"/>
    </w:p>
    <w:p w14:paraId="1E8944DA" w14:textId="408F8747" w:rsidR="00C2071D" w:rsidRPr="004B77D6" w:rsidRDefault="00C2071D" w:rsidP="004D0859">
      <w:pPr>
        <w:pStyle w:val="Tekstpodstawowy22"/>
        <w:numPr>
          <w:ilvl w:val="0"/>
          <w:numId w:val="29"/>
        </w:numPr>
        <w:spacing w:line="276" w:lineRule="auto"/>
        <w:jc w:val="left"/>
        <w:rPr>
          <w:rFonts w:ascii="Calibri" w:hAnsi="Calibri" w:cs="Arial"/>
          <w:color w:val="000000"/>
          <w:szCs w:val="24"/>
        </w:rPr>
      </w:pPr>
      <w:r w:rsidRPr="004B77D6">
        <w:rPr>
          <w:rFonts w:ascii="Calibri" w:hAnsi="Calibri" w:cs="Arial"/>
          <w:color w:val="000000"/>
          <w:szCs w:val="24"/>
        </w:rPr>
        <w:t xml:space="preserve">Koszty operacyjne, </w:t>
      </w:r>
      <w:bookmarkStart w:id="293" w:name="_Toc219062806"/>
      <w:bookmarkStart w:id="294" w:name="_Toc219063104"/>
      <w:bookmarkEnd w:id="293"/>
      <w:bookmarkEnd w:id="294"/>
    </w:p>
    <w:p w14:paraId="13231AC4" w14:textId="7931228F" w:rsidR="00C2071D" w:rsidRPr="004B77D6" w:rsidRDefault="00C2071D" w:rsidP="004D0859">
      <w:pPr>
        <w:pStyle w:val="Tekstpodstawowy22"/>
        <w:numPr>
          <w:ilvl w:val="0"/>
          <w:numId w:val="29"/>
        </w:numPr>
        <w:spacing w:line="276" w:lineRule="auto"/>
        <w:jc w:val="left"/>
        <w:rPr>
          <w:rFonts w:ascii="Calibri" w:hAnsi="Calibri" w:cs="Arial"/>
          <w:color w:val="000000"/>
          <w:szCs w:val="24"/>
        </w:rPr>
      </w:pPr>
      <w:r w:rsidRPr="004B77D6">
        <w:rPr>
          <w:rFonts w:ascii="Calibri" w:hAnsi="Calibri" w:cs="Arial"/>
          <w:color w:val="000000"/>
          <w:szCs w:val="24"/>
        </w:rPr>
        <w:t>Zmiany w kapitale obrotowym netto w całym okresie odniesienia – fazie inwestycyjnej i operacyjnej (w uzasadnionych przypadkach),</w:t>
      </w:r>
      <w:bookmarkStart w:id="295" w:name="_Toc219062807"/>
      <w:bookmarkStart w:id="296" w:name="_Toc219063105"/>
      <w:bookmarkEnd w:id="295"/>
      <w:bookmarkEnd w:id="296"/>
    </w:p>
    <w:p w14:paraId="44C69430" w14:textId="5D76DED9" w:rsidR="00C2071D" w:rsidRPr="004B77D6" w:rsidRDefault="00C2071D" w:rsidP="004D0859">
      <w:pPr>
        <w:pStyle w:val="Tekstpodstawowy22"/>
        <w:numPr>
          <w:ilvl w:val="0"/>
          <w:numId w:val="29"/>
        </w:numPr>
        <w:spacing w:line="276" w:lineRule="auto"/>
        <w:jc w:val="left"/>
        <w:rPr>
          <w:rFonts w:ascii="Calibri" w:hAnsi="Calibri" w:cs="Arial"/>
          <w:color w:val="000000"/>
          <w:szCs w:val="24"/>
        </w:rPr>
      </w:pPr>
      <w:r w:rsidRPr="004B77D6">
        <w:rPr>
          <w:rFonts w:ascii="Calibri" w:hAnsi="Calibri" w:cs="Arial"/>
          <w:color w:val="000000"/>
          <w:szCs w:val="24"/>
        </w:rPr>
        <w:t>Nakłady odtworzeniowe w ramach projektu,</w:t>
      </w:r>
      <w:bookmarkStart w:id="297" w:name="_Toc219062808"/>
      <w:bookmarkStart w:id="298" w:name="_Toc219063106"/>
      <w:bookmarkEnd w:id="297"/>
      <w:bookmarkEnd w:id="298"/>
    </w:p>
    <w:p w14:paraId="112FDE1E" w14:textId="7C5191D8" w:rsidR="00C2071D" w:rsidRPr="004B77D6" w:rsidRDefault="00C2071D" w:rsidP="004D0859">
      <w:pPr>
        <w:pStyle w:val="Tekstpodstawowy22"/>
        <w:numPr>
          <w:ilvl w:val="0"/>
          <w:numId w:val="29"/>
        </w:numPr>
        <w:spacing w:after="240" w:line="276" w:lineRule="auto"/>
        <w:jc w:val="left"/>
        <w:rPr>
          <w:rFonts w:ascii="Calibri" w:hAnsi="Calibri" w:cs="Arial"/>
          <w:color w:val="000000"/>
          <w:szCs w:val="24"/>
        </w:rPr>
      </w:pPr>
      <w:r w:rsidRPr="004B77D6">
        <w:rPr>
          <w:rFonts w:ascii="Calibri" w:hAnsi="Calibri" w:cs="Arial"/>
          <w:color w:val="000000"/>
          <w:szCs w:val="24"/>
        </w:rPr>
        <w:t>Nakłady inwestycyjne na realizację projektu.</w:t>
      </w:r>
      <w:bookmarkStart w:id="299" w:name="_Toc219062809"/>
      <w:bookmarkStart w:id="300" w:name="_Toc219063107"/>
      <w:bookmarkEnd w:id="299"/>
      <w:bookmarkEnd w:id="300"/>
    </w:p>
    <w:p w14:paraId="7468CEDB" w14:textId="3809EA1D" w:rsidR="00C2071D" w:rsidRPr="004B77D6" w:rsidRDefault="00C2071D" w:rsidP="00C2071D">
      <w:pPr>
        <w:pStyle w:val="Tekstpodstawowy22"/>
        <w:spacing w:before="120" w:line="276" w:lineRule="auto"/>
        <w:jc w:val="left"/>
        <w:rPr>
          <w:rFonts w:ascii="Calibri" w:hAnsi="Calibri" w:cs="Arial"/>
          <w:b/>
          <w:color w:val="000000"/>
          <w:szCs w:val="24"/>
        </w:rPr>
      </w:pPr>
      <w:r w:rsidRPr="004B77D6">
        <w:rPr>
          <w:rFonts w:ascii="Calibri" w:hAnsi="Calibri" w:cs="Arial"/>
          <w:b/>
          <w:color w:val="000000"/>
          <w:szCs w:val="24"/>
        </w:rPr>
        <w:t>FNPV/K, FRR/K:</w:t>
      </w:r>
      <w:bookmarkStart w:id="301" w:name="_Toc219062810"/>
      <w:bookmarkStart w:id="302" w:name="_Toc219063108"/>
      <w:bookmarkEnd w:id="301"/>
      <w:bookmarkEnd w:id="302"/>
    </w:p>
    <w:p w14:paraId="73D49CF8" w14:textId="6479823F" w:rsidR="00C2071D" w:rsidRPr="004B77D6" w:rsidRDefault="00C2071D" w:rsidP="004D0859">
      <w:pPr>
        <w:pStyle w:val="Tekstpodstawowy22"/>
        <w:numPr>
          <w:ilvl w:val="0"/>
          <w:numId w:val="29"/>
        </w:numPr>
        <w:spacing w:line="276" w:lineRule="auto"/>
        <w:jc w:val="left"/>
        <w:rPr>
          <w:rFonts w:ascii="Calibri" w:hAnsi="Calibri" w:cs="Arial"/>
          <w:color w:val="000000"/>
          <w:szCs w:val="24"/>
        </w:rPr>
      </w:pPr>
      <w:r w:rsidRPr="004B77D6">
        <w:rPr>
          <w:rFonts w:ascii="Calibri" w:hAnsi="Calibri" w:cs="Arial"/>
          <w:color w:val="000000"/>
          <w:szCs w:val="24"/>
        </w:rPr>
        <w:t>Przychody,</w:t>
      </w:r>
      <w:bookmarkStart w:id="303" w:name="_Toc219062811"/>
      <w:bookmarkStart w:id="304" w:name="_Toc219063109"/>
      <w:bookmarkEnd w:id="303"/>
      <w:bookmarkEnd w:id="304"/>
    </w:p>
    <w:p w14:paraId="3E96C836" w14:textId="57E3A223" w:rsidR="00C2071D" w:rsidRPr="004B77D6" w:rsidRDefault="00C2071D" w:rsidP="004D0859">
      <w:pPr>
        <w:pStyle w:val="Tekstpodstawowy22"/>
        <w:numPr>
          <w:ilvl w:val="0"/>
          <w:numId w:val="29"/>
        </w:numPr>
        <w:spacing w:line="276" w:lineRule="auto"/>
        <w:jc w:val="left"/>
        <w:rPr>
          <w:rFonts w:ascii="Calibri" w:hAnsi="Calibri" w:cs="Arial"/>
          <w:color w:val="000000"/>
          <w:szCs w:val="24"/>
        </w:rPr>
      </w:pPr>
      <w:r w:rsidRPr="004B77D6">
        <w:rPr>
          <w:rFonts w:ascii="Calibri" w:hAnsi="Calibri" w:cs="Arial"/>
          <w:color w:val="000000"/>
          <w:szCs w:val="24"/>
        </w:rPr>
        <w:t>Wartość rezydualna,</w:t>
      </w:r>
      <w:bookmarkStart w:id="305" w:name="_Toc219062812"/>
      <w:bookmarkStart w:id="306" w:name="_Toc219063110"/>
      <w:bookmarkEnd w:id="305"/>
      <w:bookmarkEnd w:id="306"/>
    </w:p>
    <w:p w14:paraId="398B8BAC" w14:textId="10F4A81A" w:rsidR="00C2071D" w:rsidRPr="004B77D6" w:rsidRDefault="00C2071D" w:rsidP="004D0859">
      <w:pPr>
        <w:pStyle w:val="Tekstpodstawowy22"/>
        <w:numPr>
          <w:ilvl w:val="0"/>
          <w:numId w:val="29"/>
        </w:numPr>
        <w:spacing w:line="276" w:lineRule="auto"/>
        <w:jc w:val="left"/>
        <w:rPr>
          <w:rFonts w:ascii="Calibri" w:hAnsi="Calibri" w:cs="Arial"/>
          <w:color w:val="000000"/>
          <w:szCs w:val="24"/>
        </w:rPr>
      </w:pPr>
      <w:r w:rsidRPr="004B77D6">
        <w:rPr>
          <w:rFonts w:ascii="Calibri" w:hAnsi="Calibri" w:cs="Arial"/>
          <w:color w:val="000000"/>
          <w:szCs w:val="24"/>
        </w:rPr>
        <w:t>Koszty operacyjne,</w:t>
      </w:r>
      <w:bookmarkStart w:id="307" w:name="_Toc219062813"/>
      <w:bookmarkStart w:id="308" w:name="_Toc219063111"/>
      <w:bookmarkEnd w:id="307"/>
      <w:bookmarkEnd w:id="308"/>
    </w:p>
    <w:p w14:paraId="397A06F9" w14:textId="315FB2F5" w:rsidR="00C2071D" w:rsidRPr="004B77D6" w:rsidRDefault="00C2071D" w:rsidP="004D0859">
      <w:pPr>
        <w:pStyle w:val="Tekstpodstawowy22"/>
        <w:numPr>
          <w:ilvl w:val="0"/>
          <w:numId w:val="29"/>
        </w:numPr>
        <w:spacing w:line="276" w:lineRule="auto"/>
        <w:jc w:val="left"/>
        <w:rPr>
          <w:rFonts w:ascii="Calibri" w:hAnsi="Calibri" w:cs="Arial"/>
          <w:color w:val="000000"/>
          <w:szCs w:val="24"/>
        </w:rPr>
      </w:pPr>
      <w:r w:rsidRPr="004B77D6">
        <w:rPr>
          <w:rFonts w:ascii="Calibri" w:hAnsi="Calibri" w:cs="Arial"/>
          <w:color w:val="000000"/>
          <w:szCs w:val="24"/>
        </w:rPr>
        <w:t>Nakłady odtworzeniowe w ramach projektu, o ile nie uwzględniono ich w ramach pozycji „Wkład krajowy”,</w:t>
      </w:r>
      <w:bookmarkStart w:id="309" w:name="_Toc219062814"/>
      <w:bookmarkStart w:id="310" w:name="_Toc219063112"/>
      <w:bookmarkEnd w:id="309"/>
      <w:bookmarkEnd w:id="310"/>
    </w:p>
    <w:p w14:paraId="196A4EDC" w14:textId="0C66ACD2" w:rsidR="00C2071D" w:rsidRPr="004B77D6" w:rsidRDefault="00C2071D" w:rsidP="004D0859">
      <w:pPr>
        <w:pStyle w:val="Tekstpodstawowy22"/>
        <w:numPr>
          <w:ilvl w:val="0"/>
          <w:numId w:val="29"/>
        </w:numPr>
        <w:spacing w:line="276" w:lineRule="auto"/>
        <w:jc w:val="left"/>
        <w:rPr>
          <w:rFonts w:ascii="Calibri" w:hAnsi="Calibri" w:cs="Arial"/>
          <w:color w:val="000000"/>
          <w:szCs w:val="24"/>
        </w:rPr>
      </w:pPr>
      <w:r w:rsidRPr="004B77D6">
        <w:rPr>
          <w:rFonts w:ascii="Calibri" w:hAnsi="Calibri" w:cs="Arial"/>
          <w:color w:val="000000"/>
          <w:szCs w:val="24"/>
        </w:rPr>
        <w:t>Koszty finansowania, w tym odsetki,</w:t>
      </w:r>
      <w:bookmarkStart w:id="311" w:name="_Toc219062815"/>
      <w:bookmarkStart w:id="312" w:name="_Toc219063113"/>
      <w:bookmarkEnd w:id="311"/>
      <w:bookmarkEnd w:id="312"/>
    </w:p>
    <w:p w14:paraId="1E5FFD94" w14:textId="68B4BEE7" w:rsidR="00C2071D" w:rsidRPr="004B77D6" w:rsidRDefault="00C2071D" w:rsidP="004D0859">
      <w:pPr>
        <w:pStyle w:val="Tekstpodstawowy22"/>
        <w:numPr>
          <w:ilvl w:val="0"/>
          <w:numId w:val="29"/>
        </w:numPr>
        <w:spacing w:line="276" w:lineRule="auto"/>
        <w:jc w:val="left"/>
        <w:rPr>
          <w:rFonts w:ascii="Calibri" w:hAnsi="Calibri" w:cs="Arial"/>
          <w:color w:val="000000"/>
          <w:szCs w:val="24"/>
        </w:rPr>
      </w:pPr>
      <w:r w:rsidRPr="004B77D6">
        <w:rPr>
          <w:rFonts w:ascii="Calibri" w:hAnsi="Calibri" w:cs="Arial"/>
          <w:color w:val="000000"/>
          <w:szCs w:val="24"/>
        </w:rPr>
        <w:t>Spłaty kredytów,</w:t>
      </w:r>
      <w:bookmarkStart w:id="313" w:name="_Toc219062816"/>
      <w:bookmarkStart w:id="314" w:name="_Toc219063114"/>
      <w:bookmarkEnd w:id="313"/>
      <w:bookmarkEnd w:id="314"/>
    </w:p>
    <w:p w14:paraId="638FDE52" w14:textId="4FDDC093" w:rsidR="00C2071D" w:rsidRPr="004B77D6" w:rsidRDefault="00C2071D" w:rsidP="004D0859">
      <w:pPr>
        <w:pStyle w:val="Tekstpodstawowy22"/>
        <w:numPr>
          <w:ilvl w:val="0"/>
          <w:numId w:val="29"/>
        </w:numPr>
        <w:spacing w:line="276" w:lineRule="auto"/>
        <w:jc w:val="left"/>
        <w:rPr>
          <w:rFonts w:ascii="Calibri" w:hAnsi="Calibri" w:cs="Arial"/>
          <w:color w:val="000000"/>
          <w:szCs w:val="24"/>
        </w:rPr>
      </w:pPr>
      <w:r w:rsidRPr="004B77D6">
        <w:rPr>
          <w:rFonts w:ascii="Calibri" w:hAnsi="Calibri" w:cs="Arial"/>
          <w:color w:val="000000"/>
          <w:szCs w:val="24"/>
        </w:rPr>
        <w:t xml:space="preserve">Wkład krajowy (publiczny lub prywatny), w uzasadnionych </w:t>
      </w:r>
      <w:r w:rsidR="009C07F8" w:rsidRPr="004B77D6">
        <w:rPr>
          <w:rFonts w:ascii="Calibri" w:hAnsi="Calibri" w:cs="Arial"/>
          <w:color w:val="000000"/>
          <w:szCs w:val="24"/>
        </w:rPr>
        <w:t>przypadkach uwzględniający</w:t>
      </w:r>
      <w:r w:rsidRPr="004B77D6">
        <w:rPr>
          <w:rFonts w:ascii="Calibri" w:hAnsi="Calibri" w:cs="Arial"/>
          <w:color w:val="000000"/>
          <w:szCs w:val="24"/>
        </w:rPr>
        <w:t xml:space="preserve"> zmiany w kapitale obrotowym netto w całym okresie odniesienia </w:t>
      </w:r>
      <w:r w:rsidRPr="004B77D6">
        <w:rPr>
          <w:rFonts w:ascii="Calibri" w:hAnsi="Calibri" w:cs="Arial"/>
          <w:color w:val="000000"/>
          <w:szCs w:val="24"/>
        </w:rPr>
        <w:br/>
        <w:t>– fazie inwestycyjnej i operacyjnej.</w:t>
      </w:r>
      <w:bookmarkStart w:id="315" w:name="_Toc219062817"/>
      <w:bookmarkStart w:id="316" w:name="_Toc219063115"/>
      <w:bookmarkEnd w:id="315"/>
      <w:bookmarkEnd w:id="316"/>
    </w:p>
    <w:p w14:paraId="2150DB8A" w14:textId="0931ACDC" w:rsidR="00C2071D" w:rsidRPr="004B77D6" w:rsidRDefault="00C2071D" w:rsidP="00C2071D">
      <w:pPr>
        <w:pStyle w:val="Tekstpodstawowy22"/>
        <w:spacing w:line="276" w:lineRule="auto"/>
        <w:ind w:left="720"/>
        <w:jc w:val="left"/>
        <w:rPr>
          <w:rFonts w:ascii="Calibri" w:hAnsi="Calibri" w:cs="Arial"/>
          <w:color w:val="000000"/>
          <w:szCs w:val="24"/>
        </w:rPr>
      </w:pPr>
      <w:bookmarkStart w:id="317" w:name="_Toc219062818"/>
      <w:bookmarkStart w:id="318" w:name="_Toc219063116"/>
      <w:bookmarkEnd w:id="317"/>
      <w:bookmarkEnd w:id="318"/>
    </w:p>
    <w:p w14:paraId="3602F841" w14:textId="79BB099A" w:rsidR="00C2071D" w:rsidRPr="004B77D6" w:rsidRDefault="00C2071D" w:rsidP="00C2071D">
      <w:pPr>
        <w:pStyle w:val="Tekstpodstawowy22"/>
        <w:spacing w:line="276" w:lineRule="auto"/>
        <w:jc w:val="left"/>
        <w:rPr>
          <w:rFonts w:ascii="Calibri" w:hAnsi="Calibri" w:cs="Arial"/>
          <w:color w:val="000000"/>
          <w:szCs w:val="24"/>
        </w:rPr>
      </w:pPr>
      <w:r w:rsidRPr="004B77D6">
        <w:rPr>
          <w:rFonts w:ascii="Calibri" w:hAnsi="Calibri" w:cs="Arial"/>
          <w:color w:val="000000"/>
          <w:szCs w:val="24"/>
        </w:rPr>
        <w:t xml:space="preserve">Uwaga: w kalkulacji FNPV/K oraz FRR/K nie bierze się pod uwagę wartości dofinansowania </w:t>
      </w:r>
      <w:r w:rsidRPr="004B77D6">
        <w:rPr>
          <w:rFonts w:ascii="Calibri" w:hAnsi="Calibri" w:cs="Arial"/>
          <w:color w:val="000000"/>
          <w:szCs w:val="24"/>
        </w:rPr>
        <w:br/>
        <w:t>z funduszy UE, gdyż celem ustalenia wartości FNPV/K i FRR/K jest ustalenie zwrotu i wartości bieżącej kapitału krajowego zainwestowanego w projekt.</w:t>
      </w:r>
      <w:bookmarkStart w:id="319" w:name="_Toc219062819"/>
      <w:bookmarkStart w:id="320" w:name="_Toc219063117"/>
      <w:bookmarkEnd w:id="319"/>
      <w:bookmarkEnd w:id="320"/>
    </w:p>
    <w:p w14:paraId="2AFA9527" w14:textId="176C613E" w:rsidR="00C2071D" w:rsidRPr="004B77D6" w:rsidRDefault="00C2071D" w:rsidP="00C2071D">
      <w:pPr>
        <w:pStyle w:val="Tekstpodstawowy22"/>
        <w:spacing w:line="276" w:lineRule="auto"/>
        <w:jc w:val="left"/>
        <w:rPr>
          <w:rFonts w:ascii="Calibri" w:hAnsi="Calibri" w:cs="Arial"/>
          <w:color w:val="000000"/>
          <w:szCs w:val="24"/>
        </w:rPr>
      </w:pPr>
      <w:bookmarkStart w:id="321" w:name="_Toc219062820"/>
      <w:bookmarkStart w:id="322" w:name="_Toc219063118"/>
      <w:bookmarkEnd w:id="321"/>
      <w:bookmarkEnd w:id="322"/>
    </w:p>
    <w:p w14:paraId="6A38D434" w14:textId="7EC925C5" w:rsidR="00C2071D" w:rsidRPr="004B77D6" w:rsidRDefault="00C2071D" w:rsidP="004D0859">
      <w:pPr>
        <w:pStyle w:val="Tekstpodstawowy22"/>
        <w:numPr>
          <w:ilvl w:val="2"/>
          <w:numId w:val="28"/>
        </w:numPr>
        <w:tabs>
          <w:tab w:val="clear" w:pos="2520"/>
        </w:tabs>
        <w:spacing w:line="276" w:lineRule="auto"/>
        <w:ind w:left="709" w:hanging="425"/>
        <w:jc w:val="left"/>
        <w:rPr>
          <w:rFonts w:ascii="Calibri" w:hAnsi="Calibri" w:cs="Arial"/>
          <w:color w:val="000000"/>
          <w:szCs w:val="24"/>
        </w:rPr>
      </w:pPr>
      <w:r w:rsidRPr="004B77D6">
        <w:rPr>
          <w:rFonts w:ascii="Calibri" w:hAnsi="Calibri" w:cs="Arial"/>
          <w:color w:val="000000"/>
          <w:szCs w:val="24"/>
        </w:rPr>
        <w:t>Wzory do obliczenia wskaźników efektywności finansowej:</w:t>
      </w:r>
      <w:bookmarkStart w:id="323" w:name="_Toc219062821"/>
      <w:bookmarkStart w:id="324" w:name="_Toc219063119"/>
      <w:bookmarkEnd w:id="323"/>
      <w:bookmarkEnd w:id="324"/>
    </w:p>
    <w:p w14:paraId="2131C355" w14:textId="05BAE923" w:rsidR="00C2071D" w:rsidRPr="004B77D6" w:rsidRDefault="00C2071D" w:rsidP="00C2071D">
      <w:pPr>
        <w:pStyle w:val="Tekstpodstawowy22"/>
        <w:spacing w:line="276" w:lineRule="auto"/>
        <w:ind w:left="720"/>
        <w:jc w:val="left"/>
        <w:rPr>
          <w:rFonts w:ascii="Calibri" w:hAnsi="Calibri" w:cs="Arial"/>
          <w:b/>
          <w:color w:val="000000"/>
          <w:szCs w:val="24"/>
        </w:rPr>
      </w:pPr>
      <w:bookmarkStart w:id="325" w:name="_Toc219062822"/>
      <w:bookmarkStart w:id="326" w:name="_Toc219063120"/>
      <w:bookmarkEnd w:id="325"/>
      <w:bookmarkEnd w:id="326"/>
    </w:p>
    <w:p w14:paraId="0D1F51B3" w14:textId="6DBE5651" w:rsidR="00C2071D" w:rsidRPr="004B77D6" w:rsidRDefault="00C2071D" w:rsidP="00C2071D">
      <w:pPr>
        <w:pStyle w:val="Tekstpodstawowy22"/>
        <w:spacing w:line="276" w:lineRule="auto"/>
        <w:ind w:left="720"/>
        <w:jc w:val="left"/>
        <w:rPr>
          <w:rFonts w:ascii="Calibri" w:hAnsi="Calibri" w:cs="Arial"/>
          <w:b/>
          <w:color w:val="000000"/>
          <w:szCs w:val="24"/>
        </w:rPr>
      </w:pPr>
      <w:r w:rsidRPr="004B77D6">
        <w:rPr>
          <w:rFonts w:ascii="Calibri" w:hAnsi="Calibri" w:cs="Arial"/>
          <w:b/>
          <w:color w:val="000000"/>
          <w:szCs w:val="24"/>
        </w:rPr>
        <w:t>FNPV/C Finansowa bieżąca wartość netto inwestycji</w:t>
      </w:r>
      <w:bookmarkStart w:id="327" w:name="_Toc219062823"/>
      <w:bookmarkStart w:id="328" w:name="_Toc219063121"/>
      <w:bookmarkEnd w:id="327"/>
      <w:bookmarkEnd w:id="328"/>
    </w:p>
    <w:p w14:paraId="194EF892" w14:textId="77777777" w:rsidR="006403DA" w:rsidRDefault="006403DA" w:rsidP="00C2071D">
      <w:pPr>
        <w:pStyle w:val="Tekstpodstawowy22"/>
        <w:spacing w:line="276" w:lineRule="auto"/>
        <w:ind w:left="720"/>
        <w:jc w:val="left"/>
        <w:rPr>
          <w:rFonts w:ascii="Calibri" w:hAnsi="Calibri" w:cs="Arial"/>
          <w:color w:val="000000"/>
          <w:szCs w:val="24"/>
        </w:rPr>
      </w:pPr>
    </w:p>
    <w:p w14:paraId="058DEDE3" w14:textId="01F46EE5" w:rsidR="00C2071D" w:rsidRPr="004B77D6" w:rsidRDefault="00C2071D" w:rsidP="00C2071D">
      <w:pPr>
        <w:pStyle w:val="Tekstpodstawowy22"/>
        <w:spacing w:line="276" w:lineRule="auto"/>
        <w:ind w:left="720"/>
        <w:jc w:val="left"/>
        <w:rPr>
          <w:rFonts w:ascii="Calibri" w:hAnsi="Calibri" w:cs="Arial"/>
          <w:color w:val="000000"/>
          <w:szCs w:val="24"/>
        </w:rPr>
      </w:pPr>
      <w:r w:rsidRPr="004B77D6">
        <w:rPr>
          <w:rFonts w:ascii="Calibri" w:hAnsi="Calibri" w:cs="Arial"/>
          <w:color w:val="000000"/>
          <w:szCs w:val="24"/>
        </w:rPr>
        <w:t>WZÓR</w:t>
      </w:r>
      <w:r w:rsidRPr="004B77D6">
        <w:rPr>
          <w:rFonts w:ascii="Calibri" w:hAnsi="Calibri" w:cs="Arial"/>
          <w:color w:val="000000"/>
          <w:szCs w:val="24"/>
        </w:rPr>
        <w:tab/>
      </w:r>
      <w:bookmarkStart w:id="329" w:name="_Toc219062824"/>
      <w:bookmarkStart w:id="330" w:name="_Toc219063122"/>
      <w:bookmarkEnd w:id="329"/>
      <w:bookmarkEnd w:id="330"/>
    </w:p>
    <w:p w14:paraId="30EBD73C" w14:textId="17E5B742" w:rsidR="00C2071D" w:rsidRPr="004B77D6" w:rsidRDefault="00C2071D" w:rsidP="00C2071D">
      <w:pPr>
        <w:pStyle w:val="Tekstpodstawowy22"/>
        <w:spacing w:line="276" w:lineRule="auto"/>
        <w:ind w:left="720"/>
        <w:jc w:val="left"/>
        <w:rPr>
          <w:rFonts w:ascii="Calibri" w:hAnsi="Calibri" w:cs="Arial"/>
          <w:color w:val="000000"/>
          <w:szCs w:val="24"/>
        </w:rPr>
      </w:pPr>
      <w:r w:rsidRPr="004B77D6">
        <w:rPr>
          <w:rFonts w:ascii="Calibri" w:hAnsi="Calibri" w:cs="Arial"/>
          <w:noProof/>
          <w:color w:val="000000"/>
          <w:szCs w:val="24"/>
        </w:rPr>
        <w:drawing>
          <wp:inline distT="0" distB="0" distL="0" distR="0" wp14:anchorId="57A2F3E4" wp14:editId="21736897">
            <wp:extent cx="3676650" cy="457200"/>
            <wp:effectExtent l="0" t="0" r="0" b="0"/>
            <wp:docPr id="23" name="Obraz 23" descr="Wzór na obliczenie fina nsowej bieżącej wartości netto inwestycji" title="Wzór na obliczenie fina nsowej bieżącej wartości netto inwestycj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676650" cy="457200"/>
                    </a:xfrm>
                    <a:prstGeom prst="rect">
                      <a:avLst/>
                    </a:prstGeom>
                    <a:noFill/>
                    <a:ln>
                      <a:noFill/>
                    </a:ln>
                  </pic:spPr>
                </pic:pic>
              </a:graphicData>
            </a:graphic>
          </wp:inline>
        </w:drawing>
      </w:r>
      <w:bookmarkStart w:id="331" w:name="_Toc219062825"/>
      <w:bookmarkStart w:id="332" w:name="_Toc219063123"/>
      <w:bookmarkEnd w:id="331"/>
      <w:bookmarkEnd w:id="332"/>
    </w:p>
    <w:p w14:paraId="62ACF45C" w14:textId="34201C30" w:rsidR="00C2071D" w:rsidRPr="004B77D6" w:rsidRDefault="00C2071D" w:rsidP="00C2071D">
      <w:pPr>
        <w:pStyle w:val="Tekstpodstawowy22"/>
        <w:spacing w:line="276" w:lineRule="auto"/>
        <w:ind w:left="720"/>
        <w:jc w:val="left"/>
        <w:rPr>
          <w:rFonts w:ascii="Calibri" w:hAnsi="Calibri" w:cs="Arial"/>
          <w:color w:val="000000"/>
          <w:szCs w:val="24"/>
        </w:rPr>
      </w:pPr>
      <w:r w:rsidRPr="004B77D6">
        <w:rPr>
          <w:rFonts w:ascii="Calibri" w:hAnsi="Calibri" w:cs="Arial"/>
          <w:color w:val="000000"/>
          <w:szCs w:val="24"/>
        </w:rPr>
        <w:t>gdzie:</w:t>
      </w:r>
      <w:bookmarkStart w:id="333" w:name="_Toc219062826"/>
      <w:bookmarkStart w:id="334" w:name="_Toc219063124"/>
      <w:bookmarkEnd w:id="333"/>
      <w:bookmarkEnd w:id="334"/>
    </w:p>
    <w:p w14:paraId="202745EA" w14:textId="02522E26" w:rsidR="00C2071D" w:rsidRPr="004B77D6" w:rsidRDefault="00C2071D" w:rsidP="00C2071D">
      <w:pPr>
        <w:pStyle w:val="Tekstpodstawowy22"/>
        <w:spacing w:line="276" w:lineRule="auto"/>
        <w:ind w:left="720"/>
        <w:jc w:val="left"/>
        <w:rPr>
          <w:rFonts w:ascii="Calibri" w:hAnsi="Calibri" w:cs="Arial"/>
          <w:color w:val="000000"/>
          <w:szCs w:val="24"/>
        </w:rPr>
      </w:pPr>
      <w:r w:rsidRPr="004B77D6">
        <w:rPr>
          <w:rFonts w:ascii="Calibri" w:hAnsi="Calibri" w:cs="Arial"/>
          <w:color w:val="000000"/>
          <w:szCs w:val="24"/>
        </w:rPr>
        <w:t>S</w:t>
      </w:r>
      <w:r w:rsidRPr="004B77D6">
        <w:rPr>
          <w:rFonts w:ascii="Calibri" w:hAnsi="Calibri" w:cs="Arial"/>
          <w:color w:val="000000"/>
          <w:szCs w:val="24"/>
          <w:vertAlign w:val="superscript"/>
        </w:rPr>
        <w:t>C</w:t>
      </w:r>
      <w:r w:rsidRPr="004B77D6">
        <w:rPr>
          <w:rFonts w:ascii="Calibri" w:hAnsi="Calibri" w:cs="Arial"/>
          <w:color w:val="000000"/>
          <w:szCs w:val="24"/>
        </w:rPr>
        <w:t xml:space="preserve"> – salda przepływów pieniężnych generowanych przez projekt w poszczególnych latach przyjętego okresu odniesienia analizy,</w:t>
      </w:r>
      <w:bookmarkStart w:id="335" w:name="_Toc219062827"/>
      <w:bookmarkStart w:id="336" w:name="_Toc219063125"/>
      <w:bookmarkEnd w:id="335"/>
      <w:bookmarkEnd w:id="336"/>
    </w:p>
    <w:p w14:paraId="1DB1E958" w14:textId="1B47C8E7" w:rsidR="00C2071D" w:rsidRPr="004B77D6" w:rsidRDefault="00C2071D" w:rsidP="00C2071D">
      <w:pPr>
        <w:pStyle w:val="Tekstpodstawowy22"/>
        <w:spacing w:line="276" w:lineRule="auto"/>
        <w:ind w:left="720"/>
        <w:jc w:val="left"/>
        <w:rPr>
          <w:rFonts w:ascii="Calibri" w:hAnsi="Calibri" w:cs="Arial"/>
          <w:color w:val="000000"/>
          <w:szCs w:val="24"/>
        </w:rPr>
      </w:pPr>
      <w:r w:rsidRPr="004B77D6">
        <w:rPr>
          <w:rFonts w:ascii="Calibri" w:hAnsi="Calibri" w:cs="Arial"/>
          <w:color w:val="000000"/>
          <w:szCs w:val="24"/>
        </w:rPr>
        <w:lastRenderedPageBreak/>
        <w:t xml:space="preserve">n – okres </w:t>
      </w:r>
      <w:r w:rsidR="009C07F8" w:rsidRPr="004B77D6">
        <w:rPr>
          <w:rFonts w:ascii="Calibri" w:hAnsi="Calibri" w:cs="Arial"/>
          <w:color w:val="000000"/>
          <w:szCs w:val="24"/>
        </w:rPr>
        <w:t>odniesienia (</w:t>
      </w:r>
      <w:r w:rsidRPr="004B77D6">
        <w:rPr>
          <w:rFonts w:ascii="Calibri" w:hAnsi="Calibri" w:cs="Arial"/>
          <w:color w:val="000000"/>
          <w:szCs w:val="24"/>
        </w:rPr>
        <w:t xml:space="preserve">liczba lat) </w:t>
      </w:r>
      <w:r w:rsidRPr="004B77D6">
        <w:rPr>
          <w:rFonts w:ascii="Calibri" w:hAnsi="Calibri" w:cs="Arial"/>
          <w:b/>
          <w:color w:val="000000"/>
          <w:szCs w:val="24"/>
        </w:rPr>
        <w:t>pomniejszona o 1</w:t>
      </w:r>
      <w:r w:rsidRPr="004B77D6">
        <w:rPr>
          <w:rFonts w:ascii="Calibri" w:hAnsi="Calibri" w:cs="Arial"/>
          <w:color w:val="000000"/>
          <w:szCs w:val="24"/>
        </w:rPr>
        <w:t>,</w:t>
      </w:r>
      <w:bookmarkStart w:id="337" w:name="_Toc219062828"/>
      <w:bookmarkStart w:id="338" w:name="_Toc219063126"/>
      <w:bookmarkEnd w:id="337"/>
      <w:bookmarkEnd w:id="338"/>
    </w:p>
    <w:p w14:paraId="4D518572" w14:textId="265E8672" w:rsidR="00C2071D" w:rsidRPr="004B77D6" w:rsidRDefault="00C2071D" w:rsidP="00C2071D">
      <w:pPr>
        <w:pStyle w:val="Tekstpodstawowy22"/>
        <w:spacing w:line="276" w:lineRule="auto"/>
        <w:ind w:left="720"/>
        <w:jc w:val="left"/>
        <w:rPr>
          <w:rFonts w:ascii="Calibri" w:hAnsi="Calibri" w:cs="Arial"/>
          <w:color w:val="000000"/>
          <w:szCs w:val="24"/>
        </w:rPr>
      </w:pPr>
      <w:r w:rsidRPr="004B77D6">
        <w:rPr>
          <w:rFonts w:ascii="Calibri" w:hAnsi="Calibri" w:cs="Arial"/>
          <w:color w:val="000000"/>
          <w:szCs w:val="24"/>
        </w:rPr>
        <w:t>a – finansowy współczynnik dyskontowy,</w:t>
      </w:r>
      <w:bookmarkStart w:id="339" w:name="_Toc219062829"/>
      <w:bookmarkStart w:id="340" w:name="_Toc219063127"/>
      <w:bookmarkEnd w:id="339"/>
      <w:bookmarkEnd w:id="340"/>
    </w:p>
    <w:p w14:paraId="4B795442" w14:textId="6943077F" w:rsidR="00C2071D" w:rsidRPr="004B77D6" w:rsidRDefault="00C2071D" w:rsidP="00C2071D">
      <w:pPr>
        <w:pStyle w:val="Tekstpodstawowy22"/>
        <w:spacing w:line="276" w:lineRule="auto"/>
        <w:ind w:left="720"/>
        <w:jc w:val="left"/>
        <w:rPr>
          <w:rFonts w:ascii="Calibri" w:hAnsi="Calibri" w:cs="Arial"/>
          <w:color w:val="000000"/>
          <w:szCs w:val="24"/>
        </w:rPr>
      </w:pPr>
      <w:r w:rsidRPr="004B77D6">
        <w:rPr>
          <w:rFonts w:ascii="Calibri" w:hAnsi="Calibri" w:cs="Arial"/>
          <w:noProof/>
          <w:color w:val="000000"/>
          <w:szCs w:val="24"/>
        </w:rPr>
        <w:drawing>
          <wp:inline distT="0" distB="0" distL="0" distR="0" wp14:anchorId="63803EDF" wp14:editId="49F8DEEE">
            <wp:extent cx="800100" cy="428625"/>
            <wp:effectExtent l="0" t="0" r="0" b="9525"/>
            <wp:docPr id="22" name="Obraz 22" title="wzór na obliczenie finansowego współczynnika dyskontow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00100" cy="428625"/>
                    </a:xfrm>
                    <a:prstGeom prst="rect">
                      <a:avLst/>
                    </a:prstGeom>
                    <a:noFill/>
                    <a:ln>
                      <a:noFill/>
                    </a:ln>
                  </pic:spPr>
                </pic:pic>
              </a:graphicData>
            </a:graphic>
          </wp:inline>
        </w:drawing>
      </w:r>
      <w:bookmarkStart w:id="341" w:name="_Toc219062830"/>
      <w:bookmarkStart w:id="342" w:name="_Toc219063128"/>
      <w:bookmarkEnd w:id="341"/>
      <w:bookmarkEnd w:id="342"/>
    </w:p>
    <w:p w14:paraId="08A24CC2" w14:textId="0F5C9D70" w:rsidR="00C2071D" w:rsidRPr="004B77D6" w:rsidRDefault="00C2071D" w:rsidP="00C2071D">
      <w:pPr>
        <w:pStyle w:val="Tekstpodstawowy22"/>
        <w:spacing w:line="276" w:lineRule="auto"/>
        <w:ind w:left="720"/>
        <w:jc w:val="left"/>
        <w:rPr>
          <w:rFonts w:ascii="Calibri" w:hAnsi="Calibri" w:cs="Arial"/>
          <w:color w:val="000000"/>
          <w:szCs w:val="24"/>
        </w:rPr>
      </w:pPr>
      <w:r w:rsidRPr="004B77D6">
        <w:rPr>
          <w:rFonts w:ascii="Calibri" w:hAnsi="Calibri" w:cs="Arial"/>
          <w:color w:val="000000"/>
          <w:szCs w:val="24"/>
        </w:rPr>
        <w:t>r – przyjęta finansowa stopa dyskontowa,</w:t>
      </w:r>
      <w:bookmarkStart w:id="343" w:name="_Toc219062831"/>
      <w:bookmarkStart w:id="344" w:name="_Toc219063129"/>
      <w:bookmarkEnd w:id="343"/>
      <w:bookmarkEnd w:id="344"/>
    </w:p>
    <w:p w14:paraId="55676DB7" w14:textId="6F109A24" w:rsidR="00C2071D" w:rsidRPr="004B77D6" w:rsidRDefault="00C2071D" w:rsidP="00C2071D">
      <w:pPr>
        <w:pStyle w:val="Tekstpodstawowy22"/>
        <w:spacing w:line="276" w:lineRule="auto"/>
        <w:ind w:left="720"/>
        <w:jc w:val="left"/>
        <w:rPr>
          <w:rFonts w:ascii="Calibri" w:hAnsi="Calibri" w:cs="Arial"/>
          <w:color w:val="000000"/>
          <w:szCs w:val="24"/>
        </w:rPr>
      </w:pPr>
      <w:bookmarkStart w:id="345" w:name="_Toc219062832"/>
      <w:bookmarkStart w:id="346" w:name="_Toc219063130"/>
      <w:bookmarkEnd w:id="345"/>
      <w:bookmarkEnd w:id="346"/>
    </w:p>
    <w:p w14:paraId="7BE8EB01" w14:textId="0576EE64" w:rsidR="00C2071D" w:rsidRPr="004B77D6" w:rsidRDefault="00C2071D" w:rsidP="00C2071D">
      <w:pPr>
        <w:pStyle w:val="Tekstpodstawowy22"/>
        <w:spacing w:line="276" w:lineRule="auto"/>
        <w:ind w:left="720"/>
        <w:jc w:val="left"/>
        <w:rPr>
          <w:rFonts w:ascii="Calibri" w:hAnsi="Calibri" w:cs="Arial"/>
          <w:b/>
          <w:color w:val="000000"/>
          <w:szCs w:val="24"/>
        </w:rPr>
      </w:pPr>
      <w:r w:rsidRPr="004B77D6">
        <w:rPr>
          <w:rFonts w:ascii="Calibri" w:hAnsi="Calibri" w:cs="Arial"/>
          <w:b/>
          <w:color w:val="000000"/>
          <w:szCs w:val="24"/>
        </w:rPr>
        <w:t>FRR/C</w:t>
      </w:r>
      <w:r w:rsidRPr="004B77D6">
        <w:rPr>
          <w:rFonts w:ascii="Calibri" w:hAnsi="Calibri" w:cs="Arial"/>
          <w:b/>
          <w:color w:val="000000"/>
          <w:szCs w:val="24"/>
        </w:rPr>
        <w:tab/>
        <w:t xml:space="preserve"> Finansowa wewnętrzna stopa zwrotu z inwestycji</w:t>
      </w:r>
      <w:bookmarkStart w:id="347" w:name="_Toc219062833"/>
      <w:bookmarkStart w:id="348" w:name="_Toc219063131"/>
      <w:bookmarkEnd w:id="347"/>
      <w:bookmarkEnd w:id="348"/>
    </w:p>
    <w:p w14:paraId="318C8A4A" w14:textId="39202EF5" w:rsidR="00C2071D" w:rsidRPr="004B77D6" w:rsidRDefault="00C2071D" w:rsidP="00C2071D">
      <w:pPr>
        <w:pStyle w:val="Tekstpodstawowy22"/>
        <w:spacing w:line="276" w:lineRule="auto"/>
        <w:ind w:left="720"/>
        <w:jc w:val="left"/>
        <w:rPr>
          <w:rFonts w:ascii="Calibri" w:hAnsi="Calibri" w:cs="Arial"/>
          <w:color w:val="000000"/>
          <w:szCs w:val="24"/>
        </w:rPr>
      </w:pPr>
      <w:r w:rsidRPr="004B77D6">
        <w:rPr>
          <w:rFonts w:ascii="Calibri" w:hAnsi="Calibri" w:cs="Arial"/>
          <w:color w:val="000000"/>
          <w:szCs w:val="24"/>
        </w:rPr>
        <w:t>WZÓR</w:t>
      </w:r>
      <w:bookmarkStart w:id="349" w:name="_Toc219062834"/>
      <w:bookmarkStart w:id="350" w:name="_Toc219063132"/>
      <w:bookmarkEnd w:id="349"/>
      <w:bookmarkEnd w:id="350"/>
    </w:p>
    <w:p w14:paraId="77A1F559" w14:textId="3E48AAFE" w:rsidR="00C2071D" w:rsidRPr="004B77D6" w:rsidRDefault="00C2071D" w:rsidP="00C2071D">
      <w:pPr>
        <w:pStyle w:val="Tekstpodstawowy22"/>
        <w:spacing w:line="276" w:lineRule="auto"/>
        <w:ind w:left="720"/>
        <w:jc w:val="left"/>
        <w:rPr>
          <w:rFonts w:ascii="Calibri" w:hAnsi="Calibri" w:cs="Arial"/>
          <w:color w:val="000000"/>
          <w:szCs w:val="24"/>
        </w:rPr>
      </w:pPr>
      <w:r w:rsidRPr="004B77D6">
        <w:rPr>
          <w:rFonts w:ascii="Calibri" w:hAnsi="Calibri" w:cs="Arial"/>
          <w:noProof/>
          <w:color w:val="000000"/>
          <w:szCs w:val="24"/>
        </w:rPr>
        <w:drawing>
          <wp:inline distT="0" distB="0" distL="0" distR="0" wp14:anchorId="6B8D3C35" wp14:editId="244B9EBD">
            <wp:extent cx="1971675" cy="400050"/>
            <wp:effectExtent l="0" t="0" r="9525" b="0"/>
            <wp:docPr id="21" name="Obraz 21" title="Wzór na obliczenie finansowej wewnętrznej stopy zwrotu z inwestycj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71675" cy="400050"/>
                    </a:xfrm>
                    <a:prstGeom prst="rect">
                      <a:avLst/>
                    </a:prstGeom>
                    <a:noFill/>
                    <a:ln>
                      <a:noFill/>
                    </a:ln>
                  </pic:spPr>
                </pic:pic>
              </a:graphicData>
            </a:graphic>
          </wp:inline>
        </w:drawing>
      </w:r>
      <w:bookmarkStart w:id="351" w:name="_Toc219062835"/>
      <w:bookmarkStart w:id="352" w:name="_Toc219063133"/>
      <w:bookmarkEnd w:id="351"/>
      <w:bookmarkEnd w:id="352"/>
    </w:p>
    <w:p w14:paraId="1B4E4794" w14:textId="04D49A0F" w:rsidR="00C2071D" w:rsidRPr="004B77D6" w:rsidRDefault="00C2071D" w:rsidP="00C2071D">
      <w:pPr>
        <w:pStyle w:val="Tekstpodstawowy22"/>
        <w:spacing w:line="276" w:lineRule="auto"/>
        <w:ind w:left="720"/>
        <w:jc w:val="left"/>
        <w:rPr>
          <w:rFonts w:ascii="Calibri" w:hAnsi="Calibri" w:cs="Arial"/>
          <w:color w:val="000000"/>
          <w:szCs w:val="24"/>
        </w:rPr>
      </w:pPr>
      <w:bookmarkStart w:id="353" w:name="_Toc219062836"/>
      <w:bookmarkStart w:id="354" w:name="_Toc219063134"/>
      <w:bookmarkEnd w:id="353"/>
      <w:bookmarkEnd w:id="354"/>
    </w:p>
    <w:p w14:paraId="251CB024" w14:textId="4E3A68FE" w:rsidR="00C2071D" w:rsidRPr="004B77D6" w:rsidRDefault="00C2071D" w:rsidP="00C2071D">
      <w:pPr>
        <w:pStyle w:val="Tekstpodstawowy22"/>
        <w:spacing w:line="276" w:lineRule="auto"/>
        <w:ind w:left="720"/>
        <w:jc w:val="left"/>
        <w:rPr>
          <w:rFonts w:ascii="Calibri" w:hAnsi="Calibri" w:cs="Arial"/>
          <w:color w:val="000000"/>
          <w:szCs w:val="24"/>
        </w:rPr>
      </w:pPr>
      <w:r w:rsidRPr="004B77D6">
        <w:rPr>
          <w:rFonts w:ascii="Calibri" w:hAnsi="Calibri" w:cs="Arial"/>
          <w:color w:val="000000"/>
          <w:szCs w:val="24"/>
        </w:rPr>
        <w:t>gdzie:</w:t>
      </w:r>
      <w:bookmarkStart w:id="355" w:name="_Toc219062837"/>
      <w:bookmarkStart w:id="356" w:name="_Toc219063135"/>
      <w:bookmarkEnd w:id="355"/>
      <w:bookmarkEnd w:id="356"/>
    </w:p>
    <w:p w14:paraId="589E1178" w14:textId="18F781DB" w:rsidR="00C2071D" w:rsidRPr="004B77D6" w:rsidRDefault="00C2071D" w:rsidP="00C2071D">
      <w:pPr>
        <w:pStyle w:val="Tekstpodstawowy22"/>
        <w:spacing w:line="276" w:lineRule="auto"/>
        <w:ind w:left="720"/>
        <w:jc w:val="left"/>
        <w:rPr>
          <w:rFonts w:ascii="Calibri" w:hAnsi="Calibri" w:cs="Arial"/>
          <w:color w:val="000000"/>
          <w:szCs w:val="24"/>
        </w:rPr>
      </w:pPr>
      <w:r w:rsidRPr="004B77D6">
        <w:rPr>
          <w:rFonts w:ascii="Calibri" w:hAnsi="Calibri" w:cs="Arial"/>
          <w:color w:val="000000"/>
          <w:szCs w:val="24"/>
        </w:rPr>
        <w:t>S</w:t>
      </w:r>
      <w:r w:rsidRPr="004B77D6">
        <w:rPr>
          <w:rFonts w:ascii="Calibri" w:hAnsi="Calibri" w:cs="Arial"/>
          <w:color w:val="000000"/>
          <w:szCs w:val="24"/>
          <w:vertAlign w:val="superscript"/>
        </w:rPr>
        <w:t>C</w:t>
      </w:r>
      <w:r w:rsidRPr="004B77D6">
        <w:rPr>
          <w:rFonts w:ascii="Calibri" w:hAnsi="Calibri" w:cs="Arial"/>
          <w:color w:val="000000"/>
          <w:szCs w:val="24"/>
        </w:rPr>
        <w:t xml:space="preserve"> – salda przepływów pieniężnych generowanych przez projekt w poszczególnych latach przyjętego okresu odniesienia analizy,</w:t>
      </w:r>
      <w:bookmarkStart w:id="357" w:name="_Toc219062838"/>
      <w:bookmarkStart w:id="358" w:name="_Toc219063136"/>
      <w:bookmarkEnd w:id="357"/>
      <w:bookmarkEnd w:id="358"/>
    </w:p>
    <w:p w14:paraId="431111DE" w14:textId="38C41882" w:rsidR="00C2071D" w:rsidRPr="004B77D6" w:rsidRDefault="00C2071D" w:rsidP="00C2071D">
      <w:pPr>
        <w:pStyle w:val="Tekstpodstawowy22"/>
        <w:spacing w:line="276" w:lineRule="auto"/>
        <w:ind w:left="720"/>
        <w:jc w:val="left"/>
        <w:rPr>
          <w:rFonts w:ascii="Calibri" w:hAnsi="Calibri" w:cs="Arial"/>
          <w:color w:val="000000"/>
          <w:szCs w:val="24"/>
        </w:rPr>
      </w:pPr>
      <w:r w:rsidRPr="004B77D6">
        <w:rPr>
          <w:rFonts w:ascii="Calibri" w:hAnsi="Calibri" w:cs="Arial"/>
          <w:color w:val="000000"/>
          <w:szCs w:val="24"/>
        </w:rPr>
        <w:t xml:space="preserve">n – okres </w:t>
      </w:r>
      <w:r w:rsidR="009C07F8" w:rsidRPr="004B77D6">
        <w:rPr>
          <w:rFonts w:ascii="Calibri" w:hAnsi="Calibri" w:cs="Arial"/>
          <w:color w:val="000000"/>
          <w:szCs w:val="24"/>
        </w:rPr>
        <w:t>odniesienia (</w:t>
      </w:r>
      <w:r w:rsidRPr="004B77D6">
        <w:rPr>
          <w:rFonts w:ascii="Calibri" w:hAnsi="Calibri" w:cs="Arial"/>
          <w:color w:val="000000"/>
          <w:szCs w:val="24"/>
        </w:rPr>
        <w:t xml:space="preserve">liczba lat) </w:t>
      </w:r>
      <w:r w:rsidRPr="004B77D6">
        <w:rPr>
          <w:rFonts w:ascii="Calibri" w:hAnsi="Calibri" w:cs="Arial"/>
          <w:b/>
          <w:color w:val="000000"/>
          <w:szCs w:val="24"/>
        </w:rPr>
        <w:t>pomniejszona o 1</w:t>
      </w:r>
      <w:r w:rsidRPr="004B77D6">
        <w:rPr>
          <w:rFonts w:ascii="Calibri" w:hAnsi="Calibri" w:cs="Arial"/>
          <w:color w:val="000000"/>
          <w:szCs w:val="24"/>
        </w:rPr>
        <w:t>.</w:t>
      </w:r>
      <w:bookmarkStart w:id="359" w:name="_Toc219062839"/>
      <w:bookmarkStart w:id="360" w:name="_Toc219063137"/>
      <w:bookmarkEnd w:id="359"/>
      <w:bookmarkEnd w:id="360"/>
    </w:p>
    <w:p w14:paraId="00E7535C" w14:textId="55ED10F6" w:rsidR="00C2071D" w:rsidRPr="004B77D6" w:rsidRDefault="00C2071D" w:rsidP="00C2071D">
      <w:pPr>
        <w:pStyle w:val="Tekstpodstawowy22"/>
        <w:spacing w:line="276" w:lineRule="auto"/>
        <w:ind w:left="720"/>
        <w:jc w:val="left"/>
        <w:rPr>
          <w:rFonts w:ascii="Calibri" w:hAnsi="Calibri" w:cs="Arial"/>
          <w:color w:val="000000"/>
          <w:szCs w:val="24"/>
        </w:rPr>
      </w:pPr>
      <w:bookmarkStart w:id="361" w:name="_Toc219062840"/>
      <w:bookmarkStart w:id="362" w:name="_Toc219063138"/>
      <w:bookmarkEnd w:id="361"/>
      <w:bookmarkEnd w:id="362"/>
    </w:p>
    <w:p w14:paraId="45759E81" w14:textId="4A95DE89" w:rsidR="00C2071D" w:rsidRPr="004B77D6" w:rsidRDefault="00C2071D" w:rsidP="00C2071D">
      <w:pPr>
        <w:pStyle w:val="Tekstpodstawowy22"/>
        <w:spacing w:line="276" w:lineRule="auto"/>
        <w:ind w:left="720"/>
        <w:jc w:val="left"/>
        <w:rPr>
          <w:rFonts w:ascii="Calibri" w:hAnsi="Calibri" w:cs="Arial"/>
          <w:b/>
          <w:color w:val="000000"/>
          <w:szCs w:val="24"/>
        </w:rPr>
      </w:pPr>
      <w:r w:rsidRPr="004B77D6">
        <w:rPr>
          <w:rFonts w:ascii="Calibri" w:hAnsi="Calibri" w:cs="Arial"/>
          <w:b/>
          <w:color w:val="000000"/>
          <w:szCs w:val="24"/>
        </w:rPr>
        <w:t>FNPV/K Finansowa bieżąca wartość netto kapitału</w:t>
      </w:r>
      <w:bookmarkStart w:id="363" w:name="_Toc219062841"/>
      <w:bookmarkStart w:id="364" w:name="_Toc219063139"/>
      <w:bookmarkEnd w:id="363"/>
      <w:bookmarkEnd w:id="364"/>
    </w:p>
    <w:p w14:paraId="4C4E898A" w14:textId="4269A6C5" w:rsidR="00C2071D" w:rsidRPr="004B77D6" w:rsidRDefault="00C2071D" w:rsidP="00C2071D">
      <w:pPr>
        <w:pStyle w:val="Tekstpodstawowy22"/>
        <w:spacing w:line="276" w:lineRule="auto"/>
        <w:ind w:left="720"/>
        <w:jc w:val="left"/>
        <w:rPr>
          <w:rFonts w:ascii="Calibri" w:hAnsi="Calibri" w:cs="Arial"/>
          <w:color w:val="000000"/>
          <w:szCs w:val="24"/>
        </w:rPr>
      </w:pPr>
      <w:r w:rsidRPr="004B77D6">
        <w:rPr>
          <w:rFonts w:ascii="Calibri" w:hAnsi="Calibri" w:cs="Arial"/>
          <w:color w:val="000000"/>
          <w:szCs w:val="24"/>
        </w:rPr>
        <w:t>WZÓR</w:t>
      </w:r>
      <w:bookmarkStart w:id="365" w:name="_Toc219062842"/>
      <w:bookmarkStart w:id="366" w:name="_Toc219063140"/>
      <w:bookmarkEnd w:id="365"/>
      <w:bookmarkEnd w:id="366"/>
    </w:p>
    <w:p w14:paraId="7BFF4DCB" w14:textId="6B136A31" w:rsidR="00C2071D" w:rsidRPr="004B77D6" w:rsidRDefault="00C2071D" w:rsidP="00C2071D">
      <w:pPr>
        <w:pStyle w:val="Tekstpodstawowy22"/>
        <w:spacing w:line="276" w:lineRule="auto"/>
        <w:ind w:left="720"/>
        <w:jc w:val="left"/>
        <w:rPr>
          <w:rFonts w:ascii="Calibri" w:hAnsi="Calibri" w:cs="Arial"/>
          <w:color w:val="000000"/>
          <w:szCs w:val="24"/>
        </w:rPr>
      </w:pPr>
      <w:r w:rsidRPr="004B77D6">
        <w:rPr>
          <w:rFonts w:ascii="Calibri" w:hAnsi="Calibri" w:cs="Arial"/>
          <w:noProof/>
          <w:color w:val="000000"/>
          <w:szCs w:val="24"/>
        </w:rPr>
        <w:drawing>
          <wp:inline distT="0" distB="0" distL="0" distR="0" wp14:anchorId="04157847" wp14:editId="46B3F770">
            <wp:extent cx="3771900" cy="457200"/>
            <wp:effectExtent l="0" t="0" r="0" b="0"/>
            <wp:docPr id="20" name="Obraz 20" title="Wzór na obliczenie finansowej bieżącej wartości netto kapitał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771900" cy="457200"/>
                    </a:xfrm>
                    <a:prstGeom prst="rect">
                      <a:avLst/>
                    </a:prstGeom>
                    <a:noFill/>
                    <a:ln>
                      <a:noFill/>
                    </a:ln>
                  </pic:spPr>
                </pic:pic>
              </a:graphicData>
            </a:graphic>
          </wp:inline>
        </w:drawing>
      </w:r>
      <w:bookmarkStart w:id="367" w:name="_Toc219062843"/>
      <w:bookmarkStart w:id="368" w:name="_Toc219063141"/>
      <w:bookmarkEnd w:id="367"/>
      <w:bookmarkEnd w:id="368"/>
    </w:p>
    <w:p w14:paraId="0C585CB6" w14:textId="6F8EDD52" w:rsidR="00C2071D" w:rsidRPr="004B77D6" w:rsidRDefault="00C2071D" w:rsidP="00C2071D">
      <w:pPr>
        <w:pStyle w:val="Tekstpodstawowy22"/>
        <w:spacing w:line="276" w:lineRule="auto"/>
        <w:ind w:left="720"/>
        <w:jc w:val="left"/>
        <w:rPr>
          <w:rFonts w:ascii="Calibri" w:hAnsi="Calibri" w:cs="Arial"/>
          <w:color w:val="000000"/>
          <w:szCs w:val="24"/>
        </w:rPr>
      </w:pPr>
      <w:r w:rsidRPr="004B77D6">
        <w:rPr>
          <w:rFonts w:ascii="Calibri" w:hAnsi="Calibri" w:cs="Arial"/>
          <w:color w:val="000000"/>
          <w:szCs w:val="24"/>
        </w:rPr>
        <w:t>gdzie:</w:t>
      </w:r>
      <w:bookmarkStart w:id="369" w:name="_Toc219062844"/>
      <w:bookmarkStart w:id="370" w:name="_Toc219063142"/>
      <w:bookmarkEnd w:id="369"/>
      <w:bookmarkEnd w:id="370"/>
    </w:p>
    <w:p w14:paraId="34E95E40" w14:textId="0E08C87E" w:rsidR="00C2071D" w:rsidRPr="004B77D6" w:rsidRDefault="00C2071D" w:rsidP="00C2071D">
      <w:pPr>
        <w:pStyle w:val="Tekstpodstawowy22"/>
        <w:spacing w:line="276" w:lineRule="auto"/>
        <w:ind w:left="720"/>
        <w:jc w:val="left"/>
        <w:rPr>
          <w:rFonts w:ascii="Calibri" w:hAnsi="Calibri" w:cs="Arial"/>
          <w:color w:val="000000"/>
          <w:szCs w:val="24"/>
        </w:rPr>
      </w:pPr>
      <w:r w:rsidRPr="004B77D6">
        <w:rPr>
          <w:rFonts w:ascii="Calibri" w:hAnsi="Calibri" w:cs="Arial"/>
          <w:color w:val="000000"/>
          <w:szCs w:val="24"/>
        </w:rPr>
        <w:t>S</w:t>
      </w:r>
      <w:r w:rsidRPr="004B77D6">
        <w:rPr>
          <w:rFonts w:ascii="Calibri" w:hAnsi="Calibri" w:cs="Arial"/>
          <w:color w:val="000000"/>
          <w:szCs w:val="24"/>
          <w:vertAlign w:val="superscript"/>
        </w:rPr>
        <w:t>K</w:t>
      </w:r>
      <w:r w:rsidRPr="004B77D6">
        <w:rPr>
          <w:rFonts w:ascii="Calibri" w:hAnsi="Calibri" w:cs="Arial"/>
          <w:color w:val="000000"/>
          <w:szCs w:val="24"/>
        </w:rPr>
        <w:t xml:space="preserve"> – salda przepływów pieniężnych dla podmiotu realizującego projekt </w:t>
      </w:r>
      <w:r w:rsidRPr="004B77D6">
        <w:rPr>
          <w:rFonts w:ascii="Calibri" w:hAnsi="Calibri" w:cs="Arial"/>
          <w:color w:val="000000"/>
          <w:szCs w:val="24"/>
        </w:rPr>
        <w:br/>
        <w:t xml:space="preserve">w poszczególnych latach przyjętego okresu odniesienia analizy generowane </w:t>
      </w:r>
      <w:r w:rsidRPr="004B77D6">
        <w:rPr>
          <w:rFonts w:ascii="Calibri" w:hAnsi="Calibri" w:cs="Arial"/>
          <w:color w:val="000000"/>
          <w:szCs w:val="24"/>
        </w:rPr>
        <w:br/>
        <w:t>w związku z wdrożeniem projektu,</w:t>
      </w:r>
      <w:bookmarkStart w:id="371" w:name="_Toc219062845"/>
      <w:bookmarkStart w:id="372" w:name="_Toc219063143"/>
      <w:bookmarkEnd w:id="371"/>
      <w:bookmarkEnd w:id="372"/>
    </w:p>
    <w:p w14:paraId="77D19690" w14:textId="2791767D" w:rsidR="00C2071D" w:rsidRPr="004B77D6" w:rsidRDefault="00C2071D" w:rsidP="00C2071D">
      <w:pPr>
        <w:pStyle w:val="Tekstpodstawowy22"/>
        <w:spacing w:line="276" w:lineRule="auto"/>
        <w:ind w:left="720"/>
        <w:jc w:val="left"/>
        <w:rPr>
          <w:rFonts w:ascii="Calibri" w:hAnsi="Calibri" w:cs="Arial"/>
          <w:color w:val="000000"/>
          <w:szCs w:val="24"/>
        </w:rPr>
      </w:pPr>
      <w:r w:rsidRPr="004B77D6">
        <w:rPr>
          <w:rFonts w:ascii="Calibri" w:hAnsi="Calibri" w:cs="Arial"/>
          <w:color w:val="000000"/>
          <w:szCs w:val="24"/>
        </w:rPr>
        <w:t xml:space="preserve">n – okres </w:t>
      </w:r>
      <w:r w:rsidR="009C07F8" w:rsidRPr="004B77D6">
        <w:rPr>
          <w:rFonts w:ascii="Calibri" w:hAnsi="Calibri" w:cs="Arial"/>
          <w:color w:val="000000"/>
          <w:szCs w:val="24"/>
        </w:rPr>
        <w:t>odniesienia (</w:t>
      </w:r>
      <w:r w:rsidRPr="004B77D6">
        <w:rPr>
          <w:rFonts w:ascii="Calibri" w:hAnsi="Calibri" w:cs="Arial"/>
          <w:color w:val="000000"/>
          <w:szCs w:val="24"/>
        </w:rPr>
        <w:t xml:space="preserve">liczba lat) </w:t>
      </w:r>
      <w:r w:rsidRPr="004B77D6">
        <w:rPr>
          <w:rFonts w:ascii="Calibri" w:hAnsi="Calibri" w:cs="Arial"/>
          <w:b/>
          <w:color w:val="000000"/>
          <w:szCs w:val="24"/>
        </w:rPr>
        <w:t>pomniejszona o 1</w:t>
      </w:r>
      <w:r w:rsidRPr="004B77D6">
        <w:rPr>
          <w:rFonts w:ascii="Calibri" w:hAnsi="Calibri" w:cs="Arial"/>
          <w:color w:val="000000"/>
          <w:szCs w:val="24"/>
        </w:rPr>
        <w:t>,</w:t>
      </w:r>
      <w:bookmarkStart w:id="373" w:name="_Toc219062846"/>
      <w:bookmarkStart w:id="374" w:name="_Toc219063144"/>
      <w:bookmarkEnd w:id="373"/>
      <w:bookmarkEnd w:id="374"/>
    </w:p>
    <w:p w14:paraId="3E89FFEF" w14:textId="20EDBEDF" w:rsidR="00C2071D" w:rsidRPr="004B77D6" w:rsidRDefault="00C2071D" w:rsidP="00C2071D">
      <w:pPr>
        <w:pStyle w:val="Tekstpodstawowy22"/>
        <w:spacing w:line="276" w:lineRule="auto"/>
        <w:ind w:left="720"/>
        <w:jc w:val="left"/>
        <w:rPr>
          <w:rFonts w:ascii="Calibri" w:hAnsi="Calibri" w:cs="Arial"/>
          <w:color w:val="000000"/>
          <w:szCs w:val="24"/>
        </w:rPr>
      </w:pPr>
      <w:r w:rsidRPr="004B77D6">
        <w:rPr>
          <w:rFonts w:ascii="Calibri" w:hAnsi="Calibri" w:cs="Arial"/>
          <w:color w:val="000000"/>
          <w:szCs w:val="24"/>
        </w:rPr>
        <w:t>a – finansowy współczynnik dyskontowy,</w:t>
      </w:r>
      <w:bookmarkStart w:id="375" w:name="_Toc219062847"/>
      <w:bookmarkStart w:id="376" w:name="_Toc219063145"/>
      <w:bookmarkEnd w:id="375"/>
      <w:bookmarkEnd w:id="376"/>
    </w:p>
    <w:p w14:paraId="4F2C43C6" w14:textId="1B7FF543" w:rsidR="00C2071D" w:rsidRPr="004B77D6" w:rsidRDefault="00C2071D" w:rsidP="00C2071D">
      <w:pPr>
        <w:pStyle w:val="Tekstpodstawowy22"/>
        <w:spacing w:line="276" w:lineRule="auto"/>
        <w:ind w:left="720"/>
        <w:jc w:val="left"/>
        <w:rPr>
          <w:rFonts w:ascii="Calibri" w:hAnsi="Calibri" w:cs="Arial"/>
          <w:color w:val="000000"/>
          <w:szCs w:val="24"/>
        </w:rPr>
      </w:pPr>
      <w:r w:rsidRPr="004B77D6">
        <w:rPr>
          <w:rFonts w:ascii="Calibri" w:hAnsi="Calibri" w:cs="Arial"/>
          <w:noProof/>
          <w:color w:val="000000"/>
          <w:szCs w:val="24"/>
        </w:rPr>
        <w:drawing>
          <wp:inline distT="0" distB="0" distL="0" distR="0" wp14:anchorId="01284DA5" wp14:editId="02377123">
            <wp:extent cx="790575" cy="428625"/>
            <wp:effectExtent l="0" t="0" r="0" b="0"/>
            <wp:docPr id="19" name="Obraz 19" title="wzór na obliczenie finansowego współczynnika dyskontow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90575" cy="428625"/>
                    </a:xfrm>
                    <a:prstGeom prst="rect">
                      <a:avLst/>
                    </a:prstGeom>
                    <a:noFill/>
                    <a:ln>
                      <a:noFill/>
                    </a:ln>
                  </pic:spPr>
                </pic:pic>
              </a:graphicData>
            </a:graphic>
          </wp:inline>
        </w:drawing>
      </w:r>
      <w:bookmarkStart w:id="377" w:name="_Toc219062848"/>
      <w:bookmarkStart w:id="378" w:name="_Toc219063146"/>
      <w:bookmarkEnd w:id="377"/>
      <w:bookmarkEnd w:id="378"/>
    </w:p>
    <w:p w14:paraId="7030D580" w14:textId="2E78D6B8" w:rsidR="00C2071D" w:rsidRPr="004B77D6" w:rsidRDefault="00C2071D" w:rsidP="00C2071D">
      <w:pPr>
        <w:pStyle w:val="Tekstpodstawowy22"/>
        <w:spacing w:line="276" w:lineRule="auto"/>
        <w:ind w:left="720"/>
        <w:jc w:val="left"/>
        <w:rPr>
          <w:rFonts w:ascii="Calibri" w:hAnsi="Calibri" w:cs="Arial"/>
          <w:color w:val="000000"/>
          <w:szCs w:val="24"/>
        </w:rPr>
      </w:pPr>
      <w:r w:rsidRPr="004B77D6">
        <w:rPr>
          <w:rFonts w:ascii="Calibri" w:hAnsi="Calibri" w:cs="Arial"/>
          <w:color w:val="000000"/>
          <w:szCs w:val="24"/>
        </w:rPr>
        <w:t>r – przyjęta finansowa stopa dyskontowa.</w:t>
      </w:r>
      <w:bookmarkStart w:id="379" w:name="_Toc219062849"/>
      <w:bookmarkStart w:id="380" w:name="_Toc219063147"/>
      <w:bookmarkEnd w:id="379"/>
      <w:bookmarkEnd w:id="380"/>
    </w:p>
    <w:p w14:paraId="1C7B6FC9" w14:textId="10FD224F" w:rsidR="00C2071D" w:rsidRPr="004B77D6" w:rsidRDefault="00C2071D" w:rsidP="00C2071D">
      <w:pPr>
        <w:pStyle w:val="Tekstpodstawowy22"/>
        <w:spacing w:line="276" w:lineRule="auto"/>
        <w:ind w:left="720"/>
        <w:jc w:val="left"/>
        <w:rPr>
          <w:rFonts w:ascii="Calibri" w:hAnsi="Calibri" w:cs="Arial"/>
          <w:b/>
          <w:color w:val="000000"/>
          <w:szCs w:val="24"/>
        </w:rPr>
      </w:pPr>
      <w:r w:rsidRPr="004B77D6">
        <w:rPr>
          <w:rFonts w:ascii="Calibri" w:hAnsi="Calibri" w:cs="Arial"/>
          <w:b/>
          <w:color w:val="000000"/>
          <w:szCs w:val="24"/>
        </w:rPr>
        <w:t>FRR/K</w:t>
      </w:r>
      <w:r w:rsidRPr="004B77D6">
        <w:rPr>
          <w:rFonts w:ascii="Calibri" w:hAnsi="Calibri" w:cs="Arial"/>
          <w:b/>
          <w:color w:val="000000"/>
          <w:szCs w:val="24"/>
        </w:rPr>
        <w:tab/>
        <w:t xml:space="preserve"> Finansowa wewnętrzna stopa zwrotu z kapitału</w:t>
      </w:r>
      <w:bookmarkStart w:id="381" w:name="_Toc219062850"/>
      <w:bookmarkStart w:id="382" w:name="_Toc219063148"/>
      <w:bookmarkEnd w:id="381"/>
      <w:bookmarkEnd w:id="382"/>
    </w:p>
    <w:p w14:paraId="467C353B" w14:textId="73C40092" w:rsidR="00C2071D" w:rsidRPr="004B77D6" w:rsidRDefault="00C2071D" w:rsidP="00C2071D">
      <w:pPr>
        <w:pStyle w:val="Tekstpodstawowy22"/>
        <w:spacing w:line="276" w:lineRule="auto"/>
        <w:ind w:left="720"/>
        <w:jc w:val="left"/>
        <w:rPr>
          <w:rFonts w:ascii="Calibri" w:hAnsi="Calibri" w:cs="Arial"/>
          <w:color w:val="000000"/>
          <w:szCs w:val="24"/>
        </w:rPr>
      </w:pPr>
      <w:r w:rsidRPr="004B77D6">
        <w:rPr>
          <w:rFonts w:ascii="Calibri" w:hAnsi="Calibri" w:cs="Arial"/>
          <w:color w:val="000000"/>
          <w:szCs w:val="24"/>
        </w:rPr>
        <w:t>WZÓR</w:t>
      </w:r>
      <w:bookmarkStart w:id="383" w:name="_Toc219062851"/>
      <w:bookmarkStart w:id="384" w:name="_Toc219063149"/>
      <w:bookmarkEnd w:id="383"/>
      <w:bookmarkEnd w:id="384"/>
    </w:p>
    <w:p w14:paraId="2612EFA7" w14:textId="6D6B7481" w:rsidR="00C2071D" w:rsidRPr="004B77D6" w:rsidRDefault="00C2071D" w:rsidP="00C2071D">
      <w:pPr>
        <w:pStyle w:val="Tekstpodstawowy22"/>
        <w:spacing w:line="276" w:lineRule="auto"/>
        <w:ind w:left="720"/>
        <w:jc w:val="left"/>
        <w:rPr>
          <w:rFonts w:ascii="Calibri" w:hAnsi="Calibri" w:cs="Arial"/>
          <w:color w:val="000000"/>
          <w:szCs w:val="24"/>
        </w:rPr>
      </w:pPr>
      <w:r w:rsidRPr="004B77D6">
        <w:rPr>
          <w:rFonts w:ascii="Calibri" w:hAnsi="Calibri" w:cs="Arial"/>
          <w:noProof/>
          <w:color w:val="000000"/>
          <w:szCs w:val="24"/>
        </w:rPr>
        <w:drawing>
          <wp:inline distT="0" distB="0" distL="0" distR="0" wp14:anchorId="23FBF60D" wp14:editId="141B27C1">
            <wp:extent cx="2000250" cy="400050"/>
            <wp:effectExtent l="0" t="0" r="0" b="0"/>
            <wp:docPr id="18" name="Obraz 18" title="Wzór na obliczenie  finansowej wewnętrznej stopy zwrotu z kapitał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00250" cy="400050"/>
                    </a:xfrm>
                    <a:prstGeom prst="rect">
                      <a:avLst/>
                    </a:prstGeom>
                    <a:noFill/>
                    <a:ln>
                      <a:noFill/>
                    </a:ln>
                  </pic:spPr>
                </pic:pic>
              </a:graphicData>
            </a:graphic>
          </wp:inline>
        </w:drawing>
      </w:r>
      <w:bookmarkStart w:id="385" w:name="_Toc219062852"/>
      <w:bookmarkStart w:id="386" w:name="_Toc219063150"/>
      <w:bookmarkEnd w:id="385"/>
      <w:bookmarkEnd w:id="386"/>
    </w:p>
    <w:p w14:paraId="3F809DA1" w14:textId="0C7412AB" w:rsidR="00C2071D" w:rsidRPr="004B77D6" w:rsidRDefault="00C2071D" w:rsidP="00C2071D">
      <w:pPr>
        <w:pStyle w:val="Tekstpodstawowy22"/>
        <w:spacing w:line="276" w:lineRule="auto"/>
        <w:ind w:left="720"/>
        <w:jc w:val="left"/>
        <w:rPr>
          <w:rFonts w:ascii="Calibri" w:hAnsi="Calibri" w:cs="Arial"/>
          <w:color w:val="000000"/>
          <w:szCs w:val="24"/>
        </w:rPr>
      </w:pPr>
      <w:r w:rsidRPr="004B77D6">
        <w:rPr>
          <w:rFonts w:ascii="Calibri" w:hAnsi="Calibri" w:cs="Arial"/>
          <w:color w:val="000000"/>
          <w:szCs w:val="24"/>
        </w:rPr>
        <w:t>gdzie:</w:t>
      </w:r>
      <w:bookmarkStart w:id="387" w:name="_Toc219062853"/>
      <w:bookmarkStart w:id="388" w:name="_Toc219063151"/>
      <w:bookmarkEnd w:id="387"/>
      <w:bookmarkEnd w:id="388"/>
    </w:p>
    <w:p w14:paraId="442BF9A9" w14:textId="347CE2ED" w:rsidR="00C2071D" w:rsidRPr="004B77D6" w:rsidRDefault="00C2071D" w:rsidP="00C2071D">
      <w:pPr>
        <w:pStyle w:val="Tekstpodstawowy22"/>
        <w:spacing w:line="276" w:lineRule="auto"/>
        <w:ind w:left="720"/>
        <w:jc w:val="left"/>
        <w:rPr>
          <w:rFonts w:ascii="Calibri" w:hAnsi="Calibri" w:cs="Arial"/>
          <w:color w:val="000000"/>
          <w:szCs w:val="24"/>
        </w:rPr>
      </w:pPr>
      <w:r w:rsidRPr="004B77D6">
        <w:rPr>
          <w:rFonts w:ascii="Calibri" w:hAnsi="Calibri" w:cs="Arial"/>
          <w:color w:val="000000"/>
          <w:szCs w:val="24"/>
        </w:rPr>
        <w:t>S</w:t>
      </w:r>
      <w:r w:rsidRPr="004B77D6">
        <w:rPr>
          <w:rFonts w:ascii="Calibri" w:hAnsi="Calibri" w:cs="Arial"/>
          <w:color w:val="000000"/>
          <w:szCs w:val="24"/>
          <w:vertAlign w:val="superscript"/>
        </w:rPr>
        <w:t>K</w:t>
      </w:r>
      <w:r w:rsidRPr="004B77D6">
        <w:rPr>
          <w:rFonts w:ascii="Calibri" w:hAnsi="Calibri" w:cs="Arial"/>
          <w:color w:val="000000"/>
          <w:szCs w:val="24"/>
        </w:rPr>
        <w:t xml:space="preserve"> – salda przepływów pieniężnych dla podmiotu realizującego projekt w poszczególnych latach przyjętego okresu odniesienia analizy generowane w związku z wdrożeniem projektu,</w:t>
      </w:r>
      <w:bookmarkStart w:id="389" w:name="_Toc219062854"/>
      <w:bookmarkStart w:id="390" w:name="_Toc219063152"/>
      <w:bookmarkEnd w:id="389"/>
      <w:bookmarkEnd w:id="390"/>
    </w:p>
    <w:p w14:paraId="6615AFDE" w14:textId="4CBD0173" w:rsidR="00C2071D" w:rsidRPr="004B77D6" w:rsidRDefault="00C2071D" w:rsidP="00C2071D">
      <w:pPr>
        <w:pStyle w:val="Tekstpodstawowy22"/>
        <w:spacing w:line="276" w:lineRule="auto"/>
        <w:ind w:left="720"/>
        <w:jc w:val="left"/>
        <w:rPr>
          <w:rFonts w:ascii="Calibri" w:hAnsi="Calibri" w:cs="Arial"/>
          <w:color w:val="000000"/>
          <w:szCs w:val="24"/>
        </w:rPr>
      </w:pPr>
      <w:r w:rsidRPr="004B77D6">
        <w:rPr>
          <w:rFonts w:ascii="Calibri" w:hAnsi="Calibri" w:cs="Arial"/>
          <w:color w:val="000000"/>
          <w:szCs w:val="24"/>
        </w:rPr>
        <w:t xml:space="preserve">n – okres </w:t>
      </w:r>
      <w:r w:rsidR="009C07F8" w:rsidRPr="004B77D6">
        <w:rPr>
          <w:rFonts w:ascii="Calibri" w:hAnsi="Calibri" w:cs="Arial"/>
          <w:color w:val="000000"/>
          <w:szCs w:val="24"/>
        </w:rPr>
        <w:t>odniesienia (</w:t>
      </w:r>
      <w:r w:rsidRPr="004B77D6">
        <w:rPr>
          <w:rFonts w:ascii="Calibri" w:hAnsi="Calibri" w:cs="Arial"/>
          <w:color w:val="000000"/>
          <w:szCs w:val="24"/>
        </w:rPr>
        <w:t xml:space="preserve">liczba lat) </w:t>
      </w:r>
      <w:r w:rsidRPr="004B77D6">
        <w:rPr>
          <w:rFonts w:ascii="Calibri" w:hAnsi="Calibri" w:cs="Arial"/>
          <w:b/>
          <w:color w:val="000000"/>
          <w:szCs w:val="24"/>
        </w:rPr>
        <w:t>pomniejszona o 1</w:t>
      </w:r>
      <w:r w:rsidRPr="004B77D6">
        <w:rPr>
          <w:rFonts w:ascii="Calibri" w:hAnsi="Calibri" w:cs="Arial"/>
          <w:color w:val="000000"/>
          <w:szCs w:val="24"/>
        </w:rPr>
        <w:t>.</w:t>
      </w:r>
      <w:bookmarkStart w:id="391" w:name="_Toc219062855"/>
      <w:bookmarkStart w:id="392" w:name="_Toc219063153"/>
      <w:bookmarkEnd w:id="391"/>
      <w:bookmarkEnd w:id="392"/>
    </w:p>
    <w:p w14:paraId="6908D1EE" w14:textId="09ED6A74" w:rsidR="00C2071D" w:rsidRDefault="00C2071D" w:rsidP="00C2071D">
      <w:pPr>
        <w:pStyle w:val="Tekstpodstawowy22"/>
        <w:spacing w:line="276" w:lineRule="auto"/>
        <w:ind w:left="720"/>
        <w:jc w:val="left"/>
        <w:rPr>
          <w:rFonts w:ascii="Calibri" w:hAnsi="Calibri" w:cs="Arial"/>
          <w:color w:val="000000"/>
          <w:szCs w:val="24"/>
        </w:rPr>
      </w:pPr>
      <w:bookmarkStart w:id="393" w:name="_Toc219062856"/>
      <w:bookmarkStart w:id="394" w:name="_Toc219063154"/>
      <w:bookmarkEnd w:id="393"/>
      <w:bookmarkEnd w:id="394"/>
    </w:p>
    <w:p w14:paraId="7342E30A" w14:textId="77777777" w:rsidR="00F16CD4" w:rsidRPr="004B77D6" w:rsidRDefault="00F16CD4" w:rsidP="00C2071D">
      <w:pPr>
        <w:pStyle w:val="Tekstpodstawowy22"/>
        <w:spacing w:line="276" w:lineRule="auto"/>
        <w:ind w:left="720"/>
        <w:jc w:val="left"/>
        <w:rPr>
          <w:rFonts w:ascii="Calibri" w:hAnsi="Calibri" w:cs="Arial"/>
          <w:color w:val="000000"/>
          <w:szCs w:val="24"/>
        </w:rPr>
      </w:pPr>
    </w:p>
    <w:p w14:paraId="126A8216" w14:textId="14C91AD9" w:rsidR="00C2071D" w:rsidRPr="004B77D6" w:rsidRDefault="00C2071D" w:rsidP="004D0859">
      <w:pPr>
        <w:pStyle w:val="Tekstpodstawowy22"/>
        <w:numPr>
          <w:ilvl w:val="1"/>
          <w:numId w:val="28"/>
        </w:numPr>
        <w:tabs>
          <w:tab w:val="clear" w:pos="1800"/>
        </w:tabs>
        <w:spacing w:line="276" w:lineRule="auto"/>
        <w:ind w:left="1276" w:hanging="567"/>
        <w:jc w:val="left"/>
        <w:rPr>
          <w:rFonts w:ascii="Calibri" w:hAnsi="Calibri" w:cs="Arial"/>
          <w:b/>
          <w:color w:val="000000"/>
          <w:szCs w:val="24"/>
        </w:rPr>
      </w:pPr>
      <w:r w:rsidRPr="004B77D6">
        <w:rPr>
          <w:rFonts w:ascii="Calibri" w:hAnsi="Calibri" w:cs="Arial"/>
          <w:b/>
          <w:color w:val="000000"/>
          <w:szCs w:val="24"/>
        </w:rPr>
        <w:lastRenderedPageBreak/>
        <w:t>Wskaźniki efektywności ekonomicznej projektu</w:t>
      </w:r>
      <w:bookmarkStart w:id="395" w:name="_Toc219062857"/>
      <w:bookmarkStart w:id="396" w:name="_Toc219063155"/>
      <w:bookmarkEnd w:id="395"/>
      <w:bookmarkEnd w:id="396"/>
    </w:p>
    <w:p w14:paraId="1B0D4BAE" w14:textId="6490C078" w:rsidR="00C2071D" w:rsidRPr="004B77D6" w:rsidRDefault="00C2071D" w:rsidP="00C2071D">
      <w:pPr>
        <w:pStyle w:val="Tekstpodstawowy22"/>
        <w:spacing w:line="276" w:lineRule="auto"/>
        <w:ind w:left="720"/>
        <w:jc w:val="left"/>
        <w:rPr>
          <w:rFonts w:ascii="Calibri" w:hAnsi="Calibri" w:cs="Arial"/>
          <w:color w:val="000000"/>
          <w:szCs w:val="24"/>
        </w:rPr>
      </w:pPr>
      <w:r w:rsidRPr="004B77D6">
        <w:rPr>
          <w:rFonts w:ascii="Calibri" w:hAnsi="Calibri" w:cs="Arial"/>
          <w:color w:val="000000"/>
          <w:szCs w:val="24"/>
        </w:rPr>
        <w:t>Wzory do obliczenia wskaźników efektywności finansowej.</w:t>
      </w:r>
      <w:bookmarkStart w:id="397" w:name="_Toc219062858"/>
      <w:bookmarkStart w:id="398" w:name="_Toc219063156"/>
      <w:bookmarkEnd w:id="397"/>
      <w:bookmarkEnd w:id="398"/>
    </w:p>
    <w:p w14:paraId="681D02D6" w14:textId="20349C7B" w:rsidR="00C2071D" w:rsidRPr="004B77D6" w:rsidRDefault="00C2071D" w:rsidP="00C2071D">
      <w:pPr>
        <w:pStyle w:val="Tekstpodstawowy22"/>
        <w:spacing w:line="276" w:lineRule="auto"/>
        <w:ind w:left="720"/>
        <w:jc w:val="left"/>
        <w:rPr>
          <w:rFonts w:ascii="Calibri" w:hAnsi="Calibri" w:cs="Arial"/>
          <w:color w:val="000000"/>
          <w:szCs w:val="24"/>
        </w:rPr>
      </w:pPr>
      <w:bookmarkStart w:id="399" w:name="_Toc219062859"/>
      <w:bookmarkStart w:id="400" w:name="_Toc219063157"/>
      <w:bookmarkEnd w:id="399"/>
      <w:bookmarkEnd w:id="400"/>
    </w:p>
    <w:p w14:paraId="3C02C786" w14:textId="1B8F2E0C" w:rsidR="00C2071D" w:rsidRPr="004B77D6" w:rsidRDefault="00C2071D" w:rsidP="00C2071D">
      <w:pPr>
        <w:pStyle w:val="Tekstpodstawowy22"/>
        <w:spacing w:line="276" w:lineRule="auto"/>
        <w:ind w:left="720"/>
        <w:jc w:val="left"/>
        <w:rPr>
          <w:rFonts w:ascii="Calibri" w:hAnsi="Calibri" w:cs="Arial"/>
          <w:b/>
          <w:color w:val="000000"/>
          <w:szCs w:val="24"/>
        </w:rPr>
      </w:pPr>
      <w:r w:rsidRPr="004B77D6">
        <w:rPr>
          <w:rFonts w:ascii="Calibri" w:hAnsi="Calibri" w:cs="Arial"/>
          <w:b/>
          <w:color w:val="000000"/>
          <w:szCs w:val="24"/>
        </w:rPr>
        <w:t xml:space="preserve">ENPV </w:t>
      </w:r>
      <w:r w:rsidRPr="004B77D6">
        <w:rPr>
          <w:rFonts w:ascii="Calibri" w:hAnsi="Calibri" w:cs="Arial"/>
          <w:b/>
          <w:color w:val="000000"/>
          <w:szCs w:val="24"/>
        </w:rPr>
        <w:tab/>
        <w:t>Ekonomiczna bieżąca wartość netto</w:t>
      </w:r>
      <w:bookmarkStart w:id="401" w:name="_Toc219062860"/>
      <w:bookmarkStart w:id="402" w:name="_Toc219063158"/>
      <w:bookmarkEnd w:id="401"/>
      <w:bookmarkEnd w:id="402"/>
    </w:p>
    <w:p w14:paraId="51AD3C37" w14:textId="44553A41" w:rsidR="00C2071D" w:rsidRPr="004B77D6" w:rsidRDefault="00C2071D" w:rsidP="00C2071D">
      <w:pPr>
        <w:pStyle w:val="Tekstpodstawowy22"/>
        <w:spacing w:line="276" w:lineRule="auto"/>
        <w:ind w:left="720"/>
        <w:jc w:val="left"/>
        <w:rPr>
          <w:rFonts w:ascii="Calibri" w:hAnsi="Calibri" w:cs="Arial"/>
          <w:color w:val="000000"/>
          <w:szCs w:val="24"/>
        </w:rPr>
      </w:pPr>
      <w:r w:rsidRPr="004B77D6">
        <w:rPr>
          <w:rFonts w:ascii="Calibri" w:hAnsi="Calibri" w:cs="Arial"/>
          <w:color w:val="000000"/>
          <w:szCs w:val="24"/>
        </w:rPr>
        <w:t>WZÓR</w:t>
      </w:r>
      <w:bookmarkStart w:id="403" w:name="_Toc219062861"/>
      <w:bookmarkStart w:id="404" w:name="_Toc219063159"/>
      <w:bookmarkEnd w:id="403"/>
      <w:bookmarkEnd w:id="404"/>
    </w:p>
    <w:p w14:paraId="7DEBF054" w14:textId="27ADDDE7" w:rsidR="00C2071D" w:rsidRPr="004B77D6" w:rsidRDefault="00C2071D" w:rsidP="00C2071D">
      <w:pPr>
        <w:pStyle w:val="Tekstpodstawowy22"/>
        <w:spacing w:line="276" w:lineRule="auto"/>
        <w:ind w:left="720"/>
        <w:jc w:val="left"/>
        <w:rPr>
          <w:rFonts w:ascii="Calibri" w:hAnsi="Calibri" w:cs="Arial"/>
          <w:color w:val="000000"/>
          <w:szCs w:val="24"/>
        </w:rPr>
      </w:pPr>
      <w:r w:rsidRPr="004B77D6">
        <w:rPr>
          <w:rFonts w:ascii="Calibri" w:hAnsi="Calibri" w:cs="Arial"/>
          <w:noProof/>
          <w:color w:val="000000"/>
          <w:szCs w:val="24"/>
        </w:rPr>
        <w:drawing>
          <wp:inline distT="0" distB="0" distL="0" distR="0" wp14:anchorId="70D0C5D4" wp14:editId="14424CBE">
            <wp:extent cx="3267075" cy="476250"/>
            <wp:effectExtent l="0" t="0" r="0" b="0"/>
            <wp:docPr id="17" name="Obraz 17" title="Wzór na obliczenie ekonomicznej bieżącej wartości n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267075" cy="476250"/>
                    </a:xfrm>
                    <a:prstGeom prst="rect">
                      <a:avLst/>
                    </a:prstGeom>
                    <a:noFill/>
                    <a:ln>
                      <a:noFill/>
                    </a:ln>
                  </pic:spPr>
                </pic:pic>
              </a:graphicData>
            </a:graphic>
          </wp:inline>
        </w:drawing>
      </w:r>
      <w:bookmarkStart w:id="405" w:name="_Toc219062862"/>
      <w:bookmarkStart w:id="406" w:name="_Toc219063160"/>
      <w:bookmarkEnd w:id="405"/>
      <w:bookmarkEnd w:id="406"/>
    </w:p>
    <w:p w14:paraId="5F6FCB5D" w14:textId="6D8426BC" w:rsidR="00C2071D" w:rsidRPr="004B77D6" w:rsidRDefault="00C2071D" w:rsidP="00C2071D">
      <w:pPr>
        <w:pStyle w:val="Tekstpodstawowy22"/>
        <w:spacing w:line="276" w:lineRule="auto"/>
        <w:ind w:left="720"/>
        <w:jc w:val="left"/>
        <w:rPr>
          <w:rFonts w:ascii="Calibri" w:hAnsi="Calibri" w:cs="Arial"/>
          <w:color w:val="000000"/>
          <w:szCs w:val="24"/>
        </w:rPr>
      </w:pPr>
      <w:r w:rsidRPr="004B77D6">
        <w:rPr>
          <w:rFonts w:ascii="Calibri" w:hAnsi="Calibri" w:cs="Arial"/>
          <w:color w:val="000000"/>
          <w:szCs w:val="24"/>
        </w:rPr>
        <w:t>gdzie:</w:t>
      </w:r>
      <w:bookmarkStart w:id="407" w:name="_Toc219062863"/>
      <w:bookmarkStart w:id="408" w:name="_Toc219063161"/>
      <w:bookmarkEnd w:id="407"/>
      <w:bookmarkEnd w:id="408"/>
    </w:p>
    <w:p w14:paraId="5ED98A92" w14:textId="46F02772" w:rsidR="00C2071D" w:rsidRPr="004B77D6" w:rsidRDefault="00C2071D" w:rsidP="00C2071D">
      <w:pPr>
        <w:pStyle w:val="Tekstpodstawowy22"/>
        <w:spacing w:line="276" w:lineRule="auto"/>
        <w:ind w:left="720"/>
        <w:jc w:val="left"/>
        <w:rPr>
          <w:rFonts w:ascii="Calibri" w:hAnsi="Calibri" w:cs="Arial"/>
          <w:color w:val="000000"/>
          <w:szCs w:val="24"/>
        </w:rPr>
      </w:pPr>
      <w:r w:rsidRPr="004B77D6">
        <w:rPr>
          <w:rFonts w:ascii="Calibri" w:hAnsi="Calibri" w:cs="Arial"/>
          <w:color w:val="000000"/>
          <w:szCs w:val="24"/>
        </w:rPr>
        <w:t>S</w:t>
      </w:r>
      <w:r w:rsidRPr="004B77D6">
        <w:rPr>
          <w:rFonts w:ascii="Calibri" w:hAnsi="Calibri" w:cs="Arial"/>
          <w:color w:val="000000"/>
          <w:szCs w:val="24"/>
          <w:vertAlign w:val="superscript"/>
        </w:rPr>
        <w:t>E</w:t>
      </w:r>
      <w:r w:rsidRPr="004B77D6">
        <w:rPr>
          <w:rFonts w:ascii="Calibri" w:hAnsi="Calibri" w:cs="Arial"/>
          <w:color w:val="000000"/>
          <w:szCs w:val="24"/>
        </w:rPr>
        <w:t xml:space="preserve"> – salda strumieni ekonomicznych kosztów i korzyści generowanych w wyniku realizacji projektu w poszczególnych latach przyjętego okresu odniesienia analizy,</w:t>
      </w:r>
      <w:bookmarkStart w:id="409" w:name="_Toc219062864"/>
      <w:bookmarkStart w:id="410" w:name="_Toc219063162"/>
      <w:bookmarkEnd w:id="409"/>
      <w:bookmarkEnd w:id="410"/>
    </w:p>
    <w:p w14:paraId="5AA5F06F" w14:textId="5C3FB090" w:rsidR="00C2071D" w:rsidRPr="004B77D6" w:rsidRDefault="00C2071D" w:rsidP="00C2071D">
      <w:pPr>
        <w:pStyle w:val="Tekstpodstawowy22"/>
        <w:spacing w:line="276" w:lineRule="auto"/>
        <w:ind w:left="720"/>
        <w:jc w:val="left"/>
        <w:rPr>
          <w:rFonts w:ascii="Calibri" w:hAnsi="Calibri" w:cs="Arial"/>
          <w:b/>
          <w:color w:val="000000"/>
          <w:szCs w:val="24"/>
        </w:rPr>
      </w:pPr>
      <w:r w:rsidRPr="004B77D6">
        <w:rPr>
          <w:rFonts w:ascii="Calibri" w:hAnsi="Calibri" w:cs="Arial"/>
          <w:color w:val="000000"/>
          <w:szCs w:val="24"/>
        </w:rPr>
        <w:t xml:space="preserve">n – okres </w:t>
      </w:r>
      <w:r w:rsidR="009C07F8" w:rsidRPr="004B77D6">
        <w:rPr>
          <w:rFonts w:ascii="Calibri" w:hAnsi="Calibri" w:cs="Arial"/>
          <w:color w:val="000000"/>
          <w:szCs w:val="24"/>
        </w:rPr>
        <w:t>odniesienia (</w:t>
      </w:r>
      <w:r w:rsidRPr="004B77D6">
        <w:rPr>
          <w:rFonts w:ascii="Calibri" w:hAnsi="Calibri" w:cs="Arial"/>
          <w:color w:val="000000"/>
          <w:szCs w:val="24"/>
        </w:rPr>
        <w:t xml:space="preserve">liczba lat) </w:t>
      </w:r>
      <w:r w:rsidRPr="004B77D6">
        <w:rPr>
          <w:rFonts w:ascii="Calibri" w:hAnsi="Calibri" w:cs="Arial"/>
          <w:b/>
          <w:color w:val="000000"/>
          <w:szCs w:val="24"/>
        </w:rPr>
        <w:t>pomniejszona o 1</w:t>
      </w:r>
      <w:r w:rsidRPr="004B77D6">
        <w:rPr>
          <w:rFonts w:ascii="Calibri" w:hAnsi="Calibri" w:cs="Arial"/>
          <w:color w:val="000000"/>
          <w:szCs w:val="24"/>
        </w:rPr>
        <w:t>,</w:t>
      </w:r>
      <w:bookmarkStart w:id="411" w:name="_Toc219062865"/>
      <w:bookmarkStart w:id="412" w:name="_Toc219063163"/>
      <w:bookmarkEnd w:id="411"/>
      <w:bookmarkEnd w:id="412"/>
    </w:p>
    <w:p w14:paraId="2B05B3A8" w14:textId="594C4823" w:rsidR="00C2071D" w:rsidRPr="004B77D6" w:rsidRDefault="00C2071D" w:rsidP="00C2071D">
      <w:pPr>
        <w:pStyle w:val="Tekstpodstawowy22"/>
        <w:spacing w:line="276" w:lineRule="auto"/>
        <w:ind w:left="720"/>
        <w:jc w:val="left"/>
        <w:rPr>
          <w:rFonts w:ascii="Calibri" w:hAnsi="Calibri" w:cs="Arial"/>
          <w:color w:val="000000"/>
          <w:szCs w:val="24"/>
        </w:rPr>
      </w:pPr>
      <w:r w:rsidRPr="004B77D6">
        <w:rPr>
          <w:rFonts w:ascii="Calibri" w:hAnsi="Calibri" w:cs="Arial"/>
          <w:color w:val="000000"/>
          <w:szCs w:val="24"/>
        </w:rPr>
        <w:t>a – ekonomiczny współczynnik dyskontowy,</w:t>
      </w:r>
      <w:bookmarkStart w:id="413" w:name="_Toc219062866"/>
      <w:bookmarkStart w:id="414" w:name="_Toc219063164"/>
      <w:bookmarkEnd w:id="413"/>
      <w:bookmarkEnd w:id="414"/>
    </w:p>
    <w:p w14:paraId="14CA0C00" w14:textId="4F180425" w:rsidR="00C2071D" w:rsidRPr="004B77D6" w:rsidRDefault="00C2071D" w:rsidP="00C2071D">
      <w:pPr>
        <w:pStyle w:val="Tekstpodstawowy22"/>
        <w:spacing w:line="276" w:lineRule="auto"/>
        <w:ind w:left="720"/>
        <w:jc w:val="left"/>
        <w:rPr>
          <w:rFonts w:ascii="Calibri" w:hAnsi="Calibri" w:cs="Arial"/>
          <w:color w:val="000000"/>
          <w:szCs w:val="24"/>
        </w:rPr>
      </w:pPr>
      <w:r w:rsidRPr="004B77D6">
        <w:rPr>
          <w:rFonts w:ascii="Calibri" w:hAnsi="Calibri" w:cs="Arial"/>
          <w:noProof/>
          <w:color w:val="000000"/>
          <w:szCs w:val="24"/>
        </w:rPr>
        <w:drawing>
          <wp:inline distT="0" distB="0" distL="0" distR="0" wp14:anchorId="4E86D47D" wp14:editId="2592937B">
            <wp:extent cx="800100" cy="428625"/>
            <wp:effectExtent l="0" t="0" r="0" b="9525"/>
            <wp:docPr id="16" name="Obraz 16" title="wzór na obliczenie finansowego współczynnika dyskontow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00100" cy="428625"/>
                    </a:xfrm>
                    <a:prstGeom prst="rect">
                      <a:avLst/>
                    </a:prstGeom>
                    <a:noFill/>
                    <a:ln>
                      <a:noFill/>
                    </a:ln>
                  </pic:spPr>
                </pic:pic>
              </a:graphicData>
            </a:graphic>
          </wp:inline>
        </w:drawing>
      </w:r>
      <w:bookmarkStart w:id="415" w:name="_Toc219062867"/>
      <w:bookmarkStart w:id="416" w:name="_Toc219063165"/>
      <w:bookmarkEnd w:id="415"/>
      <w:bookmarkEnd w:id="416"/>
    </w:p>
    <w:p w14:paraId="263B18EB" w14:textId="7D0C2B65" w:rsidR="00C2071D" w:rsidRPr="004B77D6" w:rsidRDefault="00C2071D" w:rsidP="00C2071D">
      <w:pPr>
        <w:pStyle w:val="Tekstpodstawowy22"/>
        <w:spacing w:line="276" w:lineRule="auto"/>
        <w:ind w:left="720"/>
        <w:jc w:val="left"/>
        <w:rPr>
          <w:rFonts w:ascii="Calibri" w:hAnsi="Calibri" w:cs="Arial"/>
          <w:color w:val="000000"/>
          <w:szCs w:val="24"/>
        </w:rPr>
      </w:pPr>
      <w:r w:rsidRPr="004B77D6">
        <w:rPr>
          <w:rFonts w:ascii="Calibri" w:hAnsi="Calibri" w:cs="Arial"/>
          <w:color w:val="000000"/>
          <w:szCs w:val="24"/>
        </w:rPr>
        <w:t>r – przyjęta społeczna stopa dyskontowa.</w:t>
      </w:r>
      <w:bookmarkStart w:id="417" w:name="_Toc219062868"/>
      <w:bookmarkStart w:id="418" w:name="_Toc219063166"/>
      <w:bookmarkEnd w:id="417"/>
      <w:bookmarkEnd w:id="418"/>
    </w:p>
    <w:p w14:paraId="4437BCB2" w14:textId="56E9ADD0" w:rsidR="00C2071D" w:rsidRPr="004B77D6" w:rsidRDefault="00C2071D" w:rsidP="00C2071D">
      <w:pPr>
        <w:pStyle w:val="Tekstpodstawowy22"/>
        <w:spacing w:line="276" w:lineRule="auto"/>
        <w:ind w:left="720"/>
        <w:jc w:val="left"/>
        <w:rPr>
          <w:rFonts w:ascii="Calibri" w:hAnsi="Calibri" w:cs="Arial"/>
          <w:b/>
          <w:color w:val="000000"/>
          <w:szCs w:val="24"/>
        </w:rPr>
      </w:pPr>
      <w:bookmarkStart w:id="419" w:name="_Toc219062869"/>
      <w:bookmarkStart w:id="420" w:name="_Toc219063167"/>
      <w:bookmarkEnd w:id="419"/>
      <w:bookmarkEnd w:id="420"/>
    </w:p>
    <w:p w14:paraId="52895288" w14:textId="2E5A60A0" w:rsidR="00C2071D" w:rsidRPr="004B77D6" w:rsidRDefault="00C2071D" w:rsidP="00C2071D">
      <w:pPr>
        <w:pStyle w:val="Tekstpodstawowy22"/>
        <w:spacing w:line="276" w:lineRule="auto"/>
        <w:ind w:left="720"/>
        <w:jc w:val="left"/>
        <w:rPr>
          <w:rFonts w:ascii="Calibri" w:hAnsi="Calibri" w:cs="Arial"/>
          <w:b/>
          <w:color w:val="000000"/>
          <w:szCs w:val="24"/>
        </w:rPr>
      </w:pPr>
      <w:bookmarkStart w:id="421" w:name="_Toc219062870"/>
      <w:bookmarkStart w:id="422" w:name="_Toc219063168"/>
      <w:bookmarkEnd w:id="421"/>
      <w:bookmarkEnd w:id="422"/>
      <w:r w:rsidRPr="004B77D6">
        <w:rPr>
          <w:rFonts w:ascii="Calibri" w:hAnsi="Calibri" w:cs="Arial"/>
          <w:b/>
          <w:color w:val="000000"/>
          <w:szCs w:val="24"/>
        </w:rPr>
        <w:t>ERR</w:t>
      </w:r>
      <w:r w:rsidRPr="004B77D6">
        <w:rPr>
          <w:rFonts w:ascii="Calibri" w:hAnsi="Calibri" w:cs="Arial"/>
          <w:b/>
          <w:color w:val="000000"/>
          <w:szCs w:val="24"/>
        </w:rPr>
        <w:tab/>
        <w:t>Ekonomiczna wewnętrzna stopa zwrotu</w:t>
      </w:r>
      <w:bookmarkStart w:id="423" w:name="_Toc219062871"/>
      <w:bookmarkStart w:id="424" w:name="_Toc219063169"/>
      <w:bookmarkEnd w:id="423"/>
      <w:bookmarkEnd w:id="424"/>
    </w:p>
    <w:p w14:paraId="793007CA" w14:textId="28616E74" w:rsidR="00C2071D" w:rsidRPr="004B77D6" w:rsidRDefault="00C2071D" w:rsidP="00C2071D">
      <w:pPr>
        <w:pStyle w:val="Tekstpodstawowy22"/>
        <w:spacing w:line="276" w:lineRule="auto"/>
        <w:ind w:left="720"/>
        <w:jc w:val="left"/>
        <w:rPr>
          <w:rFonts w:ascii="Calibri" w:hAnsi="Calibri" w:cs="Arial"/>
          <w:color w:val="000000"/>
          <w:szCs w:val="24"/>
        </w:rPr>
      </w:pPr>
      <w:r w:rsidRPr="004B77D6">
        <w:rPr>
          <w:rFonts w:ascii="Calibri" w:hAnsi="Calibri" w:cs="Arial"/>
          <w:color w:val="000000"/>
          <w:szCs w:val="24"/>
        </w:rPr>
        <w:t>WZÓR</w:t>
      </w:r>
      <w:bookmarkStart w:id="425" w:name="_Toc219062872"/>
      <w:bookmarkStart w:id="426" w:name="_Toc219063170"/>
      <w:bookmarkEnd w:id="425"/>
      <w:bookmarkEnd w:id="426"/>
    </w:p>
    <w:p w14:paraId="42A7CF29" w14:textId="2C562CB7" w:rsidR="00C2071D" w:rsidRPr="004B77D6" w:rsidRDefault="00C2071D" w:rsidP="00C2071D">
      <w:pPr>
        <w:pStyle w:val="Tekstpodstawowy22"/>
        <w:spacing w:line="276" w:lineRule="auto"/>
        <w:ind w:left="720"/>
        <w:jc w:val="left"/>
        <w:rPr>
          <w:rFonts w:ascii="Calibri" w:hAnsi="Calibri" w:cs="Arial"/>
          <w:color w:val="000000"/>
          <w:szCs w:val="24"/>
        </w:rPr>
      </w:pPr>
      <w:r w:rsidRPr="004B77D6">
        <w:rPr>
          <w:rFonts w:ascii="Calibri" w:hAnsi="Calibri" w:cs="Arial"/>
          <w:noProof/>
          <w:color w:val="000000"/>
          <w:szCs w:val="24"/>
        </w:rPr>
        <w:drawing>
          <wp:inline distT="0" distB="0" distL="0" distR="0" wp14:anchorId="0330A7E2" wp14:editId="7CA5468A">
            <wp:extent cx="1647825" cy="447675"/>
            <wp:effectExtent l="0" t="0" r="0" b="9525"/>
            <wp:docPr id="15" name="Obraz 15" title="Wzór na obliczenie ekonomicznej wewnętrznej stopy zwrot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647825" cy="447675"/>
                    </a:xfrm>
                    <a:prstGeom prst="rect">
                      <a:avLst/>
                    </a:prstGeom>
                    <a:noFill/>
                    <a:ln>
                      <a:noFill/>
                    </a:ln>
                  </pic:spPr>
                </pic:pic>
              </a:graphicData>
            </a:graphic>
          </wp:inline>
        </w:drawing>
      </w:r>
      <w:bookmarkStart w:id="427" w:name="_Toc219062873"/>
      <w:bookmarkStart w:id="428" w:name="_Toc219063171"/>
      <w:bookmarkEnd w:id="427"/>
      <w:bookmarkEnd w:id="428"/>
    </w:p>
    <w:p w14:paraId="3AC33E9F" w14:textId="34AD9C30" w:rsidR="00C2071D" w:rsidRPr="004B77D6" w:rsidRDefault="00C2071D" w:rsidP="00C2071D">
      <w:pPr>
        <w:pStyle w:val="Tekstpodstawowy22"/>
        <w:spacing w:line="276" w:lineRule="auto"/>
        <w:ind w:left="720"/>
        <w:jc w:val="left"/>
        <w:rPr>
          <w:rFonts w:ascii="Calibri" w:hAnsi="Calibri" w:cs="Arial"/>
          <w:color w:val="000000"/>
          <w:szCs w:val="24"/>
        </w:rPr>
      </w:pPr>
      <w:r w:rsidRPr="004B77D6">
        <w:rPr>
          <w:rFonts w:ascii="Calibri" w:hAnsi="Calibri" w:cs="Arial"/>
          <w:color w:val="000000"/>
          <w:szCs w:val="24"/>
        </w:rPr>
        <w:t>gdzie:</w:t>
      </w:r>
      <w:bookmarkStart w:id="429" w:name="_Toc219062874"/>
      <w:bookmarkStart w:id="430" w:name="_Toc219063172"/>
      <w:bookmarkEnd w:id="429"/>
      <w:bookmarkEnd w:id="430"/>
    </w:p>
    <w:p w14:paraId="6F4634B9" w14:textId="51A290F7" w:rsidR="00C2071D" w:rsidRPr="004B77D6" w:rsidRDefault="00C2071D" w:rsidP="00C2071D">
      <w:pPr>
        <w:pStyle w:val="Tekstpodstawowy22"/>
        <w:spacing w:line="276" w:lineRule="auto"/>
        <w:ind w:left="720"/>
        <w:jc w:val="left"/>
        <w:rPr>
          <w:rFonts w:ascii="Calibri" w:hAnsi="Calibri" w:cs="Arial"/>
          <w:color w:val="000000"/>
          <w:szCs w:val="24"/>
        </w:rPr>
      </w:pPr>
      <w:r w:rsidRPr="004B77D6">
        <w:rPr>
          <w:rFonts w:ascii="Calibri" w:hAnsi="Calibri" w:cs="Arial"/>
          <w:color w:val="000000"/>
          <w:szCs w:val="24"/>
        </w:rPr>
        <w:t>S</w:t>
      </w:r>
      <w:r w:rsidRPr="004B77D6">
        <w:rPr>
          <w:rFonts w:ascii="Calibri" w:hAnsi="Calibri" w:cs="Arial"/>
          <w:color w:val="000000"/>
          <w:szCs w:val="24"/>
          <w:vertAlign w:val="superscript"/>
        </w:rPr>
        <w:t>E</w:t>
      </w:r>
      <w:r w:rsidRPr="004B77D6">
        <w:rPr>
          <w:rFonts w:ascii="Calibri" w:hAnsi="Calibri" w:cs="Arial"/>
          <w:color w:val="000000"/>
          <w:szCs w:val="24"/>
        </w:rPr>
        <w:t xml:space="preserve"> – salda strumieni ekonomicznych kosztów i korzyści generowanych w wyniku realizacji projektu w poszczególnych latach przyjętego okresu odniesienia analizy,</w:t>
      </w:r>
      <w:bookmarkStart w:id="431" w:name="_Toc219062875"/>
      <w:bookmarkStart w:id="432" w:name="_Toc219063173"/>
      <w:bookmarkEnd w:id="431"/>
      <w:bookmarkEnd w:id="432"/>
    </w:p>
    <w:p w14:paraId="73618AAD" w14:textId="71561E0D" w:rsidR="00C2071D" w:rsidRPr="004B77D6" w:rsidRDefault="00C2071D" w:rsidP="00C2071D">
      <w:pPr>
        <w:pStyle w:val="Tekstpodstawowy22"/>
        <w:spacing w:line="276" w:lineRule="auto"/>
        <w:ind w:left="720"/>
        <w:jc w:val="left"/>
        <w:rPr>
          <w:rFonts w:ascii="Calibri" w:hAnsi="Calibri" w:cs="Arial"/>
          <w:color w:val="000000"/>
          <w:szCs w:val="24"/>
        </w:rPr>
      </w:pPr>
      <w:r w:rsidRPr="004B77D6">
        <w:rPr>
          <w:rFonts w:ascii="Calibri" w:hAnsi="Calibri" w:cs="Arial"/>
          <w:color w:val="000000"/>
          <w:szCs w:val="24"/>
        </w:rPr>
        <w:t xml:space="preserve">n – okres </w:t>
      </w:r>
      <w:r w:rsidR="009C07F8" w:rsidRPr="004B77D6">
        <w:rPr>
          <w:rFonts w:ascii="Calibri" w:hAnsi="Calibri" w:cs="Arial"/>
          <w:color w:val="000000"/>
          <w:szCs w:val="24"/>
        </w:rPr>
        <w:t>odniesienia (</w:t>
      </w:r>
      <w:r w:rsidRPr="004B77D6">
        <w:rPr>
          <w:rFonts w:ascii="Calibri" w:hAnsi="Calibri" w:cs="Arial"/>
          <w:color w:val="000000"/>
          <w:szCs w:val="24"/>
        </w:rPr>
        <w:t xml:space="preserve">liczba lat) </w:t>
      </w:r>
      <w:r w:rsidRPr="004B77D6">
        <w:rPr>
          <w:rFonts w:ascii="Calibri" w:hAnsi="Calibri" w:cs="Arial"/>
          <w:b/>
          <w:color w:val="000000"/>
          <w:szCs w:val="24"/>
        </w:rPr>
        <w:t>pomniejszona o 1</w:t>
      </w:r>
      <w:r w:rsidRPr="004B77D6">
        <w:rPr>
          <w:rFonts w:ascii="Calibri" w:hAnsi="Calibri" w:cs="Arial"/>
          <w:color w:val="000000"/>
          <w:szCs w:val="24"/>
        </w:rPr>
        <w:t>.</w:t>
      </w:r>
      <w:bookmarkStart w:id="433" w:name="_Toc219062876"/>
      <w:bookmarkStart w:id="434" w:name="_Toc219063174"/>
      <w:bookmarkEnd w:id="433"/>
      <w:bookmarkEnd w:id="434"/>
    </w:p>
    <w:p w14:paraId="0011F73A" w14:textId="0FCBC479" w:rsidR="00C2071D" w:rsidRPr="004B77D6" w:rsidRDefault="00C2071D" w:rsidP="00C2071D">
      <w:pPr>
        <w:pStyle w:val="Tekstpodstawowy22"/>
        <w:spacing w:line="276" w:lineRule="auto"/>
        <w:ind w:left="720"/>
        <w:jc w:val="left"/>
        <w:rPr>
          <w:rFonts w:ascii="Calibri" w:hAnsi="Calibri" w:cs="Arial"/>
          <w:b/>
          <w:color w:val="000000"/>
          <w:szCs w:val="24"/>
        </w:rPr>
      </w:pPr>
      <w:bookmarkStart w:id="435" w:name="_Toc219062877"/>
      <w:bookmarkStart w:id="436" w:name="_Toc219063175"/>
      <w:bookmarkEnd w:id="435"/>
      <w:bookmarkEnd w:id="436"/>
    </w:p>
    <w:p w14:paraId="4C462098" w14:textId="1CCAAB8C" w:rsidR="00C2071D" w:rsidRPr="004B77D6" w:rsidRDefault="00C2071D" w:rsidP="00C2071D">
      <w:pPr>
        <w:pStyle w:val="Tekstpodstawowy22"/>
        <w:spacing w:line="276" w:lineRule="auto"/>
        <w:ind w:left="720"/>
        <w:jc w:val="left"/>
        <w:rPr>
          <w:rFonts w:ascii="Calibri" w:hAnsi="Calibri" w:cs="Arial"/>
          <w:b/>
          <w:color w:val="000000"/>
          <w:szCs w:val="24"/>
        </w:rPr>
      </w:pPr>
      <w:r w:rsidRPr="004B77D6">
        <w:rPr>
          <w:rFonts w:ascii="Calibri" w:hAnsi="Calibri" w:cs="Arial"/>
          <w:b/>
          <w:color w:val="000000"/>
          <w:szCs w:val="24"/>
        </w:rPr>
        <w:t>B/C</w:t>
      </w:r>
      <w:r w:rsidRPr="004B77D6">
        <w:rPr>
          <w:rFonts w:ascii="Calibri" w:hAnsi="Calibri" w:cs="Arial"/>
          <w:b/>
          <w:color w:val="000000"/>
          <w:szCs w:val="24"/>
        </w:rPr>
        <w:tab/>
        <w:t xml:space="preserve"> Wskaźnik korzyści-koszty</w:t>
      </w:r>
      <w:bookmarkStart w:id="437" w:name="_Toc219062878"/>
      <w:bookmarkStart w:id="438" w:name="_Toc219063176"/>
      <w:bookmarkEnd w:id="437"/>
      <w:bookmarkEnd w:id="438"/>
    </w:p>
    <w:p w14:paraId="7CE85387" w14:textId="77777777" w:rsidR="006403DA" w:rsidRDefault="006403DA" w:rsidP="00C2071D">
      <w:pPr>
        <w:pStyle w:val="Tekstpodstawowy22"/>
        <w:spacing w:line="276" w:lineRule="auto"/>
        <w:ind w:left="720"/>
        <w:jc w:val="left"/>
        <w:rPr>
          <w:rFonts w:ascii="Calibri" w:hAnsi="Calibri" w:cs="Arial"/>
          <w:color w:val="000000"/>
          <w:szCs w:val="24"/>
        </w:rPr>
      </w:pPr>
    </w:p>
    <w:p w14:paraId="395D4DB9" w14:textId="6983BDEC" w:rsidR="00C2071D" w:rsidRPr="004B77D6" w:rsidRDefault="00C2071D" w:rsidP="00C2071D">
      <w:pPr>
        <w:pStyle w:val="Tekstpodstawowy22"/>
        <w:spacing w:line="276" w:lineRule="auto"/>
        <w:ind w:left="720"/>
        <w:jc w:val="left"/>
        <w:rPr>
          <w:rFonts w:ascii="Calibri" w:hAnsi="Calibri" w:cs="Arial"/>
          <w:color w:val="000000"/>
          <w:szCs w:val="24"/>
        </w:rPr>
      </w:pPr>
      <w:r w:rsidRPr="004B77D6">
        <w:rPr>
          <w:rFonts w:ascii="Calibri" w:hAnsi="Calibri" w:cs="Arial"/>
          <w:color w:val="000000"/>
          <w:szCs w:val="24"/>
        </w:rPr>
        <w:t>WZÓR</w:t>
      </w:r>
      <w:r w:rsidRPr="004B77D6">
        <w:rPr>
          <w:rFonts w:ascii="Calibri" w:hAnsi="Calibri" w:cs="Arial"/>
          <w:color w:val="000000"/>
          <w:szCs w:val="24"/>
        </w:rPr>
        <w:tab/>
        <w:t xml:space="preserve"> </w:t>
      </w:r>
      <w:bookmarkStart w:id="439" w:name="_Toc219062879"/>
      <w:bookmarkStart w:id="440" w:name="_Toc219063177"/>
      <w:bookmarkEnd w:id="439"/>
      <w:bookmarkEnd w:id="440"/>
    </w:p>
    <w:p w14:paraId="4B7B85E7" w14:textId="42CB07DD" w:rsidR="00C2071D" w:rsidRPr="004B77D6" w:rsidRDefault="00C2071D" w:rsidP="00C2071D">
      <w:pPr>
        <w:pStyle w:val="Tekstpodstawowy22"/>
        <w:spacing w:line="276" w:lineRule="auto"/>
        <w:ind w:left="720"/>
        <w:jc w:val="left"/>
        <w:rPr>
          <w:rFonts w:ascii="Calibri" w:hAnsi="Calibri" w:cs="Arial"/>
          <w:color w:val="000000"/>
          <w:szCs w:val="24"/>
        </w:rPr>
      </w:pPr>
      <w:r w:rsidRPr="004B77D6">
        <w:rPr>
          <w:rFonts w:ascii="Calibri" w:hAnsi="Calibri" w:cs="Arial"/>
          <w:noProof/>
          <w:color w:val="000000"/>
          <w:szCs w:val="24"/>
        </w:rPr>
        <w:drawing>
          <wp:inline distT="0" distB="0" distL="0" distR="0" wp14:anchorId="6B901A3D" wp14:editId="124B7B8B">
            <wp:extent cx="2628900" cy="828675"/>
            <wp:effectExtent l="0" t="0" r="0" b="9525"/>
            <wp:docPr id="1" name="Obraz 1" title="Wzór na obliczenie wskaźnika korzyści: kosz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628900" cy="828675"/>
                    </a:xfrm>
                    <a:prstGeom prst="rect">
                      <a:avLst/>
                    </a:prstGeom>
                    <a:noFill/>
                    <a:ln>
                      <a:noFill/>
                    </a:ln>
                  </pic:spPr>
                </pic:pic>
              </a:graphicData>
            </a:graphic>
          </wp:inline>
        </w:drawing>
      </w:r>
      <w:bookmarkStart w:id="441" w:name="_Toc219062880"/>
      <w:bookmarkStart w:id="442" w:name="_Toc219063178"/>
      <w:bookmarkEnd w:id="441"/>
      <w:bookmarkEnd w:id="442"/>
    </w:p>
    <w:p w14:paraId="5CCCC4A2" w14:textId="5ACF43D1" w:rsidR="00C2071D" w:rsidRPr="004B77D6" w:rsidRDefault="00C2071D" w:rsidP="00C2071D">
      <w:pPr>
        <w:pStyle w:val="Tekstpodstawowy22"/>
        <w:spacing w:line="276" w:lineRule="auto"/>
        <w:ind w:left="720"/>
        <w:jc w:val="left"/>
        <w:rPr>
          <w:rFonts w:ascii="Calibri" w:hAnsi="Calibri" w:cs="Arial"/>
          <w:color w:val="000000"/>
          <w:szCs w:val="24"/>
        </w:rPr>
      </w:pPr>
      <w:r w:rsidRPr="004B77D6">
        <w:rPr>
          <w:rFonts w:ascii="Calibri" w:hAnsi="Calibri" w:cs="Arial"/>
          <w:color w:val="000000"/>
          <w:szCs w:val="24"/>
        </w:rPr>
        <w:t>gdzie:</w:t>
      </w:r>
      <w:bookmarkStart w:id="443" w:name="_Toc219062881"/>
      <w:bookmarkStart w:id="444" w:name="_Toc219063179"/>
      <w:bookmarkEnd w:id="443"/>
      <w:bookmarkEnd w:id="444"/>
    </w:p>
    <w:p w14:paraId="36A07343" w14:textId="7BE77949" w:rsidR="00C2071D" w:rsidRPr="004B77D6" w:rsidRDefault="00C2071D" w:rsidP="00C2071D">
      <w:pPr>
        <w:pStyle w:val="Tekstpodstawowy22"/>
        <w:spacing w:line="276" w:lineRule="auto"/>
        <w:ind w:left="720"/>
        <w:jc w:val="left"/>
        <w:rPr>
          <w:rFonts w:ascii="Calibri" w:hAnsi="Calibri" w:cs="Arial"/>
          <w:color w:val="000000"/>
          <w:szCs w:val="24"/>
        </w:rPr>
      </w:pPr>
      <w:r w:rsidRPr="004B77D6">
        <w:rPr>
          <w:rFonts w:ascii="Calibri" w:hAnsi="Calibri" w:cs="Arial"/>
          <w:color w:val="000000"/>
          <w:szCs w:val="24"/>
        </w:rPr>
        <w:t>B</w:t>
      </w:r>
      <w:r w:rsidRPr="004B77D6">
        <w:rPr>
          <w:rFonts w:ascii="Calibri" w:hAnsi="Calibri" w:cs="Arial"/>
          <w:color w:val="000000"/>
          <w:szCs w:val="24"/>
          <w:vertAlign w:val="superscript"/>
        </w:rPr>
        <w:t>E</w:t>
      </w:r>
      <w:r w:rsidRPr="004B77D6">
        <w:rPr>
          <w:rFonts w:ascii="Calibri" w:hAnsi="Calibri" w:cs="Arial"/>
          <w:color w:val="000000"/>
          <w:szCs w:val="24"/>
        </w:rPr>
        <w:t xml:space="preserve"> – strumienie korzyści ekonomicznych generowanych w wyniku realizacji projektu </w:t>
      </w:r>
      <w:r w:rsidRPr="004B77D6">
        <w:rPr>
          <w:rFonts w:ascii="Calibri" w:hAnsi="Calibri" w:cs="Arial"/>
          <w:color w:val="000000"/>
          <w:szCs w:val="24"/>
        </w:rPr>
        <w:br/>
        <w:t>w poszczególnych latach przyjętego okresu odniesienia analizy,</w:t>
      </w:r>
      <w:bookmarkStart w:id="445" w:name="_Toc219062882"/>
      <w:bookmarkStart w:id="446" w:name="_Toc219063180"/>
      <w:bookmarkEnd w:id="445"/>
      <w:bookmarkEnd w:id="446"/>
    </w:p>
    <w:p w14:paraId="4472A735" w14:textId="219E8BB6" w:rsidR="00C2071D" w:rsidRPr="004B77D6" w:rsidRDefault="00C2071D" w:rsidP="00C2071D">
      <w:pPr>
        <w:pStyle w:val="Tekstpodstawowy22"/>
        <w:spacing w:line="276" w:lineRule="auto"/>
        <w:ind w:left="720"/>
        <w:jc w:val="left"/>
        <w:rPr>
          <w:rFonts w:ascii="Calibri" w:hAnsi="Calibri" w:cs="Arial"/>
          <w:color w:val="000000"/>
          <w:szCs w:val="24"/>
        </w:rPr>
      </w:pPr>
      <w:r w:rsidRPr="004B77D6">
        <w:rPr>
          <w:rFonts w:ascii="Calibri" w:hAnsi="Calibri" w:cs="Arial"/>
          <w:color w:val="000000"/>
          <w:szCs w:val="24"/>
        </w:rPr>
        <w:t>C</w:t>
      </w:r>
      <w:r w:rsidRPr="004B77D6">
        <w:rPr>
          <w:rFonts w:ascii="Calibri" w:hAnsi="Calibri" w:cs="Arial"/>
          <w:color w:val="000000"/>
          <w:szCs w:val="24"/>
          <w:vertAlign w:val="superscript"/>
        </w:rPr>
        <w:t>E</w:t>
      </w:r>
      <w:r w:rsidRPr="004B77D6">
        <w:rPr>
          <w:rFonts w:ascii="Calibri" w:hAnsi="Calibri" w:cs="Arial"/>
          <w:color w:val="000000"/>
          <w:szCs w:val="24"/>
        </w:rPr>
        <w:t xml:space="preserve"> – strumienie kosztów ekonomicznych generowanych w wyniku realizacji projektu </w:t>
      </w:r>
      <w:r w:rsidRPr="004B77D6">
        <w:rPr>
          <w:rFonts w:ascii="Calibri" w:hAnsi="Calibri" w:cs="Arial"/>
          <w:color w:val="000000"/>
          <w:szCs w:val="24"/>
        </w:rPr>
        <w:br/>
        <w:t>w poszczególnych latach przyjętego okresu odniesienia analizy,</w:t>
      </w:r>
      <w:bookmarkStart w:id="447" w:name="_Toc219062883"/>
      <w:bookmarkStart w:id="448" w:name="_Toc219063181"/>
      <w:bookmarkEnd w:id="447"/>
      <w:bookmarkEnd w:id="448"/>
    </w:p>
    <w:p w14:paraId="7D857C3C" w14:textId="773F4A68" w:rsidR="00C2071D" w:rsidRPr="004B77D6" w:rsidRDefault="00C2071D" w:rsidP="00C2071D">
      <w:pPr>
        <w:pStyle w:val="Tekstpodstawowy22"/>
        <w:spacing w:line="276" w:lineRule="auto"/>
        <w:ind w:left="720"/>
        <w:jc w:val="left"/>
        <w:rPr>
          <w:rFonts w:ascii="Calibri" w:hAnsi="Calibri" w:cs="Arial"/>
          <w:color w:val="000000"/>
          <w:szCs w:val="24"/>
        </w:rPr>
      </w:pPr>
      <w:r w:rsidRPr="004B77D6">
        <w:rPr>
          <w:rFonts w:ascii="Calibri" w:hAnsi="Calibri" w:cs="Arial"/>
          <w:color w:val="000000"/>
          <w:szCs w:val="24"/>
        </w:rPr>
        <w:t xml:space="preserve">n – okres </w:t>
      </w:r>
      <w:r w:rsidR="006C31C3" w:rsidRPr="004B77D6">
        <w:rPr>
          <w:rFonts w:ascii="Calibri" w:hAnsi="Calibri" w:cs="Arial"/>
          <w:color w:val="000000"/>
          <w:szCs w:val="24"/>
        </w:rPr>
        <w:t>odniesienia (</w:t>
      </w:r>
      <w:r w:rsidRPr="004B77D6">
        <w:rPr>
          <w:rFonts w:ascii="Calibri" w:hAnsi="Calibri" w:cs="Arial"/>
          <w:color w:val="000000"/>
          <w:szCs w:val="24"/>
        </w:rPr>
        <w:t xml:space="preserve">liczba lat) </w:t>
      </w:r>
      <w:r w:rsidRPr="004B77D6">
        <w:rPr>
          <w:rFonts w:ascii="Calibri" w:hAnsi="Calibri" w:cs="Arial"/>
          <w:b/>
          <w:color w:val="000000"/>
          <w:szCs w:val="24"/>
        </w:rPr>
        <w:t>pomniejszona o 1</w:t>
      </w:r>
      <w:r w:rsidRPr="004B77D6">
        <w:rPr>
          <w:rFonts w:ascii="Calibri" w:hAnsi="Calibri" w:cs="Arial"/>
          <w:color w:val="000000"/>
          <w:szCs w:val="24"/>
        </w:rPr>
        <w:t>,</w:t>
      </w:r>
      <w:bookmarkStart w:id="449" w:name="_Toc219062884"/>
      <w:bookmarkStart w:id="450" w:name="_Toc219063182"/>
      <w:bookmarkEnd w:id="449"/>
      <w:bookmarkEnd w:id="450"/>
    </w:p>
    <w:p w14:paraId="04FBFDCA" w14:textId="7CA984B4" w:rsidR="00C2071D" w:rsidRPr="004B77D6" w:rsidRDefault="00C2071D" w:rsidP="00C2071D">
      <w:pPr>
        <w:pStyle w:val="Tekstpodstawowy22"/>
        <w:spacing w:line="276" w:lineRule="auto"/>
        <w:ind w:left="720"/>
        <w:jc w:val="left"/>
        <w:rPr>
          <w:rFonts w:ascii="Calibri" w:hAnsi="Calibri" w:cs="Arial"/>
          <w:color w:val="000000"/>
          <w:szCs w:val="24"/>
        </w:rPr>
      </w:pPr>
      <w:r w:rsidRPr="004B77D6">
        <w:rPr>
          <w:rFonts w:ascii="Calibri" w:hAnsi="Calibri" w:cs="Arial"/>
          <w:color w:val="000000"/>
          <w:szCs w:val="24"/>
        </w:rPr>
        <w:t>a – ekonomiczny współczynnik dyskontowy,</w:t>
      </w:r>
      <w:bookmarkStart w:id="451" w:name="_Toc219062885"/>
      <w:bookmarkStart w:id="452" w:name="_Toc219063183"/>
      <w:bookmarkEnd w:id="451"/>
      <w:bookmarkEnd w:id="452"/>
    </w:p>
    <w:p w14:paraId="5243E8C0" w14:textId="2D48D409" w:rsidR="00C2071D" w:rsidRPr="004B77D6" w:rsidRDefault="00C2071D" w:rsidP="00C2071D">
      <w:pPr>
        <w:pStyle w:val="Tekstpodstawowy22"/>
        <w:spacing w:line="276" w:lineRule="auto"/>
        <w:ind w:left="720"/>
        <w:jc w:val="left"/>
        <w:rPr>
          <w:rFonts w:ascii="Calibri" w:hAnsi="Calibri" w:cs="Arial"/>
          <w:color w:val="000000"/>
          <w:szCs w:val="24"/>
        </w:rPr>
      </w:pPr>
      <w:r w:rsidRPr="004B77D6">
        <w:rPr>
          <w:rFonts w:ascii="Calibri" w:hAnsi="Calibri" w:cs="Arial"/>
          <w:noProof/>
          <w:color w:val="000000"/>
          <w:szCs w:val="24"/>
        </w:rPr>
        <w:lastRenderedPageBreak/>
        <w:drawing>
          <wp:inline distT="0" distB="0" distL="0" distR="0" wp14:anchorId="74CF2DD4" wp14:editId="4B1E0FE8">
            <wp:extent cx="800100" cy="428625"/>
            <wp:effectExtent l="0" t="0" r="0" b="9525"/>
            <wp:docPr id="13" name="Obraz 13" title="wzór na obliczenie finansowego współczynnika dyskontow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800100" cy="428625"/>
                    </a:xfrm>
                    <a:prstGeom prst="rect">
                      <a:avLst/>
                    </a:prstGeom>
                    <a:noFill/>
                    <a:ln>
                      <a:noFill/>
                    </a:ln>
                  </pic:spPr>
                </pic:pic>
              </a:graphicData>
            </a:graphic>
          </wp:inline>
        </w:drawing>
      </w:r>
      <w:bookmarkStart w:id="453" w:name="_Toc219062886"/>
      <w:bookmarkStart w:id="454" w:name="_Toc219063184"/>
      <w:bookmarkEnd w:id="453"/>
      <w:bookmarkEnd w:id="454"/>
    </w:p>
    <w:p w14:paraId="1244FAB3" w14:textId="1CEF7E86" w:rsidR="00C2071D" w:rsidRPr="004B77D6" w:rsidRDefault="00C2071D" w:rsidP="00C2071D">
      <w:pPr>
        <w:pStyle w:val="Tekstpodstawowy22"/>
        <w:spacing w:line="276" w:lineRule="auto"/>
        <w:ind w:left="720"/>
        <w:jc w:val="left"/>
        <w:rPr>
          <w:rFonts w:ascii="Calibri" w:hAnsi="Calibri" w:cs="Arial"/>
          <w:color w:val="000000"/>
          <w:szCs w:val="24"/>
        </w:rPr>
      </w:pPr>
      <w:r w:rsidRPr="004B77D6">
        <w:rPr>
          <w:rFonts w:ascii="Calibri" w:hAnsi="Calibri" w:cs="Arial"/>
          <w:color w:val="000000"/>
          <w:szCs w:val="24"/>
        </w:rPr>
        <w:t xml:space="preserve">r – przyjęta </w:t>
      </w:r>
      <w:r w:rsidR="006C31C3" w:rsidRPr="004B77D6">
        <w:rPr>
          <w:rFonts w:ascii="Calibri" w:hAnsi="Calibri" w:cs="Arial"/>
          <w:color w:val="000000"/>
          <w:szCs w:val="24"/>
        </w:rPr>
        <w:t>społeczna stopa</w:t>
      </w:r>
      <w:r w:rsidRPr="004B77D6">
        <w:rPr>
          <w:rFonts w:ascii="Calibri" w:hAnsi="Calibri" w:cs="Arial"/>
          <w:color w:val="000000"/>
          <w:szCs w:val="24"/>
        </w:rPr>
        <w:t xml:space="preserve"> dyskontowa.</w:t>
      </w:r>
      <w:bookmarkStart w:id="455" w:name="_Toc219062887"/>
      <w:bookmarkStart w:id="456" w:name="_Toc219063185"/>
      <w:bookmarkEnd w:id="455"/>
      <w:bookmarkEnd w:id="456"/>
    </w:p>
    <w:p w14:paraId="22A3AE72" w14:textId="77777777" w:rsidR="00E3070A" w:rsidRDefault="00E3070A" w:rsidP="00E3070A">
      <w:pPr>
        <w:rPr>
          <w:rFonts w:asciiTheme="minorHAnsi" w:hAnsiTheme="minorHAnsi" w:cstheme="minorHAnsi"/>
          <w:b/>
          <w:bCs/>
        </w:rPr>
      </w:pPr>
      <w:bookmarkStart w:id="457" w:name="_Toc485046388"/>
      <w:bookmarkStart w:id="458" w:name="_Toc485382847"/>
      <w:bookmarkStart w:id="459" w:name="_Toc485046392"/>
      <w:bookmarkStart w:id="460" w:name="_Toc485382851"/>
      <w:bookmarkStart w:id="461" w:name="_Toc485046393"/>
      <w:bookmarkStart w:id="462" w:name="_Toc485382852"/>
      <w:bookmarkStart w:id="463" w:name="_Toc485046397"/>
      <w:bookmarkStart w:id="464" w:name="_Toc485382856"/>
      <w:bookmarkStart w:id="465" w:name="_Toc485046402"/>
      <w:bookmarkStart w:id="466" w:name="_Toc485382861"/>
      <w:bookmarkStart w:id="467" w:name="_Toc485046405"/>
      <w:bookmarkStart w:id="468" w:name="_Toc485382864"/>
      <w:bookmarkStart w:id="469" w:name="_Toc485046409"/>
      <w:bookmarkStart w:id="470" w:name="_Toc485382868"/>
      <w:bookmarkStart w:id="471" w:name="_Toc485046411"/>
      <w:bookmarkStart w:id="472" w:name="_Toc485382870"/>
      <w:bookmarkStart w:id="473" w:name="_Toc485046416"/>
      <w:bookmarkStart w:id="474" w:name="_Toc485382875"/>
      <w:bookmarkStart w:id="475" w:name="_Toc485046419"/>
      <w:bookmarkStart w:id="476" w:name="_Toc485382878"/>
      <w:bookmarkStart w:id="477" w:name="_Toc485046445"/>
      <w:bookmarkStart w:id="478" w:name="_Toc485382904"/>
      <w:bookmarkStart w:id="479" w:name="_Toc485046470"/>
      <w:bookmarkStart w:id="480" w:name="_Toc485382929"/>
      <w:bookmarkStart w:id="481" w:name="_Toc485046489"/>
      <w:bookmarkStart w:id="482" w:name="_Toc485382948"/>
      <w:bookmarkStart w:id="483" w:name="_Toc485046491"/>
      <w:bookmarkStart w:id="484" w:name="_Toc485382950"/>
      <w:bookmarkStart w:id="485" w:name="_Toc477857433"/>
      <w:bookmarkStart w:id="486" w:name="_Toc127344057"/>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p>
    <w:p w14:paraId="12627530" w14:textId="62C842EB" w:rsidR="00CC66EB" w:rsidRPr="00CC66EB" w:rsidRDefault="00CC66EB" w:rsidP="00CC66EB">
      <w:pPr>
        <w:pStyle w:val="Nagwek1"/>
        <w:numPr>
          <w:ilvl w:val="0"/>
          <w:numId w:val="0"/>
        </w:numPr>
        <w:spacing w:before="0" w:after="120"/>
        <w:rPr>
          <w:rFonts w:asciiTheme="minorHAnsi" w:eastAsia="Calibri" w:hAnsiTheme="minorHAnsi" w:cstheme="minorHAnsi"/>
          <w:sz w:val="24"/>
          <w:szCs w:val="24"/>
          <w:lang w:eastAsia="en-US"/>
        </w:rPr>
      </w:pPr>
      <w:bookmarkStart w:id="487" w:name="_Toc241839707"/>
      <w:bookmarkEnd w:id="485"/>
      <w:bookmarkEnd w:id="486"/>
      <w:r w:rsidRPr="00CC66EB">
        <w:rPr>
          <w:rFonts w:asciiTheme="minorHAnsi" w:eastAsia="Calibri" w:hAnsiTheme="minorHAnsi" w:cstheme="minorHAnsi"/>
          <w:sz w:val="24"/>
          <w:szCs w:val="24"/>
          <w:lang w:eastAsia="en-US"/>
        </w:rPr>
        <w:t>1.1.</w:t>
      </w:r>
      <w:r>
        <w:rPr>
          <w:rFonts w:asciiTheme="minorHAnsi" w:eastAsia="Calibri" w:hAnsiTheme="minorHAnsi" w:cstheme="minorHAnsi"/>
          <w:sz w:val="24"/>
          <w:szCs w:val="24"/>
          <w:lang w:eastAsia="en-US"/>
        </w:rPr>
        <w:t>11</w:t>
      </w:r>
      <w:r w:rsidRPr="00CC66EB">
        <w:rPr>
          <w:rFonts w:asciiTheme="minorHAnsi" w:eastAsia="Calibri" w:hAnsiTheme="minorHAnsi" w:cstheme="minorHAnsi"/>
          <w:sz w:val="24"/>
          <w:szCs w:val="24"/>
          <w:lang w:eastAsia="en-US"/>
        </w:rPr>
        <w:t xml:space="preserve"> </w:t>
      </w:r>
      <w:r>
        <w:rPr>
          <w:rFonts w:asciiTheme="minorHAnsi" w:hAnsiTheme="minorHAnsi" w:cstheme="minorHAnsi"/>
          <w:sz w:val="24"/>
          <w:szCs w:val="24"/>
        </w:rPr>
        <w:t>ANALIZA KOSZTÓW I KORZYŚCI</w:t>
      </w:r>
      <w:bookmarkEnd w:id="487"/>
    </w:p>
    <w:p w14:paraId="21B5578E" w14:textId="0ABA6961" w:rsidR="00C2071D" w:rsidRPr="004B77D6" w:rsidRDefault="00C2071D" w:rsidP="00A21818">
      <w:pPr>
        <w:spacing w:before="120" w:after="120" w:line="276" w:lineRule="auto"/>
        <w:rPr>
          <w:rFonts w:ascii="Calibri" w:hAnsi="Calibri"/>
          <w:szCs w:val="24"/>
        </w:rPr>
      </w:pPr>
      <w:r w:rsidRPr="004B77D6">
        <w:rPr>
          <w:rFonts w:ascii="Calibri" w:hAnsi="Calibri"/>
          <w:szCs w:val="24"/>
        </w:rPr>
        <w:t xml:space="preserve">Bada </w:t>
      </w:r>
      <w:r w:rsidRPr="004B77D6">
        <w:rPr>
          <w:rFonts w:ascii="Calibri" w:hAnsi="Calibri"/>
          <w:i/>
          <w:szCs w:val="24"/>
        </w:rPr>
        <w:t>efektywność projektu</w:t>
      </w:r>
      <w:r w:rsidRPr="004B77D6">
        <w:rPr>
          <w:rFonts w:ascii="Calibri" w:hAnsi="Calibri"/>
          <w:szCs w:val="24"/>
        </w:rPr>
        <w:t>, tj. czy środki przeznaczone zostały na właściwe cele oraz czy korzyści wynikające z ich rozdysponowania są większe od poniesionych kosztów. Analiza powinna wykazać, jakie wymierne efekty dla społeczności lokalnej zostaną wygenerowane przez projekt. W zależności od rodzaju projektu opracowanie może przybrać formę analizy ekonomicznej lub analizy efektywności kosztowej.</w:t>
      </w:r>
      <w:bookmarkStart w:id="488" w:name="_Toc219062889"/>
      <w:bookmarkStart w:id="489" w:name="_Toc219063187"/>
      <w:bookmarkEnd w:id="488"/>
      <w:bookmarkEnd w:id="489"/>
    </w:p>
    <w:p w14:paraId="62F108F2" w14:textId="38E89609" w:rsidR="009370FF" w:rsidRDefault="009370FF" w:rsidP="009370FF">
      <w:pPr>
        <w:spacing w:before="120" w:after="120" w:line="276" w:lineRule="auto"/>
        <w:rPr>
          <w:rFonts w:ascii="Calibri" w:hAnsi="Calibri"/>
          <w:szCs w:val="24"/>
        </w:rPr>
      </w:pPr>
      <w:r w:rsidRPr="009370FF">
        <w:rPr>
          <w:rFonts w:ascii="Calibri" w:hAnsi="Calibri"/>
          <w:b/>
          <w:bCs/>
          <w:szCs w:val="24"/>
        </w:rPr>
        <w:t>Analiza ekonomiczna</w:t>
      </w:r>
      <w:r w:rsidRPr="009370FF">
        <w:rPr>
          <w:rFonts w:ascii="Calibri" w:hAnsi="Calibri"/>
          <w:szCs w:val="24"/>
        </w:rPr>
        <w:t xml:space="preserve"> </w:t>
      </w:r>
      <w:bookmarkStart w:id="490" w:name="_Toc219062890"/>
      <w:bookmarkStart w:id="491" w:name="_Toc219063188"/>
      <w:bookmarkEnd w:id="490"/>
      <w:bookmarkEnd w:id="491"/>
    </w:p>
    <w:p w14:paraId="30A50F6E" w14:textId="587B041D" w:rsidR="009370FF" w:rsidRPr="009A4DEF" w:rsidRDefault="009370FF" w:rsidP="004D0859">
      <w:pPr>
        <w:pStyle w:val="Akapitzlist"/>
        <w:numPr>
          <w:ilvl w:val="0"/>
          <w:numId w:val="58"/>
        </w:numPr>
        <w:spacing w:before="120" w:after="120"/>
        <w:rPr>
          <w:sz w:val="24"/>
          <w:szCs w:val="24"/>
        </w:rPr>
      </w:pPr>
      <w:r w:rsidRPr="009A4DEF">
        <w:rPr>
          <w:sz w:val="24"/>
          <w:szCs w:val="24"/>
        </w:rPr>
        <w:t>Analiza ekonomiczna jest pełną formą analizy kosztów i korzyści. Przeprowadza się ją jeżeli zmierzenie i zaprezentowanie korzyści projektów w kategoriach pieniężnych jest możliwe.</w:t>
      </w:r>
      <w:bookmarkStart w:id="492" w:name="_Toc219062891"/>
      <w:bookmarkStart w:id="493" w:name="_Toc219063189"/>
      <w:bookmarkEnd w:id="492"/>
      <w:bookmarkEnd w:id="493"/>
    </w:p>
    <w:p w14:paraId="342CC9CD" w14:textId="4447E2EF" w:rsidR="009370FF" w:rsidRPr="009A4DEF" w:rsidRDefault="009370FF" w:rsidP="004D0859">
      <w:pPr>
        <w:pStyle w:val="Akapitzlist"/>
        <w:numPr>
          <w:ilvl w:val="0"/>
          <w:numId w:val="58"/>
        </w:numPr>
        <w:spacing w:before="120" w:after="120"/>
        <w:rPr>
          <w:sz w:val="24"/>
          <w:szCs w:val="24"/>
        </w:rPr>
      </w:pPr>
      <w:r w:rsidRPr="009A4DEF">
        <w:rPr>
          <w:sz w:val="24"/>
          <w:szCs w:val="24"/>
        </w:rPr>
        <w:t>Analiza ekonomiczna przeprowadzana jest w drodze skorygowania wyników analizy finansowej o efekty fiskalne, efekty zewnętrzne oraz ceny rozrachunkowe.</w:t>
      </w:r>
      <w:bookmarkStart w:id="494" w:name="_Toc219062892"/>
      <w:bookmarkStart w:id="495" w:name="_Toc219063190"/>
      <w:bookmarkEnd w:id="494"/>
      <w:bookmarkEnd w:id="495"/>
    </w:p>
    <w:p w14:paraId="53B625CF" w14:textId="30E84C67" w:rsidR="009370FF" w:rsidRPr="009A4DEF" w:rsidRDefault="009370FF" w:rsidP="004D0859">
      <w:pPr>
        <w:pStyle w:val="Akapitzlist"/>
        <w:numPr>
          <w:ilvl w:val="0"/>
          <w:numId w:val="58"/>
        </w:numPr>
        <w:spacing w:before="120" w:after="120"/>
        <w:rPr>
          <w:sz w:val="24"/>
          <w:szCs w:val="24"/>
        </w:rPr>
      </w:pPr>
      <w:r w:rsidRPr="009A4DEF">
        <w:rPr>
          <w:sz w:val="24"/>
          <w:szCs w:val="24"/>
        </w:rPr>
        <w:t xml:space="preserve">Do oszacowania kosztów i korzyści ekonomicznych stosowana jest, podobnie jak </w:t>
      </w:r>
      <w:r w:rsidR="009C07F8">
        <w:rPr>
          <w:sz w:val="24"/>
          <w:szCs w:val="24"/>
        </w:rPr>
        <w:br/>
      </w:r>
      <w:r w:rsidRPr="009A4DEF">
        <w:rPr>
          <w:sz w:val="24"/>
          <w:szCs w:val="24"/>
        </w:rPr>
        <w:t>w analizie finansowej, metoda DCF</w:t>
      </w:r>
      <w:r w:rsidRPr="009A4DEF">
        <w:rPr>
          <w:sz w:val="24"/>
          <w:szCs w:val="24"/>
          <w:lang w:val="pl-PL"/>
        </w:rPr>
        <w:t>.</w:t>
      </w:r>
      <w:bookmarkStart w:id="496" w:name="_Toc219062893"/>
      <w:bookmarkStart w:id="497" w:name="_Toc219063191"/>
      <w:bookmarkEnd w:id="496"/>
      <w:bookmarkEnd w:id="497"/>
    </w:p>
    <w:p w14:paraId="0E3C354D" w14:textId="045989E0" w:rsidR="009370FF" w:rsidRPr="009A4DEF" w:rsidRDefault="009370FF" w:rsidP="004D0859">
      <w:pPr>
        <w:pStyle w:val="Akapitzlist"/>
        <w:numPr>
          <w:ilvl w:val="0"/>
          <w:numId w:val="58"/>
        </w:numPr>
        <w:spacing w:before="120" w:after="120"/>
        <w:rPr>
          <w:sz w:val="24"/>
          <w:szCs w:val="24"/>
        </w:rPr>
      </w:pPr>
      <w:r w:rsidRPr="009A4DEF">
        <w:rPr>
          <w:sz w:val="24"/>
          <w:szCs w:val="24"/>
        </w:rPr>
        <w:t xml:space="preserve"> Analizę ekonomiczną przeprowadza się w cenach stałych (patrz: Wykaz pojęć – ceny stałe). Społeczna stopa dyskontowa (społeczny wskaźnik waloryzacji), jaką należy przyjąć w analizie ekonomicznej, zgodnie z rekomendacją zawartą w Vademecum AE, wynosi </w:t>
      </w:r>
      <w:r w:rsidRPr="009A4DEF">
        <w:rPr>
          <w:b/>
          <w:bCs/>
          <w:sz w:val="24"/>
          <w:szCs w:val="24"/>
        </w:rPr>
        <w:t>3%.</w:t>
      </w:r>
      <w:r w:rsidRPr="009A4DEF">
        <w:rPr>
          <w:sz w:val="24"/>
          <w:szCs w:val="24"/>
        </w:rPr>
        <w:t xml:space="preserve"> </w:t>
      </w:r>
      <w:bookmarkStart w:id="498" w:name="_Toc219062894"/>
      <w:bookmarkStart w:id="499" w:name="_Toc219063192"/>
      <w:bookmarkEnd w:id="498"/>
      <w:bookmarkEnd w:id="499"/>
    </w:p>
    <w:p w14:paraId="6AAB3B4F" w14:textId="13664ECE" w:rsidR="009370FF" w:rsidRPr="009A4DEF" w:rsidRDefault="009370FF" w:rsidP="004D0859">
      <w:pPr>
        <w:pStyle w:val="Akapitzlist"/>
        <w:numPr>
          <w:ilvl w:val="0"/>
          <w:numId w:val="58"/>
        </w:numPr>
        <w:spacing w:before="120" w:after="120"/>
        <w:rPr>
          <w:sz w:val="24"/>
          <w:szCs w:val="24"/>
        </w:rPr>
      </w:pPr>
      <w:r w:rsidRPr="009A4DEF">
        <w:rPr>
          <w:sz w:val="24"/>
          <w:szCs w:val="24"/>
        </w:rPr>
        <w:t xml:space="preserve">Podstawą do przeprowadzenia analizy ekonomicznej są przepływy środków pieniężnych określone w analizie finansowej. Przy określaniu ekonomicznych wskaźników efektywności należy jednak dokonać niezbędnych korekt dotyczących: </w:t>
      </w:r>
      <w:bookmarkStart w:id="500" w:name="_Toc219062895"/>
      <w:bookmarkStart w:id="501" w:name="_Toc219063193"/>
      <w:bookmarkEnd w:id="500"/>
      <w:bookmarkEnd w:id="501"/>
    </w:p>
    <w:p w14:paraId="0E147795" w14:textId="64FB2852" w:rsidR="009370FF" w:rsidRPr="009A4DEF" w:rsidRDefault="009370FF" w:rsidP="004D0859">
      <w:pPr>
        <w:pStyle w:val="Akapitzlist"/>
        <w:numPr>
          <w:ilvl w:val="0"/>
          <w:numId w:val="59"/>
        </w:numPr>
        <w:spacing w:before="120" w:after="120"/>
        <w:rPr>
          <w:sz w:val="24"/>
          <w:szCs w:val="24"/>
        </w:rPr>
      </w:pPr>
      <w:r w:rsidRPr="009A4DEF">
        <w:rPr>
          <w:sz w:val="24"/>
          <w:szCs w:val="24"/>
        </w:rPr>
        <w:t>efektów fiskalnych (transferów),</w:t>
      </w:r>
      <w:bookmarkStart w:id="502" w:name="_Toc219062896"/>
      <w:bookmarkStart w:id="503" w:name="_Toc219063194"/>
      <w:bookmarkEnd w:id="502"/>
      <w:bookmarkEnd w:id="503"/>
    </w:p>
    <w:p w14:paraId="20F41912" w14:textId="3FA2A996" w:rsidR="009370FF" w:rsidRPr="009A4DEF" w:rsidRDefault="009370FF" w:rsidP="004D0859">
      <w:pPr>
        <w:pStyle w:val="Akapitzlist"/>
        <w:numPr>
          <w:ilvl w:val="0"/>
          <w:numId w:val="59"/>
        </w:numPr>
        <w:spacing w:before="120" w:after="120"/>
        <w:rPr>
          <w:sz w:val="24"/>
          <w:szCs w:val="24"/>
        </w:rPr>
      </w:pPr>
      <w:r w:rsidRPr="009A4DEF">
        <w:rPr>
          <w:sz w:val="24"/>
          <w:szCs w:val="24"/>
        </w:rPr>
        <w:t xml:space="preserve">efektów zewnętrznych, </w:t>
      </w:r>
      <w:bookmarkStart w:id="504" w:name="_Toc219062897"/>
      <w:bookmarkStart w:id="505" w:name="_Toc219063195"/>
      <w:bookmarkEnd w:id="504"/>
      <w:bookmarkEnd w:id="505"/>
    </w:p>
    <w:p w14:paraId="42E6AD88" w14:textId="5A8F3BCA" w:rsidR="009370FF" w:rsidRPr="009A4DEF" w:rsidRDefault="009370FF" w:rsidP="004D0859">
      <w:pPr>
        <w:pStyle w:val="Akapitzlist"/>
        <w:numPr>
          <w:ilvl w:val="0"/>
          <w:numId w:val="59"/>
        </w:numPr>
        <w:spacing w:before="120" w:after="120"/>
        <w:rPr>
          <w:sz w:val="24"/>
          <w:szCs w:val="24"/>
        </w:rPr>
      </w:pPr>
      <w:r w:rsidRPr="009A4DEF">
        <w:rPr>
          <w:sz w:val="24"/>
          <w:szCs w:val="24"/>
        </w:rPr>
        <w:t xml:space="preserve">przekształceń z cen rynkowych na ceny rozrachunkowe. </w:t>
      </w:r>
      <w:bookmarkStart w:id="506" w:name="_Toc219062898"/>
      <w:bookmarkStart w:id="507" w:name="_Toc219063196"/>
      <w:bookmarkEnd w:id="506"/>
      <w:bookmarkEnd w:id="507"/>
    </w:p>
    <w:p w14:paraId="478276B3" w14:textId="417D0E6D" w:rsidR="009370FF" w:rsidRPr="009A4DEF" w:rsidRDefault="009370FF" w:rsidP="004D0859">
      <w:pPr>
        <w:pStyle w:val="Akapitzlist"/>
        <w:numPr>
          <w:ilvl w:val="0"/>
          <w:numId w:val="58"/>
        </w:numPr>
        <w:spacing w:before="120" w:after="120"/>
        <w:rPr>
          <w:sz w:val="24"/>
          <w:szCs w:val="24"/>
        </w:rPr>
      </w:pPr>
      <w:r w:rsidRPr="009A4DEF">
        <w:rPr>
          <w:sz w:val="24"/>
          <w:szCs w:val="24"/>
        </w:rPr>
        <w:t xml:space="preserve">Korekty fiskalne polegają, m.in. na skorygowaniu następujących pozycji: </w:t>
      </w:r>
      <w:bookmarkStart w:id="508" w:name="_Toc219062899"/>
      <w:bookmarkStart w:id="509" w:name="_Toc219063197"/>
      <w:bookmarkEnd w:id="508"/>
      <w:bookmarkEnd w:id="509"/>
    </w:p>
    <w:p w14:paraId="5F3B9AD5" w14:textId="7AEFA314" w:rsidR="009370FF" w:rsidRPr="009A4DEF" w:rsidRDefault="009370FF" w:rsidP="004D0859">
      <w:pPr>
        <w:pStyle w:val="Akapitzlist"/>
        <w:numPr>
          <w:ilvl w:val="0"/>
          <w:numId w:val="60"/>
        </w:numPr>
        <w:spacing w:before="120" w:after="120"/>
        <w:rPr>
          <w:sz w:val="24"/>
          <w:szCs w:val="24"/>
        </w:rPr>
      </w:pPr>
      <w:r w:rsidRPr="009A4DEF">
        <w:rPr>
          <w:sz w:val="24"/>
          <w:szCs w:val="24"/>
        </w:rPr>
        <w:t xml:space="preserve">odliczeniu podatków pośrednich (np. VAT, który w analizie finansowej był uwzględniany w cenach, czy też podatku akcyzowego), </w:t>
      </w:r>
      <w:bookmarkStart w:id="510" w:name="_Toc219062900"/>
      <w:bookmarkStart w:id="511" w:name="_Toc219063198"/>
      <w:bookmarkEnd w:id="510"/>
      <w:bookmarkEnd w:id="511"/>
    </w:p>
    <w:p w14:paraId="4EF48FE8" w14:textId="5EF2E394" w:rsidR="009370FF" w:rsidRPr="009A4DEF" w:rsidRDefault="009370FF" w:rsidP="004D0859">
      <w:pPr>
        <w:pStyle w:val="Akapitzlist"/>
        <w:numPr>
          <w:ilvl w:val="0"/>
          <w:numId w:val="60"/>
        </w:numPr>
        <w:spacing w:before="120" w:after="120"/>
        <w:rPr>
          <w:sz w:val="24"/>
          <w:szCs w:val="24"/>
        </w:rPr>
      </w:pPr>
      <w:r w:rsidRPr="009A4DEF">
        <w:rPr>
          <w:sz w:val="24"/>
          <w:szCs w:val="24"/>
        </w:rPr>
        <w:t xml:space="preserve">odliczeniu subwencji i wpłat, mających charakter wyłącznie przekazu pieniężnego – tzw. ”czystych” płatności transferowych przekazywanych przez podmioty publiczne na rzecz osób fizycznych (np. płatności z tytułu ubezpieczeń społecznych), </w:t>
      </w:r>
      <w:bookmarkStart w:id="512" w:name="_Toc219062901"/>
      <w:bookmarkStart w:id="513" w:name="_Toc219063199"/>
      <w:bookmarkEnd w:id="512"/>
      <w:bookmarkEnd w:id="513"/>
    </w:p>
    <w:p w14:paraId="44DE4376" w14:textId="695D4200" w:rsidR="009370FF" w:rsidRPr="009A4DEF" w:rsidRDefault="009370FF" w:rsidP="004D0859">
      <w:pPr>
        <w:pStyle w:val="Akapitzlist"/>
        <w:numPr>
          <w:ilvl w:val="0"/>
          <w:numId w:val="60"/>
        </w:numPr>
        <w:spacing w:before="120" w:after="120"/>
        <w:rPr>
          <w:sz w:val="24"/>
          <w:szCs w:val="24"/>
        </w:rPr>
      </w:pPr>
      <w:r w:rsidRPr="009A4DEF">
        <w:rPr>
          <w:sz w:val="24"/>
          <w:szCs w:val="24"/>
        </w:rPr>
        <w:t xml:space="preserve">uwzględnieniu w cenie tych konkretnych podatków pośrednich / subwencji / dotacji, które mają za zadanie zmienić efekty zewnętrzne. Jednakże należy pamiętać, aby w </w:t>
      </w:r>
      <w:r w:rsidRPr="009A4DEF">
        <w:rPr>
          <w:sz w:val="24"/>
          <w:szCs w:val="24"/>
        </w:rPr>
        <w:lastRenderedPageBreak/>
        <w:t xml:space="preserve">trakcie analizy nie liczyć ich podwójnie (przykładowo jako podatek włączony do danej ceny oraz jako szacunkowy zewnętrzny koszt środowiskowy). </w:t>
      </w:r>
      <w:bookmarkStart w:id="514" w:name="_Toc219062902"/>
      <w:bookmarkStart w:id="515" w:name="_Toc219063200"/>
      <w:bookmarkEnd w:id="514"/>
      <w:bookmarkEnd w:id="515"/>
    </w:p>
    <w:p w14:paraId="7B776247" w14:textId="5CA8FF97" w:rsidR="009A4DEF" w:rsidRPr="009A4DEF" w:rsidRDefault="009370FF" w:rsidP="004D0859">
      <w:pPr>
        <w:pStyle w:val="Akapitzlist"/>
        <w:numPr>
          <w:ilvl w:val="0"/>
          <w:numId w:val="58"/>
        </w:numPr>
        <w:spacing w:before="120" w:after="120"/>
        <w:rPr>
          <w:sz w:val="24"/>
          <w:szCs w:val="24"/>
        </w:rPr>
      </w:pPr>
      <w:r w:rsidRPr="009A4DEF">
        <w:rPr>
          <w:sz w:val="24"/>
          <w:szCs w:val="24"/>
        </w:rPr>
        <w:t xml:space="preserve">Korekta dotycząca efektów zewnętrznych ma na celu ustalenie wartości negatywnych </w:t>
      </w:r>
      <w:r w:rsidR="009A4DEF" w:rsidRPr="009A4DEF">
        <w:rPr>
          <w:sz w:val="24"/>
          <w:szCs w:val="24"/>
        </w:rPr>
        <w:br/>
      </w:r>
      <w:r w:rsidRPr="009A4DEF">
        <w:rPr>
          <w:sz w:val="24"/>
          <w:szCs w:val="24"/>
        </w:rPr>
        <w:t xml:space="preserve">i pozytywnych skutków projektu (odpowiednio kosztów i korzyści zewnętrznych). Ponieważ efekty zewnętrzne, z samej definicji, następują bez pieniężnego przepływu, nie są one uwzględnione w analizie finansowej, w związku z czym muszą zostać oszacowane i wycenione. W przypadku, gdy wyrażenie ich za pomocą wartości pieniężnych jest niemożliwe, należy skwantyfikować je w kategoriach materialnych </w:t>
      </w:r>
      <w:r w:rsidR="009C07F8">
        <w:rPr>
          <w:sz w:val="24"/>
          <w:szCs w:val="24"/>
        </w:rPr>
        <w:br/>
      </w:r>
      <w:r w:rsidRPr="009A4DEF">
        <w:rPr>
          <w:sz w:val="24"/>
          <w:szCs w:val="24"/>
        </w:rPr>
        <w:t>w celu dokonania oceny jakościowej. Należy wówczas wyraźnie zaznaczyć, że nie zostały one ujęte przy obliczaniu wskaźników analizy ekonomicznej.</w:t>
      </w:r>
      <w:bookmarkStart w:id="516" w:name="_Toc219062903"/>
      <w:bookmarkStart w:id="517" w:name="_Toc219063201"/>
      <w:bookmarkEnd w:id="516"/>
      <w:bookmarkEnd w:id="517"/>
    </w:p>
    <w:p w14:paraId="1EC1CE50" w14:textId="776F4071" w:rsidR="009A4DEF" w:rsidRPr="009A4DEF" w:rsidRDefault="009370FF" w:rsidP="004D0859">
      <w:pPr>
        <w:pStyle w:val="Akapitzlist"/>
        <w:numPr>
          <w:ilvl w:val="0"/>
          <w:numId w:val="58"/>
        </w:numPr>
        <w:spacing w:before="120" w:after="120"/>
        <w:rPr>
          <w:sz w:val="24"/>
          <w:szCs w:val="24"/>
        </w:rPr>
      </w:pPr>
      <w:r w:rsidRPr="009A4DEF">
        <w:rPr>
          <w:sz w:val="24"/>
          <w:szCs w:val="24"/>
        </w:rPr>
        <w:t xml:space="preserve">Przekształcenie z cen rynkowych w ceny rozrachunkowe (ukryte) ma na celu uwzględnienie czynników mogących oderwać ceny od równowagi konkurencyjnej </w:t>
      </w:r>
      <w:r w:rsidR="009C07F8">
        <w:rPr>
          <w:sz w:val="24"/>
          <w:szCs w:val="24"/>
        </w:rPr>
        <w:br/>
      </w:r>
      <w:r w:rsidRPr="009A4DEF">
        <w:rPr>
          <w:sz w:val="24"/>
          <w:szCs w:val="24"/>
        </w:rPr>
        <w:t xml:space="preserve">(tj. skutecznego rynku), takich jak: niedoskonałości rynku, monopole, bariery handlowe, regulacje w zakresie prawa pracy, niepełna informacja itp. Przeliczanie cen rynkowych na rozrachunkowe ma na celu zapewnienie, że te ostatnie będą odzwierciedlały koszt alternatywny wkładu w projekt oraz gotowość klienta do zapłaty za produkt końcowy. W szczególności, w przypadku gdy wynagrodzenie finansowe nie odzwierciedla alternatywnego kosztu pracy, należy skorygować je do poziomu wynagrodzenia ukrytego (ang. </w:t>
      </w:r>
      <w:proofErr w:type="spellStart"/>
      <w:r w:rsidRPr="009A4DEF">
        <w:rPr>
          <w:sz w:val="24"/>
          <w:szCs w:val="24"/>
        </w:rPr>
        <w:t>shadow</w:t>
      </w:r>
      <w:proofErr w:type="spellEnd"/>
      <w:r w:rsidRPr="009A4DEF">
        <w:rPr>
          <w:sz w:val="24"/>
          <w:szCs w:val="24"/>
        </w:rPr>
        <w:t xml:space="preserve"> </w:t>
      </w:r>
      <w:proofErr w:type="spellStart"/>
      <w:r w:rsidRPr="009A4DEF">
        <w:rPr>
          <w:sz w:val="24"/>
          <w:szCs w:val="24"/>
        </w:rPr>
        <w:t>wage</w:t>
      </w:r>
      <w:proofErr w:type="spellEnd"/>
      <w:r w:rsidRPr="009A4DEF">
        <w:rPr>
          <w:sz w:val="24"/>
          <w:szCs w:val="24"/>
        </w:rPr>
        <w:t xml:space="preserve">). Szczegółowe informacje na temat przekształcania cen rynkowych na ceny rozrachunkowe wraz z przykładowymi czynnikami konwersji przedstawione zostały w Vademecum AE. </w:t>
      </w:r>
      <w:bookmarkStart w:id="518" w:name="_Toc219062904"/>
      <w:bookmarkStart w:id="519" w:name="_Toc219063202"/>
      <w:bookmarkEnd w:id="518"/>
      <w:bookmarkEnd w:id="519"/>
    </w:p>
    <w:p w14:paraId="0D1ACF8C" w14:textId="0CF2FA6B" w:rsidR="009A4DEF" w:rsidRPr="009A4DEF" w:rsidRDefault="009370FF" w:rsidP="004D0859">
      <w:pPr>
        <w:pStyle w:val="Akapitzlist"/>
        <w:numPr>
          <w:ilvl w:val="0"/>
          <w:numId w:val="58"/>
        </w:numPr>
        <w:spacing w:before="120" w:after="120"/>
        <w:rPr>
          <w:sz w:val="24"/>
          <w:szCs w:val="24"/>
        </w:rPr>
      </w:pPr>
      <w:r w:rsidRPr="009A4DEF">
        <w:rPr>
          <w:sz w:val="24"/>
          <w:szCs w:val="24"/>
        </w:rPr>
        <w:t xml:space="preserve">W celu dokonania oceny ekonomicznej projektu należy posłużyć się następującymi ekonomicznymi wskaźnikami efektywności: </w:t>
      </w:r>
      <w:bookmarkStart w:id="520" w:name="_Toc219062905"/>
      <w:bookmarkStart w:id="521" w:name="_Toc219063203"/>
      <w:bookmarkEnd w:id="520"/>
      <w:bookmarkEnd w:id="521"/>
    </w:p>
    <w:p w14:paraId="7B2EFBBD" w14:textId="4CA82B0A" w:rsidR="009A4DEF" w:rsidRPr="009A4DEF" w:rsidRDefault="009370FF" w:rsidP="004D0859">
      <w:pPr>
        <w:pStyle w:val="Akapitzlist"/>
        <w:numPr>
          <w:ilvl w:val="0"/>
          <w:numId w:val="61"/>
        </w:numPr>
        <w:spacing w:before="120" w:after="120"/>
        <w:rPr>
          <w:sz w:val="24"/>
          <w:szCs w:val="24"/>
        </w:rPr>
      </w:pPr>
      <w:r w:rsidRPr="009A4DEF">
        <w:rPr>
          <w:sz w:val="24"/>
          <w:szCs w:val="24"/>
        </w:rPr>
        <w:t xml:space="preserve">ENPV, która powinna być większa od zera, </w:t>
      </w:r>
      <w:bookmarkStart w:id="522" w:name="_Toc219062906"/>
      <w:bookmarkStart w:id="523" w:name="_Toc219063204"/>
      <w:bookmarkEnd w:id="522"/>
      <w:bookmarkEnd w:id="523"/>
    </w:p>
    <w:p w14:paraId="486F02F2" w14:textId="7DCCC632" w:rsidR="009A4DEF" w:rsidRPr="009A4DEF" w:rsidRDefault="009370FF" w:rsidP="004D0859">
      <w:pPr>
        <w:pStyle w:val="Akapitzlist"/>
        <w:numPr>
          <w:ilvl w:val="0"/>
          <w:numId w:val="61"/>
        </w:numPr>
        <w:spacing w:before="120" w:after="120"/>
        <w:rPr>
          <w:sz w:val="24"/>
          <w:szCs w:val="24"/>
        </w:rPr>
      </w:pPr>
      <w:r w:rsidRPr="009A4DEF">
        <w:rPr>
          <w:sz w:val="24"/>
          <w:szCs w:val="24"/>
        </w:rPr>
        <w:t xml:space="preserve">ERR, która powinna przewyższać przyjętą stopę dyskontową, </w:t>
      </w:r>
      <w:bookmarkStart w:id="524" w:name="_Toc219062907"/>
      <w:bookmarkStart w:id="525" w:name="_Toc219063205"/>
      <w:bookmarkEnd w:id="524"/>
      <w:bookmarkEnd w:id="525"/>
    </w:p>
    <w:p w14:paraId="16BE46A0" w14:textId="2733C68E" w:rsidR="009A4DEF" w:rsidRPr="009A4DEF" w:rsidRDefault="009370FF" w:rsidP="004D0859">
      <w:pPr>
        <w:pStyle w:val="Akapitzlist"/>
        <w:numPr>
          <w:ilvl w:val="0"/>
          <w:numId w:val="61"/>
        </w:numPr>
        <w:spacing w:before="120" w:after="120"/>
        <w:rPr>
          <w:sz w:val="24"/>
          <w:szCs w:val="24"/>
        </w:rPr>
      </w:pPr>
      <w:r w:rsidRPr="009A4DEF">
        <w:rPr>
          <w:sz w:val="24"/>
          <w:szCs w:val="24"/>
        </w:rPr>
        <w:t xml:space="preserve">relacją zdyskontowanych korzyści do zdyskontowanych kosztów (B/C), która powinna być wyższa od jedności. </w:t>
      </w:r>
      <w:bookmarkStart w:id="526" w:name="_Toc219062908"/>
      <w:bookmarkStart w:id="527" w:name="_Toc219063206"/>
      <w:bookmarkEnd w:id="526"/>
      <w:bookmarkEnd w:id="527"/>
    </w:p>
    <w:p w14:paraId="0531A45C" w14:textId="77E916EF" w:rsidR="009A4DEF" w:rsidRPr="009A4DEF" w:rsidRDefault="009370FF" w:rsidP="004D0859">
      <w:pPr>
        <w:pStyle w:val="Akapitzlist"/>
        <w:numPr>
          <w:ilvl w:val="0"/>
          <w:numId w:val="58"/>
        </w:numPr>
        <w:spacing w:before="120" w:after="120"/>
        <w:rPr>
          <w:sz w:val="24"/>
          <w:szCs w:val="24"/>
        </w:rPr>
      </w:pPr>
      <w:r w:rsidRPr="009A4DEF">
        <w:rPr>
          <w:sz w:val="24"/>
          <w:szCs w:val="24"/>
        </w:rPr>
        <w:t>Ekonomiczna bieżąca wartość netto inwestycji jest różnicą ogółu zdyskontowanych korzyści i kosztów związanych z inwestycją. Uznaje się, że projekt jest efektywny ekonomicznie, jeżeli wskaźnik ekonomicznej bieżącej wartości netto jest dodatni</w:t>
      </w:r>
      <w:r w:rsidR="009A4DEF" w:rsidRPr="009A4DEF">
        <w:rPr>
          <w:sz w:val="24"/>
          <w:szCs w:val="24"/>
          <w:lang w:val="pl-PL"/>
        </w:rPr>
        <w:t xml:space="preserve">. </w:t>
      </w:r>
      <w:r w:rsidR="009A4DEF">
        <w:rPr>
          <w:sz w:val="24"/>
          <w:szCs w:val="24"/>
          <w:lang w:val="pl-PL"/>
        </w:rPr>
        <w:br/>
      </w:r>
      <w:r w:rsidRPr="009A4DEF">
        <w:rPr>
          <w:sz w:val="24"/>
          <w:szCs w:val="24"/>
        </w:rPr>
        <w:t xml:space="preserve">W przypadku projektów, w których ze względu na ich specyfikę nie jest możliwe określenie ENPV, istnieje możliwość przeprowadzenia analizy efektywności kosztowej. </w:t>
      </w:r>
      <w:bookmarkStart w:id="528" w:name="_Toc219062909"/>
      <w:bookmarkStart w:id="529" w:name="_Toc219063207"/>
      <w:bookmarkEnd w:id="528"/>
      <w:bookmarkEnd w:id="529"/>
    </w:p>
    <w:p w14:paraId="75A9373A" w14:textId="127BEBF2" w:rsidR="009A4DEF" w:rsidRPr="009A4DEF" w:rsidRDefault="009370FF" w:rsidP="004D0859">
      <w:pPr>
        <w:pStyle w:val="Akapitzlist"/>
        <w:numPr>
          <w:ilvl w:val="0"/>
          <w:numId w:val="58"/>
        </w:numPr>
        <w:spacing w:before="120" w:after="120"/>
        <w:rPr>
          <w:sz w:val="24"/>
          <w:szCs w:val="24"/>
        </w:rPr>
      </w:pPr>
      <w:r w:rsidRPr="009A4DEF">
        <w:rPr>
          <w:sz w:val="24"/>
          <w:szCs w:val="24"/>
        </w:rPr>
        <w:t xml:space="preserve">Ekonomiczna stopa zwrotu (ERR) określa ekonomiczny zwrot z projektu. </w:t>
      </w:r>
      <w:r w:rsidR="009A4DEF">
        <w:rPr>
          <w:sz w:val="24"/>
          <w:szCs w:val="24"/>
        </w:rPr>
        <w:br/>
      </w:r>
      <w:r w:rsidRPr="009A4DEF">
        <w:rPr>
          <w:sz w:val="24"/>
          <w:szCs w:val="24"/>
        </w:rPr>
        <w:t xml:space="preserve">W przypadku, gdy wartość ENPV wynosi zero, tzn. bieżąca wartość przyszłych korzyści ekonomicznych jest równa bieżącej wartości kosztów ekonomicznych projektu, ERR jest równe przyjętej stopie dyskontowej. W przypadku, gdy ERR jest niższe od przyjętej stopy dyskontowej, ENPV jest ujemne, co oznacza, że bieżąca wartość przyszłych korzyści ekonomicznych jest niższa niż bieżąca wartość kosztów ekonomicznych projektu. Jeżeli </w:t>
      </w:r>
      <w:r w:rsidRPr="009A4DEF">
        <w:rPr>
          <w:sz w:val="24"/>
          <w:szCs w:val="24"/>
        </w:rPr>
        <w:lastRenderedPageBreak/>
        <w:t xml:space="preserve">ekonomiczna stopa zwrotu jest mniejsza od zastosowanej stopy dyskontowej, wówczas projekt nie jest efektywny ekonomicznie </w:t>
      </w:r>
      <w:r w:rsidR="009C07F8">
        <w:rPr>
          <w:sz w:val="24"/>
          <w:szCs w:val="24"/>
        </w:rPr>
        <w:br/>
      </w:r>
      <w:r w:rsidRPr="009A4DEF">
        <w:rPr>
          <w:sz w:val="24"/>
          <w:szCs w:val="24"/>
        </w:rPr>
        <w:t xml:space="preserve">i nie powinien zostać zakwalifikowany do dofinansowania. </w:t>
      </w:r>
      <w:bookmarkStart w:id="530" w:name="_Toc219062910"/>
      <w:bookmarkStart w:id="531" w:name="_Toc219063208"/>
      <w:bookmarkEnd w:id="530"/>
      <w:bookmarkEnd w:id="531"/>
    </w:p>
    <w:p w14:paraId="0FA42968" w14:textId="13AADF67" w:rsidR="009A4DEF" w:rsidRPr="009A4DEF" w:rsidRDefault="009370FF" w:rsidP="004D0859">
      <w:pPr>
        <w:pStyle w:val="Akapitzlist"/>
        <w:numPr>
          <w:ilvl w:val="0"/>
          <w:numId w:val="58"/>
        </w:numPr>
        <w:spacing w:before="120" w:after="120"/>
        <w:rPr>
          <w:sz w:val="24"/>
          <w:szCs w:val="24"/>
        </w:rPr>
      </w:pPr>
      <w:r w:rsidRPr="009A4DEF">
        <w:rPr>
          <w:sz w:val="24"/>
          <w:szCs w:val="24"/>
        </w:rPr>
        <w:t xml:space="preserve">Wskaźnik B/C (korzyści/koszty) ustala się jako stosunek sumy zdyskontowanych korzyści do sumy zdyskontowanych kosztów generowanych w okresie odniesienia. Uznaje się, że inwestycja jest efektywna, jeżeli wskaźnik B/C jest większy od jedności, co oznacza, że wartość korzyści przekracza wartość kosztów inwestycji. </w:t>
      </w:r>
      <w:bookmarkStart w:id="532" w:name="_Toc219062911"/>
      <w:bookmarkStart w:id="533" w:name="_Toc219063209"/>
      <w:bookmarkEnd w:id="532"/>
      <w:bookmarkEnd w:id="533"/>
    </w:p>
    <w:p w14:paraId="20F04AB0" w14:textId="1AD50D24" w:rsidR="009A4DEF" w:rsidRPr="009A4DEF" w:rsidRDefault="009370FF" w:rsidP="004D0859">
      <w:pPr>
        <w:pStyle w:val="Akapitzlist"/>
        <w:numPr>
          <w:ilvl w:val="0"/>
          <w:numId w:val="58"/>
        </w:numPr>
        <w:spacing w:before="120" w:after="120"/>
        <w:rPr>
          <w:sz w:val="24"/>
          <w:szCs w:val="24"/>
        </w:rPr>
      </w:pPr>
      <w:r w:rsidRPr="009A4DEF">
        <w:rPr>
          <w:sz w:val="24"/>
          <w:szCs w:val="24"/>
        </w:rPr>
        <w:t xml:space="preserve">Wzory do obliczenia powyższych wskaźników zostały przedstawione w Załączniku 1 do Wytycznych. </w:t>
      </w:r>
      <w:bookmarkStart w:id="534" w:name="_Toc219062912"/>
      <w:bookmarkStart w:id="535" w:name="_Toc219063210"/>
      <w:bookmarkEnd w:id="534"/>
      <w:bookmarkEnd w:id="535"/>
    </w:p>
    <w:p w14:paraId="47D4B27E" w14:textId="110FE57B" w:rsidR="009A4DEF" w:rsidRPr="009A4DEF" w:rsidRDefault="009370FF" w:rsidP="004D0859">
      <w:pPr>
        <w:pStyle w:val="Akapitzlist"/>
        <w:numPr>
          <w:ilvl w:val="0"/>
          <w:numId w:val="58"/>
        </w:numPr>
        <w:spacing w:before="120" w:after="120"/>
        <w:rPr>
          <w:sz w:val="24"/>
          <w:szCs w:val="24"/>
        </w:rPr>
      </w:pPr>
      <w:r w:rsidRPr="009A4DEF">
        <w:rPr>
          <w:sz w:val="24"/>
          <w:szCs w:val="24"/>
        </w:rPr>
        <w:t xml:space="preserve">Te spośród czynników społeczno-gospodarczych, których nie da się wyrazić </w:t>
      </w:r>
      <w:r w:rsidR="00BA5C81">
        <w:rPr>
          <w:sz w:val="24"/>
          <w:szCs w:val="24"/>
        </w:rPr>
        <w:br/>
      </w:r>
      <w:r w:rsidRPr="009A4DEF">
        <w:rPr>
          <w:sz w:val="24"/>
          <w:szCs w:val="24"/>
        </w:rPr>
        <w:t>w wartościach pieniężnych, należy określić ilościowo i jakościowo, biorąc pod uwagę wszystkie istotne społeczne, ekonomiczne i środowiskowe skutki realizacji projektu.</w:t>
      </w:r>
      <w:bookmarkStart w:id="536" w:name="_Toc219062913"/>
      <w:bookmarkStart w:id="537" w:name="_Toc219063211"/>
      <w:bookmarkEnd w:id="536"/>
      <w:bookmarkEnd w:id="537"/>
    </w:p>
    <w:p w14:paraId="271406E2" w14:textId="22F1D3CB" w:rsidR="009A4DEF" w:rsidRDefault="009370FF" w:rsidP="00A21818">
      <w:pPr>
        <w:spacing w:before="120" w:after="120"/>
        <w:rPr>
          <w:rFonts w:ascii="Calibri" w:hAnsi="Calibri" w:cs="Calibri"/>
          <w:szCs w:val="24"/>
        </w:rPr>
      </w:pPr>
      <w:r w:rsidRPr="009A4DEF">
        <w:rPr>
          <w:rFonts w:ascii="Calibri" w:hAnsi="Calibri" w:cs="Calibri"/>
          <w:b/>
          <w:bCs/>
          <w:szCs w:val="24"/>
        </w:rPr>
        <w:t>Analiza efektywności kosztowej</w:t>
      </w:r>
      <w:r w:rsidRPr="009A4DEF">
        <w:rPr>
          <w:rFonts w:ascii="Calibri" w:hAnsi="Calibri" w:cs="Calibri"/>
          <w:szCs w:val="24"/>
        </w:rPr>
        <w:t xml:space="preserve"> </w:t>
      </w:r>
      <w:bookmarkStart w:id="538" w:name="_Toc219062914"/>
      <w:bookmarkStart w:id="539" w:name="_Toc219063212"/>
      <w:bookmarkEnd w:id="538"/>
      <w:bookmarkEnd w:id="539"/>
    </w:p>
    <w:p w14:paraId="01D9BF99" w14:textId="480D52B6" w:rsidR="009A4DEF" w:rsidRDefault="009370FF" w:rsidP="004D0859">
      <w:pPr>
        <w:pStyle w:val="Akapitzlist"/>
        <w:numPr>
          <w:ilvl w:val="0"/>
          <w:numId w:val="62"/>
        </w:numPr>
        <w:spacing w:before="120" w:after="120"/>
        <w:ind w:left="709" w:hanging="283"/>
        <w:rPr>
          <w:rFonts w:cs="Calibri"/>
          <w:sz w:val="24"/>
          <w:szCs w:val="24"/>
        </w:rPr>
      </w:pPr>
      <w:r w:rsidRPr="009A4DEF">
        <w:rPr>
          <w:rFonts w:cs="Calibri"/>
          <w:sz w:val="24"/>
          <w:szCs w:val="24"/>
        </w:rPr>
        <w:t xml:space="preserve">Analiza kosztów i korzyści może przybrać formę analizy efektywności kosztowej wyłącznie w sytuacji, gdy korzyści danego projektu są trudne bądź wręcz niemożliwe do oszacowania, natomiast wymiar kosztów można określić z dużą dozą prawdopodobieństwa. </w:t>
      </w:r>
      <w:bookmarkStart w:id="540" w:name="_Toc219062915"/>
      <w:bookmarkStart w:id="541" w:name="_Toc219063213"/>
      <w:bookmarkEnd w:id="540"/>
      <w:bookmarkEnd w:id="541"/>
    </w:p>
    <w:p w14:paraId="2905A905" w14:textId="27EEA403" w:rsidR="009A4DEF" w:rsidRDefault="009370FF" w:rsidP="004D0859">
      <w:pPr>
        <w:pStyle w:val="Akapitzlist"/>
        <w:numPr>
          <w:ilvl w:val="0"/>
          <w:numId w:val="62"/>
        </w:numPr>
        <w:spacing w:before="120" w:after="120"/>
        <w:ind w:left="709" w:hanging="283"/>
        <w:rPr>
          <w:rFonts w:cs="Calibri"/>
          <w:sz w:val="24"/>
          <w:szCs w:val="24"/>
        </w:rPr>
      </w:pPr>
      <w:r w:rsidRPr="009A4DEF">
        <w:rPr>
          <w:rFonts w:cs="Calibri"/>
          <w:sz w:val="24"/>
          <w:szCs w:val="24"/>
        </w:rPr>
        <w:t xml:space="preserve">Skorzystanie z analizy efektywności kosztowej jest uzasadnione szczególnie </w:t>
      </w:r>
      <w:r w:rsidR="009A4DEF">
        <w:rPr>
          <w:rFonts w:cs="Calibri"/>
          <w:sz w:val="24"/>
          <w:szCs w:val="24"/>
        </w:rPr>
        <w:br/>
      </w:r>
      <w:r w:rsidRPr="009A4DEF">
        <w:rPr>
          <w:rFonts w:cs="Calibri"/>
          <w:sz w:val="24"/>
          <w:szCs w:val="24"/>
        </w:rPr>
        <w:t>w przypadku projektów realizowanych w związku z koniecznością</w:t>
      </w:r>
      <w:r w:rsidR="009A4DEF" w:rsidRPr="009A4DEF">
        <w:rPr>
          <w:rFonts w:cs="Calibri"/>
          <w:sz w:val="24"/>
          <w:szCs w:val="24"/>
          <w:lang w:val="pl-PL"/>
        </w:rPr>
        <w:t xml:space="preserve"> </w:t>
      </w:r>
      <w:r w:rsidRPr="009A4DEF">
        <w:rPr>
          <w:rFonts w:cs="Calibri"/>
          <w:sz w:val="24"/>
          <w:szCs w:val="24"/>
        </w:rPr>
        <w:t xml:space="preserve">podporządkowania się przepisom UE. W odniesieniu do projektów tego rodzaju analiza powinna skupić się na wykazaniu, że dany projekt stanowi najbardziej efektywne źródło zaspokojenia określonych potrzeb społecznych. </w:t>
      </w:r>
      <w:bookmarkStart w:id="542" w:name="_Toc219062916"/>
      <w:bookmarkStart w:id="543" w:name="_Toc219063214"/>
      <w:bookmarkEnd w:id="542"/>
      <w:bookmarkEnd w:id="543"/>
    </w:p>
    <w:p w14:paraId="69D03512" w14:textId="4A840161" w:rsidR="009A4DEF" w:rsidRDefault="009370FF" w:rsidP="004D0859">
      <w:pPr>
        <w:pStyle w:val="Akapitzlist"/>
        <w:numPr>
          <w:ilvl w:val="0"/>
          <w:numId w:val="62"/>
        </w:numPr>
        <w:spacing w:before="120" w:after="120"/>
        <w:ind w:left="709" w:hanging="283"/>
        <w:rPr>
          <w:rFonts w:cs="Calibri"/>
          <w:sz w:val="24"/>
          <w:szCs w:val="24"/>
        </w:rPr>
      </w:pPr>
      <w:r w:rsidRPr="009A4DEF">
        <w:rPr>
          <w:rFonts w:cs="Calibri"/>
          <w:sz w:val="24"/>
          <w:szCs w:val="24"/>
        </w:rPr>
        <w:t xml:space="preserve">Analiza efektywności kosztowej jest przeprowadzana w drodze obliczenia jednostkowego kosztu osiągnięcia niepieniężnych korzyści, wymaga ich skwantyfikowania, jednak nie przypisuje im wartości pieniężnych. Wymogi zastosowania analizy efektywności kosztowej są następujące: </w:t>
      </w:r>
      <w:bookmarkStart w:id="544" w:name="_Toc219062917"/>
      <w:bookmarkStart w:id="545" w:name="_Toc219063215"/>
      <w:bookmarkEnd w:id="544"/>
      <w:bookmarkEnd w:id="545"/>
    </w:p>
    <w:p w14:paraId="25A98D01" w14:textId="39A955DA" w:rsidR="009A4DEF" w:rsidRDefault="009370FF" w:rsidP="004D0859">
      <w:pPr>
        <w:pStyle w:val="Akapitzlist"/>
        <w:numPr>
          <w:ilvl w:val="0"/>
          <w:numId w:val="63"/>
        </w:numPr>
        <w:spacing w:before="120" w:after="120"/>
        <w:rPr>
          <w:rFonts w:cs="Calibri"/>
          <w:sz w:val="24"/>
          <w:szCs w:val="24"/>
        </w:rPr>
      </w:pPr>
      <w:r w:rsidRPr="009A4DEF">
        <w:rPr>
          <w:rFonts w:cs="Calibri"/>
          <w:sz w:val="24"/>
          <w:szCs w:val="24"/>
        </w:rPr>
        <w:t xml:space="preserve">w efekcie realizacji projektu powstaje jeden niepodzielny i łatwo mierzalny produkt, </w:t>
      </w:r>
      <w:bookmarkStart w:id="546" w:name="_Toc219062918"/>
      <w:bookmarkStart w:id="547" w:name="_Toc219063216"/>
      <w:bookmarkEnd w:id="546"/>
      <w:bookmarkEnd w:id="547"/>
    </w:p>
    <w:p w14:paraId="4CC284B0" w14:textId="7171B448" w:rsidR="009A4DEF" w:rsidRDefault="009370FF" w:rsidP="004D0859">
      <w:pPr>
        <w:pStyle w:val="Akapitzlist"/>
        <w:numPr>
          <w:ilvl w:val="0"/>
          <w:numId w:val="63"/>
        </w:numPr>
        <w:spacing w:before="120" w:after="120"/>
        <w:rPr>
          <w:rFonts w:cs="Calibri"/>
          <w:sz w:val="24"/>
          <w:szCs w:val="24"/>
        </w:rPr>
      </w:pPr>
      <w:r w:rsidRPr="009A4DEF">
        <w:rPr>
          <w:rFonts w:cs="Calibri"/>
          <w:sz w:val="24"/>
          <w:szCs w:val="24"/>
        </w:rPr>
        <w:t xml:space="preserve">produkt projektu jest niezbędny dla zapewnienia podstawowych potrzeb społecznych, </w:t>
      </w:r>
      <w:bookmarkStart w:id="548" w:name="_Toc219062919"/>
      <w:bookmarkStart w:id="549" w:name="_Toc219063217"/>
      <w:bookmarkEnd w:id="548"/>
      <w:bookmarkEnd w:id="549"/>
    </w:p>
    <w:p w14:paraId="7EA01D86" w14:textId="4B978926" w:rsidR="009A4DEF" w:rsidRDefault="009370FF" w:rsidP="004D0859">
      <w:pPr>
        <w:pStyle w:val="Akapitzlist"/>
        <w:numPr>
          <w:ilvl w:val="0"/>
          <w:numId w:val="63"/>
        </w:numPr>
        <w:spacing w:before="120" w:after="120"/>
        <w:rPr>
          <w:rFonts w:cs="Calibri"/>
          <w:sz w:val="24"/>
          <w:szCs w:val="24"/>
        </w:rPr>
      </w:pPr>
      <w:r w:rsidRPr="009A4DEF">
        <w:rPr>
          <w:rFonts w:cs="Calibri"/>
          <w:sz w:val="24"/>
          <w:szCs w:val="24"/>
        </w:rPr>
        <w:t xml:space="preserve">projekt ma na celu osiągnięcie założonego produktu przy minimalnym koszcie, nie występują znaczące koszty zewnętrzne, </w:t>
      </w:r>
      <w:bookmarkStart w:id="550" w:name="_Toc219062920"/>
      <w:bookmarkStart w:id="551" w:name="_Toc219063218"/>
      <w:bookmarkEnd w:id="550"/>
      <w:bookmarkEnd w:id="551"/>
    </w:p>
    <w:p w14:paraId="7CC44BEA" w14:textId="5B457BBE" w:rsidR="009A4DEF" w:rsidRDefault="009370FF" w:rsidP="004D0859">
      <w:pPr>
        <w:pStyle w:val="Akapitzlist"/>
        <w:numPr>
          <w:ilvl w:val="0"/>
          <w:numId w:val="63"/>
        </w:numPr>
        <w:spacing w:before="120" w:after="120"/>
        <w:rPr>
          <w:rFonts w:cs="Calibri"/>
          <w:sz w:val="24"/>
          <w:szCs w:val="24"/>
        </w:rPr>
      </w:pPr>
      <w:r w:rsidRPr="009A4DEF">
        <w:rPr>
          <w:rFonts w:cs="Calibri"/>
          <w:sz w:val="24"/>
          <w:szCs w:val="24"/>
        </w:rPr>
        <w:t>istnieje szerokie spektrum wskaźników pozwalających na zweryfikowanie faktu, czy wybrana do realizacji projektu technologia spełnia minimalne wymagania</w:t>
      </w:r>
      <w:r w:rsidR="009A4DEF">
        <w:rPr>
          <w:rFonts w:cs="Calibri"/>
          <w:sz w:val="24"/>
          <w:szCs w:val="24"/>
          <w:lang w:val="pl-PL"/>
        </w:rPr>
        <w:t xml:space="preserve"> </w:t>
      </w:r>
      <w:r w:rsidRPr="009A4DEF">
        <w:rPr>
          <w:rFonts w:cs="Calibri"/>
          <w:sz w:val="24"/>
          <w:szCs w:val="24"/>
        </w:rPr>
        <w:t xml:space="preserve">efektywności kosztowej. </w:t>
      </w:r>
      <w:bookmarkStart w:id="552" w:name="_Toc219062921"/>
      <w:bookmarkStart w:id="553" w:name="_Toc219063219"/>
      <w:bookmarkEnd w:id="552"/>
      <w:bookmarkEnd w:id="553"/>
    </w:p>
    <w:p w14:paraId="524B2FE6" w14:textId="136FA13F" w:rsidR="003958B7" w:rsidRPr="009A4DEF" w:rsidRDefault="009370FF" w:rsidP="004D0859">
      <w:pPr>
        <w:pStyle w:val="Akapitzlist"/>
        <w:numPr>
          <w:ilvl w:val="0"/>
          <w:numId w:val="62"/>
        </w:numPr>
        <w:spacing w:before="120" w:after="120"/>
        <w:ind w:left="709" w:hanging="283"/>
        <w:rPr>
          <w:rFonts w:cs="Calibri"/>
          <w:sz w:val="24"/>
          <w:szCs w:val="24"/>
        </w:rPr>
      </w:pPr>
      <w:r w:rsidRPr="009A4DEF">
        <w:rPr>
          <w:rFonts w:cs="Calibri"/>
          <w:sz w:val="24"/>
          <w:szCs w:val="24"/>
        </w:rPr>
        <w:t xml:space="preserve">Analiza efektywności kosztowej może również stanowić uzupełniający element </w:t>
      </w:r>
      <w:r w:rsidR="009A4DEF">
        <w:rPr>
          <w:rFonts w:cs="Calibri"/>
          <w:sz w:val="24"/>
          <w:szCs w:val="24"/>
        </w:rPr>
        <w:br/>
      </w:r>
      <w:r w:rsidRPr="009A4DEF">
        <w:rPr>
          <w:rFonts w:cs="Calibri"/>
          <w:sz w:val="24"/>
          <w:szCs w:val="24"/>
        </w:rPr>
        <w:t xml:space="preserve">w stosunku do analizy kosztów i korzyści w formie analizy ekonomicznej, </w:t>
      </w:r>
      <w:r w:rsidR="00BA5C81">
        <w:rPr>
          <w:rFonts w:cs="Calibri"/>
          <w:sz w:val="24"/>
          <w:szCs w:val="24"/>
        </w:rPr>
        <w:br/>
      </w:r>
      <w:r w:rsidRPr="009A4DEF">
        <w:rPr>
          <w:rFonts w:cs="Calibri"/>
          <w:sz w:val="24"/>
          <w:szCs w:val="24"/>
        </w:rPr>
        <w:lastRenderedPageBreak/>
        <w:t>np. w przypadku stosowania wskaźnika efektywności kosztowej w ramach analizy opcji lub w procesie wyboru (rankingowania) projektów do dofinansowania.</w:t>
      </w:r>
      <w:bookmarkStart w:id="554" w:name="_Toc219062922"/>
      <w:bookmarkStart w:id="555" w:name="_Toc219063220"/>
      <w:bookmarkEnd w:id="554"/>
      <w:bookmarkEnd w:id="555"/>
    </w:p>
    <w:p w14:paraId="154EF6FD" w14:textId="537F769C" w:rsidR="00CC66EB" w:rsidRPr="00CC66EB" w:rsidRDefault="00CC66EB" w:rsidP="00CC66EB">
      <w:pPr>
        <w:pStyle w:val="Nagwek1"/>
        <w:numPr>
          <w:ilvl w:val="0"/>
          <w:numId w:val="0"/>
        </w:numPr>
        <w:spacing w:before="0" w:after="120"/>
        <w:rPr>
          <w:rFonts w:asciiTheme="minorHAnsi" w:eastAsia="Calibri" w:hAnsiTheme="minorHAnsi" w:cstheme="minorHAnsi"/>
          <w:sz w:val="24"/>
          <w:szCs w:val="24"/>
          <w:lang w:eastAsia="en-US"/>
        </w:rPr>
      </w:pPr>
      <w:bookmarkStart w:id="556" w:name="_Toc241839708"/>
      <w:r w:rsidRPr="00CC66EB">
        <w:rPr>
          <w:rFonts w:asciiTheme="minorHAnsi" w:eastAsia="Calibri" w:hAnsiTheme="minorHAnsi" w:cstheme="minorHAnsi"/>
          <w:sz w:val="24"/>
          <w:szCs w:val="24"/>
          <w:lang w:eastAsia="en-US"/>
        </w:rPr>
        <w:t>1.1.</w:t>
      </w:r>
      <w:r>
        <w:rPr>
          <w:rFonts w:asciiTheme="minorHAnsi" w:eastAsia="Calibri" w:hAnsiTheme="minorHAnsi" w:cstheme="minorHAnsi"/>
          <w:sz w:val="24"/>
          <w:szCs w:val="24"/>
          <w:lang w:eastAsia="en-US"/>
        </w:rPr>
        <w:t>12</w:t>
      </w:r>
      <w:r w:rsidRPr="00CC66EB">
        <w:rPr>
          <w:rFonts w:asciiTheme="minorHAnsi" w:eastAsia="Calibri" w:hAnsiTheme="minorHAnsi" w:cstheme="minorHAnsi"/>
          <w:sz w:val="24"/>
          <w:szCs w:val="24"/>
          <w:lang w:eastAsia="en-US"/>
        </w:rPr>
        <w:t xml:space="preserve"> </w:t>
      </w:r>
      <w:r>
        <w:rPr>
          <w:rFonts w:asciiTheme="minorHAnsi" w:hAnsiTheme="minorHAnsi" w:cstheme="minorHAnsi"/>
          <w:sz w:val="24"/>
          <w:szCs w:val="24"/>
        </w:rPr>
        <w:t>ANALIZA RYZYKA I WRAŻLIWOŚCI</w:t>
      </w:r>
      <w:bookmarkEnd w:id="556"/>
    </w:p>
    <w:p w14:paraId="736A635E" w14:textId="0A8378E6" w:rsidR="00C2071D" w:rsidRPr="004B77D6" w:rsidRDefault="00C2071D" w:rsidP="004D0859">
      <w:pPr>
        <w:pStyle w:val="Tekstpodstawowy22"/>
        <w:numPr>
          <w:ilvl w:val="0"/>
          <w:numId w:val="27"/>
        </w:numPr>
        <w:spacing w:before="120" w:after="120" w:line="276" w:lineRule="auto"/>
        <w:jc w:val="left"/>
        <w:rPr>
          <w:rFonts w:ascii="Calibri" w:hAnsi="Calibri"/>
          <w:szCs w:val="24"/>
        </w:rPr>
      </w:pPr>
      <w:r w:rsidRPr="004B77D6">
        <w:rPr>
          <w:rFonts w:ascii="Calibri" w:hAnsi="Calibri"/>
          <w:szCs w:val="24"/>
        </w:rPr>
        <w:t>Przeprowadzenie oceny ryzyka pozwala na oszacowanie trwałości finansowej inwestycji finansowanej z funduszy UE. Powinna ona zatem wykazać, czy określone czynniki ryzyka nie spowodują utraty płynności finansowej.</w:t>
      </w:r>
      <w:bookmarkStart w:id="557" w:name="_Toc219062924"/>
      <w:bookmarkStart w:id="558" w:name="_Toc219063222"/>
      <w:bookmarkEnd w:id="557"/>
      <w:bookmarkEnd w:id="558"/>
    </w:p>
    <w:p w14:paraId="5372FD64" w14:textId="521F35B3" w:rsidR="00C2071D" w:rsidRPr="004B77D6" w:rsidRDefault="00C2071D" w:rsidP="004D0859">
      <w:pPr>
        <w:pStyle w:val="Tekstpodstawowy22"/>
        <w:numPr>
          <w:ilvl w:val="0"/>
          <w:numId w:val="27"/>
        </w:numPr>
        <w:spacing w:before="120" w:after="120" w:line="276" w:lineRule="auto"/>
        <w:jc w:val="left"/>
        <w:rPr>
          <w:rFonts w:ascii="Calibri" w:hAnsi="Calibri"/>
          <w:szCs w:val="24"/>
        </w:rPr>
      </w:pPr>
      <w:r w:rsidRPr="004B77D6">
        <w:rPr>
          <w:rFonts w:ascii="Calibri" w:hAnsi="Calibri"/>
          <w:szCs w:val="24"/>
        </w:rPr>
        <w:t xml:space="preserve">Ocena ryzyka wymaga przeprowadzenia jakościowej analizy ryzyka oraz analizy wrażliwości. Dodatkowo, analiza ryzyka może być w uzasadnionych przypadkach </w:t>
      </w:r>
      <w:r w:rsidRPr="004B77D6">
        <w:rPr>
          <w:rFonts w:ascii="Calibri" w:hAnsi="Calibri"/>
          <w:szCs w:val="24"/>
        </w:rPr>
        <w:br/>
        <w:t>(w zależności do skali projektu i dostępności danych) uzupełniona o ilościową analizę ryzyka.</w:t>
      </w:r>
      <w:bookmarkStart w:id="559" w:name="_Toc219062925"/>
      <w:bookmarkStart w:id="560" w:name="_Toc219063223"/>
      <w:bookmarkEnd w:id="559"/>
      <w:bookmarkEnd w:id="560"/>
    </w:p>
    <w:p w14:paraId="7D6FCE73" w14:textId="6ABA94AF" w:rsidR="00C2071D" w:rsidRPr="004B77D6" w:rsidRDefault="00C2071D" w:rsidP="004D0859">
      <w:pPr>
        <w:pStyle w:val="Tekstpodstawowy22"/>
        <w:numPr>
          <w:ilvl w:val="0"/>
          <w:numId w:val="27"/>
        </w:numPr>
        <w:spacing w:before="120" w:after="120" w:line="276" w:lineRule="auto"/>
        <w:jc w:val="left"/>
        <w:rPr>
          <w:rFonts w:ascii="Calibri" w:hAnsi="Calibri"/>
          <w:szCs w:val="24"/>
        </w:rPr>
      </w:pPr>
      <w:r w:rsidRPr="004B77D6">
        <w:rPr>
          <w:rFonts w:ascii="Calibri" w:hAnsi="Calibri"/>
          <w:szCs w:val="24"/>
        </w:rPr>
        <w:t xml:space="preserve">Analiza wrażliwości ma na celu wskazanie, jak zmiany w wartościach zmiennych krytycznych projektu wpłyną na wyniki analiz przeprowadzonych dla projektu, </w:t>
      </w:r>
      <w:r w:rsidRPr="004B77D6">
        <w:rPr>
          <w:rFonts w:ascii="Calibri" w:hAnsi="Calibri"/>
          <w:szCs w:val="24"/>
        </w:rPr>
        <w:br/>
        <w:t xml:space="preserve">a w szczególności na wartość wskaźników efektywności finansowej i ekonomicznej projektu (w szczególności FNPV/C, FNPV/K oraz ENPV) oraz trwałość finansową. </w:t>
      </w:r>
      <w:r w:rsidRPr="004B77D6">
        <w:rPr>
          <w:rFonts w:ascii="Calibri" w:hAnsi="Calibri"/>
          <w:szCs w:val="24"/>
        </w:rPr>
        <w:br/>
        <w:t>Analizy wrażliwości dokonuje się poprzez identyfikację zmiennych krytycznych, w drodze zmiany pojedynczych zmiennych o określoną procentowo wartość i obserwowanie występujących w rezultacie wahań w finansowych i ekonomicznych wskaźnikach efektywności oraz trwałości finansowej. Jednorazowo zmianie poddawana być powinna tylko jedna zmienna, podczas gdy inne parametry powinny pozostać niezmienione. Według</w:t>
      </w:r>
      <w:r w:rsidRPr="004B77D6">
        <w:rPr>
          <w:rFonts w:ascii="Calibri" w:hAnsi="Calibri"/>
          <w:i/>
          <w:szCs w:val="24"/>
        </w:rPr>
        <w:t xml:space="preserve"> Przewodnika AKK</w:t>
      </w:r>
      <w:r w:rsidRPr="004B77D6">
        <w:rPr>
          <w:rFonts w:ascii="Calibri" w:hAnsi="Calibri"/>
          <w:szCs w:val="24"/>
        </w:rPr>
        <w:t xml:space="preserve">, za krytyczne uznaje się te zmienne, w przypadku których zmiana ich wartości o +/- 1 % </w:t>
      </w:r>
      <w:r w:rsidR="006C31C3" w:rsidRPr="004B77D6">
        <w:rPr>
          <w:rFonts w:ascii="Calibri" w:hAnsi="Calibri"/>
          <w:szCs w:val="24"/>
        </w:rPr>
        <w:t>powoduje zmianę</w:t>
      </w:r>
      <w:r w:rsidRPr="004B77D6">
        <w:rPr>
          <w:rFonts w:ascii="Calibri" w:hAnsi="Calibri"/>
          <w:szCs w:val="24"/>
        </w:rPr>
        <w:t xml:space="preserve"> wartości bazowej NPV </w:t>
      </w:r>
      <w:r w:rsidR="009C07F8" w:rsidRPr="004B77D6">
        <w:rPr>
          <w:rFonts w:ascii="Calibri" w:hAnsi="Calibri"/>
          <w:szCs w:val="24"/>
        </w:rPr>
        <w:t>o co</w:t>
      </w:r>
      <w:r w:rsidRPr="004B77D6">
        <w:rPr>
          <w:rFonts w:ascii="Calibri" w:hAnsi="Calibri"/>
          <w:szCs w:val="24"/>
        </w:rPr>
        <w:t xml:space="preserve"> najmniej +/- 1 %. W ramach analizy wrażliwości należy również dokonać obliczenia wartości progowych zmiennych w celu określenia, jaka zmiana procentowa zmiennych zrównałaby NPV (ekonomiczną lub finansową) z zerem. </w:t>
      </w:r>
      <w:bookmarkStart w:id="561" w:name="_Toc219062926"/>
      <w:bookmarkStart w:id="562" w:name="_Toc219063224"/>
      <w:bookmarkEnd w:id="561"/>
      <w:bookmarkEnd w:id="562"/>
    </w:p>
    <w:p w14:paraId="45500BE9" w14:textId="254FE538" w:rsidR="00C2071D" w:rsidRPr="004B77D6" w:rsidRDefault="00C2071D" w:rsidP="004D0859">
      <w:pPr>
        <w:pStyle w:val="Tekstpodstawowy22"/>
        <w:numPr>
          <w:ilvl w:val="0"/>
          <w:numId w:val="27"/>
        </w:numPr>
        <w:spacing w:before="120" w:after="60" w:line="276" w:lineRule="auto"/>
        <w:ind w:left="357" w:hanging="357"/>
        <w:jc w:val="left"/>
        <w:rPr>
          <w:rFonts w:ascii="Calibri" w:hAnsi="Calibri"/>
          <w:szCs w:val="24"/>
        </w:rPr>
      </w:pPr>
      <w:r w:rsidRPr="004B77D6">
        <w:rPr>
          <w:rFonts w:ascii="Calibri" w:hAnsi="Calibri"/>
          <w:szCs w:val="24"/>
        </w:rPr>
        <w:t>Przykładowe zmienne, jakie mogą być poddane analizie w ramach analizy wrażliwości:</w:t>
      </w:r>
      <w:bookmarkStart w:id="563" w:name="_Toc219062927"/>
      <w:bookmarkStart w:id="564" w:name="_Toc219063225"/>
      <w:bookmarkEnd w:id="563"/>
      <w:bookmarkEnd w:id="564"/>
    </w:p>
    <w:p w14:paraId="2AE5C67B" w14:textId="07293A3B" w:rsidR="00C2071D" w:rsidRPr="004B77D6" w:rsidRDefault="00C2071D" w:rsidP="004D0859">
      <w:pPr>
        <w:pStyle w:val="Tekstpodstawowy22"/>
        <w:numPr>
          <w:ilvl w:val="1"/>
          <w:numId w:val="27"/>
        </w:numPr>
        <w:tabs>
          <w:tab w:val="clear" w:pos="1080"/>
          <w:tab w:val="num" w:pos="709"/>
        </w:tabs>
        <w:spacing w:before="60" w:after="60" w:line="276" w:lineRule="auto"/>
        <w:ind w:left="709" w:hanging="425"/>
        <w:jc w:val="left"/>
        <w:rPr>
          <w:rFonts w:ascii="Calibri" w:hAnsi="Calibri"/>
          <w:szCs w:val="24"/>
        </w:rPr>
      </w:pPr>
      <w:r w:rsidRPr="004B77D6">
        <w:rPr>
          <w:rFonts w:ascii="Calibri" w:hAnsi="Calibri"/>
          <w:szCs w:val="24"/>
        </w:rPr>
        <w:t xml:space="preserve">prognozy makroekonomiczne, określone w scenariuszach makroekonomicznych, </w:t>
      </w:r>
      <w:r w:rsidRPr="004B77D6">
        <w:rPr>
          <w:rFonts w:ascii="Calibri" w:hAnsi="Calibri"/>
          <w:szCs w:val="24"/>
        </w:rPr>
        <w:br/>
        <w:t xml:space="preserve">o których mowa w rozdziale </w:t>
      </w:r>
      <w:r w:rsidR="009A4DEF" w:rsidRPr="009A4DEF">
        <w:rPr>
          <w:rFonts w:ascii="Calibri" w:hAnsi="Calibri"/>
          <w:szCs w:val="24"/>
        </w:rPr>
        <w:t>6.4 pkt 1 lit. e)</w:t>
      </w:r>
      <w:r w:rsidR="009A4DEF">
        <w:rPr>
          <w:rFonts w:ascii="Calibri" w:hAnsi="Calibri"/>
          <w:szCs w:val="24"/>
        </w:rPr>
        <w:t xml:space="preserve"> </w:t>
      </w:r>
      <w:r w:rsidR="009A4DEF" w:rsidRPr="009A4DEF">
        <w:rPr>
          <w:rFonts w:ascii="Calibri" w:hAnsi="Calibri"/>
          <w:i/>
          <w:iCs/>
          <w:szCs w:val="24"/>
        </w:rPr>
        <w:t>Wytycznych</w:t>
      </w:r>
      <w:r w:rsidR="009A4DEF" w:rsidRPr="009A4DEF">
        <w:rPr>
          <w:i/>
          <w:iCs/>
        </w:rPr>
        <w:t xml:space="preserve"> </w:t>
      </w:r>
      <w:r w:rsidR="009A4DEF" w:rsidRPr="009A4DEF">
        <w:rPr>
          <w:rFonts w:ascii="Calibri" w:hAnsi="Calibri"/>
          <w:i/>
          <w:iCs/>
          <w:szCs w:val="24"/>
        </w:rPr>
        <w:t>dotyczących zagadnień związanych z przygotowaniem projektów inwestycyjnych, w tym hybrydowych na lata 2021-202</w:t>
      </w:r>
      <w:r w:rsidR="009C07F8">
        <w:rPr>
          <w:rFonts w:ascii="Calibri" w:hAnsi="Calibri"/>
          <w:i/>
          <w:iCs/>
          <w:szCs w:val="24"/>
        </w:rPr>
        <w:t>7</w:t>
      </w:r>
      <w:r w:rsidRPr="009A4DEF">
        <w:rPr>
          <w:rFonts w:ascii="Calibri" w:hAnsi="Calibri"/>
          <w:i/>
          <w:iCs/>
          <w:szCs w:val="24"/>
        </w:rPr>
        <w:t>, np. zmiana stopy wzrostu PKB z wariantu podstawowego na wariant pesymistyczny,</w:t>
      </w:r>
      <w:bookmarkStart w:id="565" w:name="_Toc219062928"/>
      <w:bookmarkStart w:id="566" w:name="_Toc219063226"/>
      <w:bookmarkEnd w:id="565"/>
      <w:bookmarkEnd w:id="566"/>
    </w:p>
    <w:p w14:paraId="4BFC388C" w14:textId="789B74BB" w:rsidR="00C2071D" w:rsidRPr="004B77D6" w:rsidRDefault="00C2071D" w:rsidP="004D0859">
      <w:pPr>
        <w:pStyle w:val="Tekstpodstawowy22"/>
        <w:numPr>
          <w:ilvl w:val="1"/>
          <w:numId w:val="27"/>
        </w:numPr>
        <w:tabs>
          <w:tab w:val="clear" w:pos="1080"/>
          <w:tab w:val="num" w:pos="709"/>
        </w:tabs>
        <w:spacing w:before="60" w:after="60" w:line="276" w:lineRule="auto"/>
        <w:ind w:left="851" w:hanging="513"/>
        <w:jc w:val="left"/>
        <w:rPr>
          <w:rFonts w:ascii="Calibri" w:hAnsi="Calibri"/>
          <w:szCs w:val="24"/>
        </w:rPr>
      </w:pPr>
      <w:r w:rsidRPr="004B77D6">
        <w:rPr>
          <w:rFonts w:ascii="Calibri" w:hAnsi="Calibri"/>
          <w:szCs w:val="24"/>
        </w:rPr>
        <w:t>nakłady inwestycyjne,</w:t>
      </w:r>
      <w:bookmarkStart w:id="567" w:name="_Toc219062929"/>
      <w:bookmarkStart w:id="568" w:name="_Toc219063227"/>
      <w:bookmarkEnd w:id="567"/>
      <w:bookmarkEnd w:id="568"/>
    </w:p>
    <w:p w14:paraId="261220DD" w14:textId="0E8A40C3" w:rsidR="00C2071D" w:rsidRPr="004B77D6" w:rsidRDefault="00C2071D" w:rsidP="004D0859">
      <w:pPr>
        <w:pStyle w:val="Tekstpodstawowy22"/>
        <w:numPr>
          <w:ilvl w:val="1"/>
          <w:numId w:val="27"/>
        </w:numPr>
        <w:tabs>
          <w:tab w:val="clear" w:pos="1080"/>
          <w:tab w:val="num" w:pos="709"/>
        </w:tabs>
        <w:spacing w:before="60" w:after="60" w:line="276" w:lineRule="auto"/>
        <w:ind w:left="851" w:hanging="513"/>
        <w:jc w:val="left"/>
        <w:rPr>
          <w:rFonts w:ascii="Calibri" w:hAnsi="Calibri"/>
          <w:szCs w:val="24"/>
        </w:rPr>
      </w:pPr>
      <w:r w:rsidRPr="004B77D6">
        <w:rPr>
          <w:rFonts w:ascii="Calibri" w:hAnsi="Calibri"/>
          <w:szCs w:val="24"/>
        </w:rPr>
        <w:t>prognoza popytu, np. prognozowane natężenie ruchu, prognozowany wolumen świadczonych usług,</w:t>
      </w:r>
      <w:bookmarkStart w:id="569" w:name="_Toc219062930"/>
      <w:bookmarkStart w:id="570" w:name="_Toc219063228"/>
      <w:bookmarkEnd w:id="569"/>
      <w:bookmarkEnd w:id="570"/>
    </w:p>
    <w:p w14:paraId="20837523" w14:textId="71C58774" w:rsidR="00C2071D" w:rsidRPr="004B77D6" w:rsidRDefault="00C2071D" w:rsidP="004D0859">
      <w:pPr>
        <w:pStyle w:val="Tekstpodstawowy22"/>
        <w:numPr>
          <w:ilvl w:val="1"/>
          <w:numId w:val="27"/>
        </w:numPr>
        <w:tabs>
          <w:tab w:val="clear" w:pos="1080"/>
          <w:tab w:val="num" w:pos="709"/>
        </w:tabs>
        <w:spacing w:before="60" w:after="60" w:line="276" w:lineRule="auto"/>
        <w:ind w:left="851" w:hanging="513"/>
        <w:jc w:val="left"/>
        <w:rPr>
          <w:rFonts w:ascii="Calibri" w:hAnsi="Calibri"/>
          <w:szCs w:val="24"/>
        </w:rPr>
      </w:pPr>
      <w:r w:rsidRPr="004B77D6">
        <w:rPr>
          <w:rFonts w:ascii="Calibri" w:hAnsi="Calibri"/>
          <w:szCs w:val="24"/>
        </w:rPr>
        <w:t>ceny oferowanych usług,</w:t>
      </w:r>
      <w:bookmarkStart w:id="571" w:name="_Toc219062931"/>
      <w:bookmarkStart w:id="572" w:name="_Toc219063229"/>
      <w:bookmarkEnd w:id="571"/>
      <w:bookmarkEnd w:id="572"/>
    </w:p>
    <w:p w14:paraId="6E3171B1" w14:textId="55FC428C" w:rsidR="00C2071D" w:rsidRPr="004B77D6" w:rsidRDefault="00C2071D" w:rsidP="004D0859">
      <w:pPr>
        <w:pStyle w:val="Tekstpodstawowy22"/>
        <w:numPr>
          <w:ilvl w:val="1"/>
          <w:numId w:val="27"/>
        </w:numPr>
        <w:tabs>
          <w:tab w:val="clear" w:pos="1080"/>
          <w:tab w:val="num" w:pos="709"/>
        </w:tabs>
        <w:spacing w:before="60" w:after="60" w:line="276" w:lineRule="auto"/>
        <w:ind w:left="851" w:hanging="513"/>
        <w:jc w:val="left"/>
        <w:rPr>
          <w:rFonts w:ascii="Calibri" w:hAnsi="Calibri"/>
          <w:szCs w:val="24"/>
        </w:rPr>
      </w:pPr>
      <w:r w:rsidRPr="004B77D6">
        <w:rPr>
          <w:rFonts w:ascii="Calibri" w:hAnsi="Calibri"/>
          <w:szCs w:val="24"/>
        </w:rPr>
        <w:t xml:space="preserve">ceny jednostkowe głównych kategorii kosztów operacyjnych (np. ceny energii) </w:t>
      </w:r>
      <w:r w:rsidRPr="004B77D6">
        <w:rPr>
          <w:rFonts w:ascii="Calibri" w:hAnsi="Calibri"/>
          <w:szCs w:val="24"/>
        </w:rPr>
        <w:br/>
        <w:t>lub poziom kosztów operacyjnych ogółem,</w:t>
      </w:r>
      <w:bookmarkStart w:id="573" w:name="_Toc219062932"/>
      <w:bookmarkStart w:id="574" w:name="_Toc219063230"/>
      <w:bookmarkEnd w:id="573"/>
      <w:bookmarkEnd w:id="574"/>
    </w:p>
    <w:p w14:paraId="79E3730E" w14:textId="7B2C09C1" w:rsidR="00C2071D" w:rsidRPr="004B77D6" w:rsidRDefault="00C2071D" w:rsidP="004D0859">
      <w:pPr>
        <w:pStyle w:val="Tekstpodstawowy22"/>
        <w:numPr>
          <w:ilvl w:val="1"/>
          <w:numId w:val="27"/>
        </w:numPr>
        <w:tabs>
          <w:tab w:val="clear" w:pos="1080"/>
          <w:tab w:val="num" w:pos="709"/>
        </w:tabs>
        <w:spacing w:before="60" w:after="60" w:line="276" w:lineRule="auto"/>
        <w:ind w:left="850" w:hanging="510"/>
        <w:jc w:val="left"/>
        <w:rPr>
          <w:rFonts w:ascii="Calibri" w:hAnsi="Calibri"/>
          <w:szCs w:val="24"/>
        </w:rPr>
      </w:pPr>
      <w:r w:rsidRPr="004B77D6">
        <w:rPr>
          <w:rFonts w:ascii="Calibri" w:hAnsi="Calibri"/>
          <w:szCs w:val="24"/>
        </w:rPr>
        <w:lastRenderedPageBreak/>
        <w:t xml:space="preserve">(w analizie ekonomicznej) jednostkowe, </w:t>
      </w:r>
      <w:proofErr w:type="spellStart"/>
      <w:r w:rsidRPr="004B77D6">
        <w:rPr>
          <w:rFonts w:ascii="Calibri" w:hAnsi="Calibri"/>
          <w:szCs w:val="24"/>
        </w:rPr>
        <w:t>zmonetyzowane</w:t>
      </w:r>
      <w:proofErr w:type="spellEnd"/>
      <w:r w:rsidRPr="004B77D6">
        <w:rPr>
          <w:rFonts w:ascii="Calibri" w:hAnsi="Calibri"/>
          <w:szCs w:val="24"/>
        </w:rPr>
        <w:t xml:space="preserve"> koszty efektu zewnętrznego przyjęte w analizie, np. koszty czasu w transporcie, koszty emisji substancji toksycznych do środowiska, itd.</w:t>
      </w:r>
      <w:bookmarkStart w:id="575" w:name="_Toc219062933"/>
      <w:bookmarkStart w:id="576" w:name="_Toc219063231"/>
      <w:bookmarkEnd w:id="575"/>
      <w:bookmarkEnd w:id="576"/>
    </w:p>
    <w:p w14:paraId="25C1E5AF" w14:textId="211827A9" w:rsidR="00C2071D" w:rsidRPr="004B77D6" w:rsidRDefault="00C2071D" w:rsidP="004D0859">
      <w:pPr>
        <w:pStyle w:val="Tekstpodstawowy22"/>
        <w:numPr>
          <w:ilvl w:val="0"/>
          <w:numId w:val="27"/>
        </w:numPr>
        <w:spacing w:before="120" w:after="120" w:line="276" w:lineRule="auto"/>
        <w:jc w:val="left"/>
        <w:rPr>
          <w:rFonts w:ascii="Calibri" w:hAnsi="Calibri"/>
          <w:szCs w:val="24"/>
        </w:rPr>
      </w:pPr>
      <w:r w:rsidRPr="004B77D6">
        <w:rPr>
          <w:rFonts w:ascii="Calibri" w:hAnsi="Calibri"/>
          <w:szCs w:val="24"/>
        </w:rPr>
        <w:t xml:space="preserve">Niezależnie od powyższej listy, zmienne poddane analizie w ramach analizy wrażliwości powinny być dobrane w sposób odpowiadający specyfice projektu, sektora, beneficjenta/operatora. </w:t>
      </w:r>
      <w:bookmarkStart w:id="577" w:name="_Toc219062934"/>
      <w:bookmarkStart w:id="578" w:name="_Toc219063232"/>
      <w:bookmarkEnd w:id="577"/>
      <w:bookmarkEnd w:id="578"/>
    </w:p>
    <w:p w14:paraId="1A953F52" w14:textId="0A220178" w:rsidR="00C2071D" w:rsidRPr="004B77D6" w:rsidRDefault="00C2071D" w:rsidP="004D0859">
      <w:pPr>
        <w:pStyle w:val="Tekstpodstawowy22"/>
        <w:numPr>
          <w:ilvl w:val="0"/>
          <w:numId w:val="27"/>
        </w:numPr>
        <w:spacing w:before="120" w:after="120" w:line="276" w:lineRule="auto"/>
        <w:jc w:val="left"/>
        <w:rPr>
          <w:rFonts w:ascii="Calibri" w:hAnsi="Calibri"/>
          <w:szCs w:val="24"/>
        </w:rPr>
      </w:pPr>
      <w:r w:rsidRPr="004B77D6">
        <w:rPr>
          <w:rFonts w:ascii="Calibri" w:hAnsi="Calibri"/>
          <w:szCs w:val="24"/>
        </w:rPr>
        <w:t>Jakościowa analiza ryzyka obejmować powinna następujące elementy:</w:t>
      </w:r>
      <w:bookmarkStart w:id="579" w:name="_Toc219062935"/>
      <w:bookmarkStart w:id="580" w:name="_Toc219063233"/>
      <w:bookmarkEnd w:id="579"/>
      <w:bookmarkEnd w:id="580"/>
    </w:p>
    <w:p w14:paraId="6AAAF0F9" w14:textId="4F34DC04" w:rsidR="00C2071D" w:rsidRPr="004B77D6" w:rsidRDefault="00C2071D" w:rsidP="004D0859">
      <w:pPr>
        <w:pStyle w:val="Tekstpodstawowy22"/>
        <w:numPr>
          <w:ilvl w:val="1"/>
          <w:numId w:val="27"/>
        </w:numPr>
        <w:spacing w:before="120" w:after="120" w:line="276" w:lineRule="auto"/>
        <w:jc w:val="left"/>
        <w:rPr>
          <w:rFonts w:ascii="Calibri" w:hAnsi="Calibri"/>
          <w:szCs w:val="24"/>
        </w:rPr>
      </w:pPr>
      <w:r w:rsidRPr="004B77D6">
        <w:rPr>
          <w:rFonts w:ascii="Calibri" w:hAnsi="Calibri"/>
          <w:szCs w:val="24"/>
        </w:rPr>
        <w:t xml:space="preserve">Lista </w:t>
      </w:r>
      <w:proofErr w:type="spellStart"/>
      <w:r w:rsidRPr="004B77D6">
        <w:rPr>
          <w:rFonts w:ascii="Calibri" w:hAnsi="Calibri"/>
          <w:szCs w:val="24"/>
        </w:rPr>
        <w:t>ryzyk</w:t>
      </w:r>
      <w:proofErr w:type="spellEnd"/>
      <w:r w:rsidRPr="004B77D6">
        <w:rPr>
          <w:rFonts w:ascii="Calibri" w:hAnsi="Calibri"/>
          <w:szCs w:val="24"/>
        </w:rPr>
        <w:t>, na które narażony jest projekt;</w:t>
      </w:r>
      <w:bookmarkStart w:id="581" w:name="_Toc219062936"/>
      <w:bookmarkStart w:id="582" w:name="_Toc219063234"/>
      <w:bookmarkEnd w:id="581"/>
      <w:bookmarkEnd w:id="582"/>
    </w:p>
    <w:p w14:paraId="3AEB6589" w14:textId="49752C5B" w:rsidR="00C2071D" w:rsidRPr="004B77D6" w:rsidRDefault="00C2071D" w:rsidP="004D0859">
      <w:pPr>
        <w:pStyle w:val="Tekstpodstawowy22"/>
        <w:numPr>
          <w:ilvl w:val="1"/>
          <w:numId w:val="27"/>
        </w:numPr>
        <w:spacing w:before="120" w:after="120" w:line="276" w:lineRule="auto"/>
        <w:jc w:val="left"/>
        <w:rPr>
          <w:rFonts w:ascii="Calibri" w:hAnsi="Calibri"/>
          <w:szCs w:val="24"/>
        </w:rPr>
      </w:pPr>
      <w:r w:rsidRPr="004B77D6">
        <w:rPr>
          <w:rFonts w:ascii="Calibri" w:hAnsi="Calibri"/>
          <w:szCs w:val="24"/>
        </w:rPr>
        <w:t xml:space="preserve">Matryca ryzyka prezentująca dla każdego ze zidentyfikowanych </w:t>
      </w:r>
      <w:proofErr w:type="spellStart"/>
      <w:r w:rsidRPr="004B77D6">
        <w:rPr>
          <w:rFonts w:ascii="Calibri" w:hAnsi="Calibri"/>
          <w:szCs w:val="24"/>
        </w:rPr>
        <w:t>ryzyk</w:t>
      </w:r>
      <w:proofErr w:type="spellEnd"/>
      <w:r w:rsidRPr="004B77D6">
        <w:rPr>
          <w:rFonts w:ascii="Calibri" w:hAnsi="Calibri"/>
          <w:szCs w:val="24"/>
        </w:rPr>
        <w:t>:</w:t>
      </w:r>
      <w:bookmarkStart w:id="583" w:name="_Toc219062937"/>
      <w:bookmarkStart w:id="584" w:name="_Toc219063235"/>
      <w:bookmarkEnd w:id="583"/>
      <w:bookmarkEnd w:id="584"/>
    </w:p>
    <w:p w14:paraId="73A313E1" w14:textId="66D128C8" w:rsidR="00C2071D" w:rsidRPr="004B77D6" w:rsidRDefault="00C2071D" w:rsidP="004D0859">
      <w:pPr>
        <w:pStyle w:val="Tekstpodstawowy22"/>
        <w:numPr>
          <w:ilvl w:val="2"/>
          <w:numId w:val="27"/>
        </w:numPr>
        <w:tabs>
          <w:tab w:val="clear" w:pos="1800"/>
          <w:tab w:val="num" w:pos="1134"/>
        </w:tabs>
        <w:spacing w:before="120" w:after="120" w:line="276" w:lineRule="auto"/>
        <w:ind w:left="1134"/>
        <w:jc w:val="left"/>
        <w:rPr>
          <w:rFonts w:ascii="Calibri" w:hAnsi="Calibri"/>
          <w:szCs w:val="24"/>
        </w:rPr>
      </w:pPr>
      <w:r w:rsidRPr="004B77D6">
        <w:rPr>
          <w:rFonts w:ascii="Calibri" w:hAnsi="Calibri"/>
          <w:szCs w:val="24"/>
        </w:rPr>
        <w:t>Możliwe przyczyny niepowodzenia;</w:t>
      </w:r>
      <w:bookmarkStart w:id="585" w:name="_Toc219062938"/>
      <w:bookmarkStart w:id="586" w:name="_Toc219063236"/>
      <w:bookmarkEnd w:id="585"/>
      <w:bookmarkEnd w:id="586"/>
    </w:p>
    <w:p w14:paraId="523E9A25" w14:textId="558B7E6A" w:rsidR="00C2071D" w:rsidRPr="004B77D6" w:rsidRDefault="00C2071D" w:rsidP="004D0859">
      <w:pPr>
        <w:pStyle w:val="Tekstpodstawowy22"/>
        <w:numPr>
          <w:ilvl w:val="2"/>
          <w:numId w:val="27"/>
        </w:numPr>
        <w:tabs>
          <w:tab w:val="clear" w:pos="1800"/>
          <w:tab w:val="num" w:pos="1134"/>
        </w:tabs>
        <w:spacing w:before="120" w:after="120" w:line="276" w:lineRule="auto"/>
        <w:ind w:left="1134"/>
        <w:jc w:val="left"/>
        <w:rPr>
          <w:rFonts w:ascii="Calibri" w:hAnsi="Calibri"/>
          <w:szCs w:val="24"/>
        </w:rPr>
      </w:pPr>
      <w:r w:rsidRPr="004B77D6">
        <w:rPr>
          <w:rFonts w:ascii="Calibri" w:hAnsi="Calibri"/>
          <w:szCs w:val="24"/>
        </w:rPr>
        <w:t>Powiązanie z analizą wrażliwości (gdy ma to zastosowanie);</w:t>
      </w:r>
      <w:bookmarkStart w:id="587" w:name="_Toc219062939"/>
      <w:bookmarkStart w:id="588" w:name="_Toc219063237"/>
      <w:bookmarkEnd w:id="587"/>
      <w:bookmarkEnd w:id="588"/>
    </w:p>
    <w:p w14:paraId="46AC5D93" w14:textId="37200603" w:rsidR="00C2071D" w:rsidRPr="004B77D6" w:rsidRDefault="00C2071D" w:rsidP="004D0859">
      <w:pPr>
        <w:pStyle w:val="Tekstpodstawowy22"/>
        <w:numPr>
          <w:ilvl w:val="2"/>
          <w:numId w:val="27"/>
        </w:numPr>
        <w:tabs>
          <w:tab w:val="clear" w:pos="1800"/>
          <w:tab w:val="num" w:pos="1134"/>
        </w:tabs>
        <w:spacing w:before="120" w:line="276" w:lineRule="auto"/>
        <w:ind w:left="1134"/>
        <w:jc w:val="left"/>
        <w:rPr>
          <w:rFonts w:ascii="Calibri" w:hAnsi="Calibri"/>
          <w:szCs w:val="24"/>
        </w:rPr>
      </w:pPr>
      <w:r w:rsidRPr="004B77D6">
        <w:rPr>
          <w:rFonts w:ascii="Calibri" w:hAnsi="Calibri"/>
          <w:szCs w:val="24"/>
        </w:rPr>
        <w:t>Przypisanie poszczególnym ryzykom jednej z pięciu kategorii prawdopodobieństwa: marginalne, niskie, średnie, wysokie, bardzo wysokie oraz jednej z pięciu kategorii wpływu: nieistotny, niewielki, średni, znaczący, duży. Dodatkowo, należy opisać, w jakich okolicznościach prawdopodobieństwa przyporządkowane poszczególnym zmiennym mogą się zmienić</w:t>
      </w:r>
      <w:r w:rsidRPr="004B77D6">
        <w:rPr>
          <w:rStyle w:val="Odwoanieprzypisudolnego"/>
          <w:rFonts w:ascii="Calibri" w:hAnsi="Calibri"/>
          <w:szCs w:val="24"/>
        </w:rPr>
        <w:footnoteReference w:id="10"/>
      </w:r>
      <w:r w:rsidRPr="004B77D6">
        <w:rPr>
          <w:rFonts w:ascii="Calibri" w:hAnsi="Calibri"/>
          <w:szCs w:val="24"/>
        </w:rPr>
        <w:t>;</w:t>
      </w:r>
      <w:bookmarkStart w:id="589" w:name="_Toc219062940"/>
      <w:bookmarkStart w:id="590" w:name="_Toc219063238"/>
      <w:bookmarkEnd w:id="589"/>
      <w:bookmarkEnd w:id="590"/>
    </w:p>
    <w:p w14:paraId="5D8EABF7" w14:textId="3F3D1F30" w:rsidR="00C2071D" w:rsidRPr="004B77D6" w:rsidRDefault="00C2071D" w:rsidP="004D0859">
      <w:pPr>
        <w:pStyle w:val="Tekstpodstawowy22"/>
        <w:numPr>
          <w:ilvl w:val="2"/>
          <w:numId w:val="27"/>
        </w:numPr>
        <w:tabs>
          <w:tab w:val="clear" w:pos="1800"/>
          <w:tab w:val="num" w:pos="1134"/>
        </w:tabs>
        <w:spacing w:before="120" w:after="120" w:line="276" w:lineRule="auto"/>
        <w:ind w:left="1134"/>
        <w:jc w:val="left"/>
        <w:rPr>
          <w:rFonts w:ascii="Calibri" w:hAnsi="Calibri"/>
          <w:szCs w:val="24"/>
        </w:rPr>
      </w:pPr>
      <w:r w:rsidRPr="004B77D6">
        <w:rPr>
          <w:rFonts w:ascii="Calibri" w:hAnsi="Calibri"/>
          <w:szCs w:val="24"/>
        </w:rPr>
        <w:t>Ustalenie poziomu ryzyka stanowiącego wypadkową prawdopodobieństwa wystąpienia danego ryzyka i stopnia jego wpływu</w:t>
      </w:r>
      <w:r w:rsidRPr="004B77D6">
        <w:rPr>
          <w:rStyle w:val="Odwoanieprzypisudolnego"/>
          <w:rFonts w:ascii="Calibri" w:hAnsi="Calibri"/>
          <w:szCs w:val="24"/>
        </w:rPr>
        <w:footnoteReference w:id="11"/>
      </w:r>
      <w:r w:rsidRPr="004B77D6">
        <w:rPr>
          <w:rFonts w:ascii="Calibri" w:hAnsi="Calibri"/>
          <w:szCs w:val="24"/>
        </w:rPr>
        <w:t>;</w:t>
      </w:r>
      <w:bookmarkStart w:id="591" w:name="_Toc219062941"/>
      <w:bookmarkStart w:id="592" w:name="_Toc219063239"/>
      <w:bookmarkEnd w:id="591"/>
      <w:bookmarkEnd w:id="592"/>
    </w:p>
    <w:p w14:paraId="4567FB39" w14:textId="5468B9E0" w:rsidR="00C2071D" w:rsidRPr="004B77D6" w:rsidRDefault="00C2071D" w:rsidP="004D0859">
      <w:pPr>
        <w:pStyle w:val="Tekstpodstawowy22"/>
        <w:numPr>
          <w:ilvl w:val="1"/>
          <w:numId w:val="27"/>
        </w:numPr>
        <w:spacing w:before="120" w:after="120" w:line="276" w:lineRule="auto"/>
        <w:jc w:val="left"/>
        <w:rPr>
          <w:rFonts w:ascii="Calibri" w:hAnsi="Calibri"/>
          <w:szCs w:val="24"/>
        </w:rPr>
      </w:pPr>
      <w:r w:rsidRPr="004B77D6">
        <w:rPr>
          <w:rFonts w:ascii="Calibri" w:hAnsi="Calibri"/>
          <w:szCs w:val="24"/>
        </w:rPr>
        <w:t>Identyfikacja działań zapobiegawczych i minimalizujących;</w:t>
      </w:r>
      <w:bookmarkStart w:id="593" w:name="_Toc219062942"/>
      <w:bookmarkStart w:id="594" w:name="_Toc219063240"/>
      <w:bookmarkEnd w:id="593"/>
      <w:bookmarkEnd w:id="594"/>
    </w:p>
    <w:p w14:paraId="411D810A" w14:textId="7ECFD68F" w:rsidR="00C2071D" w:rsidRPr="004B77D6" w:rsidRDefault="00C2071D" w:rsidP="004D0859">
      <w:pPr>
        <w:pStyle w:val="Tekstpodstawowy22"/>
        <w:numPr>
          <w:ilvl w:val="1"/>
          <w:numId w:val="27"/>
        </w:numPr>
        <w:spacing w:before="120" w:after="120" w:line="276" w:lineRule="auto"/>
        <w:jc w:val="left"/>
        <w:rPr>
          <w:rFonts w:ascii="Calibri" w:hAnsi="Calibri"/>
          <w:szCs w:val="24"/>
        </w:rPr>
      </w:pPr>
      <w:r w:rsidRPr="004B77D6">
        <w:rPr>
          <w:rFonts w:ascii="Calibri" w:hAnsi="Calibri"/>
          <w:szCs w:val="24"/>
        </w:rPr>
        <w:t xml:space="preserve">Interpretacja matrycy </w:t>
      </w:r>
      <w:proofErr w:type="spellStart"/>
      <w:r w:rsidRPr="004B77D6">
        <w:rPr>
          <w:rFonts w:ascii="Calibri" w:hAnsi="Calibri"/>
          <w:szCs w:val="24"/>
        </w:rPr>
        <w:t>ryzyk</w:t>
      </w:r>
      <w:proofErr w:type="spellEnd"/>
      <w:r w:rsidRPr="004B77D6">
        <w:rPr>
          <w:rFonts w:ascii="Calibri" w:hAnsi="Calibri"/>
          <w:szCs w:val="24"/>
        </w:rPr>
        <w:t xml:space="preserve">, w tym ocena </w:t>
      </w:r>
      <w:proofErr w:type="spellStart"/>
      <w:r w:rsidRPr="004B77D6">
        <w:rPr>
          <w:rFonts w:ascii="Calibri" w:hAnsi="Calibri"/>
          <w:szCs w:val="24"/>
        </w:rPr>
        <w:t>ryzyk</w:t>
      </w:r>
      <w:proofErr w:type="spellEnd"/>
      <w:r w:rsidRPr="004B77D6">
        <w:rPr>
          <w:rFonts w:ascii="Calibri" w:hAnsi="Calibri"/>
          <w:szCs w:val="24"/>
        </w:rPr>
        <w:t xml:space="preserve"> rezydualnych, czyli </w:t>
      </w:r>
      <w:proofErr w:type="spellStart"/>
      <w:r w:rsidRPr="004B77D6">
        <w:rPr>
          <w:rFonts w:ascii="Calibri" w:hAnsi="Calibri"/>
          <w:szCs w:val="24"/>
        </w:rPr>
        <w:t>ryzyk</w:t>
      </w:r>
      <w:proofErr w:type="spellEnd"/>
      <w:r w:rsidRPr="004B77D6">
        <w:rPr>
          <w:rFonts w:ascii="Calibri" w:hAnsi="Calibri"/>
          <w:szCs w:val="24"/>
        </w:rPr>
        <w:t xml:space="preserve"> nadal pozostałych po zastosowaniu działań zapobiegawczych i minimalizujących.</w:t>
      </w:r>
      <w:bookmarkStart w:id="595" w:name="_Toc219062943"/>
      <w:bookmarkStart w:id="596" w:name="_Toc219063241"/>
      <w:bookmarkEnd w:id="595"/>
      <w:bookmarkEnd w:id="596"/>
    </w:p>
    <w:p w14:paraId="377F96CE" w14:textId="18BF4BDD" w:rsidR="00C2071D" w:rsidRDefault="00C2071D" w:rsidP="004D0859">
      <w:pPr>
        <w:pStyle w:val="Tekstpodstawowy22"/>
        <w:numPr>
          <w:ilvl w:val="0"/>
          <w:numId w:val="27"/>
        </w:numPr>
        <w:spacing w:before="120" w:after="120" w:line="276" w:lineRule="auto"/>
        <w:jc w:val="left"/>
        <w:rPr>
          <w:rFonts w:ascii="Calibri" w:hAnsi="Calibri"/>
          <w:szCs w:val="24"/>
        </w:rPr>
      </w:pPr>
      <w:r w:rsidRPr="004B77D6">
        <w:rPr>
          <w:rFonts w:ascii="Calibri" w:hAnsi="Calibri"/>
          <w:szCs w:val="24"/>
        </w:rPr>
        <w:t xml:space="preserve">Ilościowa analiza ryzyka polega na przypisaniu krytycznym zmiennym zidentyfikowanym </w:t>
      </w:r>
      <w:r w:rsidRPr="004B77D6">
        <w:rPr>
          <w:rFonts w:ascii="Calibri" w:hAnsi="Calibri"/>
          <w:szCs w:val="24"/>
        </w:rPr>
        <w:br/>
        <w:t xml:space="preserve">na etapie analizy wrażliwości właściwego rozkładu prawdopodobieństwa i oszacowaniu rozkładu prawdopodobieństwa finansowych i ekonomicznych wskaźników efektywności </w:t>
      </w:r>
      <w:r w:rsidRPr="004B77D6">
        <w:rPr>
          <w:rFonts w:ascii="Calibri" w:hAnsi="Calibri"/>
          <w:szCs w:val="24"/>
        </w:rPr>
        <w:br/>
      </w:r>
      <w:r w:rsidRPr="004B77D6">
        <w:rPr>
          <w:rFonts w:ascii="Calibri" w:hAnsi="Calibri"/>
          <w:szCs w:val="24"/>
        </w:rPr>
        <w:lastRenderedPageBreak/>
        <w:t xml:space="preserve">i trwałości projektu. W celu przeprowadzenia ilościowej analizy ryzyka rekomenduje się zastosowanie tzw. symulacji </w:t>
      </w:r>
      <w:r w:rsidRPr="004B77D6">
        <w:rPr>
          <w:rFonts w:ascii="Calibri" w:hAnsi="Calibri"/>
          <w:i/>
          <w:szCs w:val="24"/>
        </w:rPr>
        <w:t>Monte Carlo</w:t>
      </w:r>
      <w:r w:rsidRPr="004B77D6">
        <w:rPr>
          <w:rStyle w:val="Odwoanieprzypisudolnego"/>
          <w:rFonts w:ascii="Calibri" w:hAnsi="Calibri"/>
          <w:i/>
          <w:szCs w:val="24"/>
        </w:rPr>
        <w:footnoteReference w:id="12"/>
      </w:r>
      <w:r w:rsidRPr="004B77D6">
        <w:rPr>
          <w:rFonts w:ascii="Calibri" w:hAnsi="Calibri"/>
          <w:szCs w:val="24"/>
        </w:rPr>
        <w:t>.</w:t>
      </w:r>
      <w:bookmarkStart w:id="597" w:name="_Toc219062944"/>
      <w:bookmarkStart w:id="598" w:name="_Toc219063242"/>
      <w:bookmarkEnd w:id="597"/>
      <w:bookmarkEnd w:id="598"/>
    </w:p>
    <w:p w14:paraId="5895CFB9" w14:textId="6A0B4869" w:rsidR="00C2071D" w:rsidRPr="004F4C0C" w:rsidRDefault="004F4C0C" w:rsidP="004F4C0C">
      <w:pPr>
        <w:pStyle w:val="Nagwek1"/>
        <w:numPr>
          <w:ilvl w:val="0"/>
          <w:numId w:val="0"/>
        </w:numPr>
        <w:rPr>
          <w:rFonts w:asciiTheme="minorHAnsi" w:hAnsiTheme="minorHAnsi" w:cstheme="minorHAnsi"/>
          <w:sz w:val="24"/>
          <w:szCs w:val="24"/>
        </w:rPr>
      </w:pPr>
      <w:bookmarkStart w:id="599" w:name="_Toc127344059"/>
      <w:bookmarkStart w:id="600" w:name="_Toc241839709"/>
      <w:r>
        <w:rPr>
          <w:rFonts w:asciiTheme="minorHAnsi" w:hAnsiTheme="minorHAnsi" w:cstheme="minorHAnsi"/>
          <w:sz w:val="24"/>
          <w:szCs w:val="24"/>
        </w:rPr>
        <w:t xml:space="preserve">1.1.13 </w:t>
      </w:r>
      <w:r w:rsidR="00C2071D" w:rsidRPr="004F4C0C">
        <w:rPr>
          <w:rFonts w:asciiTheme="minorHAnsi" w:hAnsiTheme="minorHAnsi" w:cstheme="minorHAnsi"/>
          <w:sz w:val="24"/>
          <w:szCs w:val="24"/>
        </w:rPr>
        <w:t>STOSOWANIE PODEJŚCIA SZCZEGÓŁOWEGO</w:t>
      </w:r>
      <w:bookmarkStart w:id="601" w:name="_Toc219062945"/>
      <w:bookmarkStart w:id="602" w:name="_Toc219063243"/>
      <w:bookmarkEnd w:id="599"/>
      <w:bookmarkEnd w:id="600"/>
      <w:bookmarkEnd w:id="601"/>
      <w:bookmarkEnd w:id="602"/>
    </w:p>
    <w:p w14:paraId="064ECAC5" w14:textId="2F3539D8" w:rsidR="00C2071D" w:rsidRDefault="00C2071D" w:rsidP="00A21818">
      <w:pPr>
        <w:pStyle w:val="Tekstpodstawowy22"/>
        <w:spacing w:before="120" w:after="120" w:line="276" w:lineRule="auto"/>
        <w:jc w:val="left"/>
        <w:rPr>
          <w:rFonts w:ascii="Calibri" w:hAnsi="Calibri"/>
          <w:bCs/>
          <w:i/>
          <w:iCs/>
          <w:szCs w:val="24"/>
          <w:u w:val="single"/>
        </w:rPr>
      </w:pPr>
      <w:r w:rsidRPr="00593DAA">
        <w:rPr>
          <w:rFonts w:ascii="Calibri" w:hAnsi="Calibri"/>
          <w:bCs/>
          <w:szCs w:val="24"/>
        </w:rPr>
        <w:t xml:space="preserve">Ze względu na oczywiste i możliwe różnice w podejściu do stosowania analizy finansowej i ekonomicznej oraz analizy ryzyka i wrażliwości w odniesieniu do poszczególnych sektorów lub typów projektów (np. projekty hybrydowe) przyjmuje się możliwość dopracowania założeń określonych w </w:t>
      </w:r>
      <w:r w:rsidRPr="00593DAA">
        <w:rPr>
          <w:rFonts w:ascii="Calibri" w:hAnsi="Calibri"/>
          <w:bCs/>
          <w:i/>
          <w:iCs/>
          <w:szCs w:val="24"/>
        </w:rPr>
        <w:t>Wytycznych w zakresie zagadnień związanych z przygotowaniem projektów inwestycyjnych, w tym projektów hybrydowych na lata 2021-2027</w:t>
      </w:r>
      <w:r w:rsidRPr="00593DAA">
        <w:rPr>
          <w:rFonts w:ascii="Calibri" w:hAnsi="Calibri"/>
          <w:bCs/>
          <w:szCs w:val="24"/>
        </w:rPr>
        <w:t xml:space="preserve"> w oparciu o odrębne dokumenty stanowiące zalecenia sektorowe</w:t>
      </w:r>
      <w:bookmarkStart w:id="603" w:name="_Toc219062946"/>
      <w:bookmarkStart w:id="604" w:name="_Toc219063244"/>
      <w:bookmarkEnd w:id="603"/>
      <w:bookmarkEnd w:id="604"/>
      <w:r w:rsidR="00593DAA" w:rsidRPr="00593DAA">
        <w:rPr>
          <w:rFonts w:ascii="Calibri" w:hAnsi="Calibri"/>
          <w:bCs/>
          <w:szCs w:val="24"/>
        </w:rPr>
        <w:t>.</w:t>
      </w:r>
    </w:p>
    <w:p w14:paraId="7A1B3BE6" w14:textId="036E0A70" w:rsidR="00CC66EB" w:rsidRPr="00593DAA" w:rsidRDefault="00CC66EB" w:rsidP="00CC66EB">
      <w:pPr>
        <w:pStyle w:val="Nagwek1"/>
        <w:numPr>
          <w:ilvl w:val="0"/>
          <w:numId w:val="0"/>
        </w:numPr>
        <w:tabs>
          <w:tab w:val="num" w:pos="1134"/>
        </w:tabs>
        <w:spacing w:before="360" w:after="120" w:line="276" w:lineRule="auto"/>
        <w:rPr>
          <w:rFonts w:ascii="Calibri" w:hAnsi="Calibri"/>
          <w:sz w:val="24"/>
          <w:szCs w:val="24"/>
        </w:rPr>
      </w:pPr>
      <w:bookmarkStart w:id="605" w:name="_Toc241839710"/>
      <w:r w:rsidRPr="00593DAA">
        <w:rPr>
          <w:rFonts w:asciiTheme="minorHAnsi" w:eastAsia="Calibri" w:hAnsiTheme="minorHAnsi" w:cstheme="minorHAnsi"/>
          <w:sz w:val="24"/>
          <w:szCs w:val="24"/>
          <w:lang w:eastAsia="en-US"/>
        </w:rPr>
        <w:t>1.1.1</w:t>
      </w:r>
      <w:r w:rsidR="004F4C0C">
        <w:rPr>
          <w:rFonts w:asciiTheme="minorHAnsi" w:eastAsia="Calibri" w:hAnsiTheme="minorHAnsi" w:cstheme="minorHAnsi"/>
          <w:sz w:val="24"/>
          <w:szCs w:val="24"/>
          <w:lang w:eastAsia="en-US"/>
        </w:rPr>
        <w:t>4</w:t>
      </w:r>
      <w:r w:rsidRPr="00593DAA">
        <w:rPr>
          <w:rFonts w:asciiTheme="minorHAnsi" w:eastAsia="Calibri" w:hAnsiTheme="minorHAnsi" w:cstheme="minorHAnsi"/>
          <w:sz w:val="24"/>
          <w:szCs w:val="24"/>
          <w:lang w:eastAsia="en-US"/>
        </w:rPr>
        <w:t xml:space="preserve"> </w:t>
      </w:r>
      <w:r w:rsidRPr="00593DAA">
        <w:rPr>
          <w:rFonts w:ascii="Calibri" w:hAnsi="Calibri"/>
          <w:sz w:val="24"/>
          <w:szCs w:val="24"/>
        </w:rPr>
        <w:t>SPECYFICZNE ANALIZY DLA DANEGO RODZAJU PROJEKTU/SEKTORA</w:t>
      </w:r>
      <w:bookmarkEnd w:id="605"/>
    </w:p>
    <w:p w14:paraId="769CADD9" w14:textId="62842238" w:rsidR="00815AC3" w:rsidRPr="00CC66EB" w:rsidRDefault="00815AC3" w:rsidP="00BA5C81">
      <w:pPr>
        <w:spacing w:line="276" w:lineRule="auto"/>
        <w:rPr>
          <w:rFonts w:ascii="Calibri" w:hAnsi="Calibri"/>
          <w:bCs/>
          <w:szCs w:val="24"/>
        </w:rPr>
      </w:pPr>
      <w:bookmarkStart w:id="606" w:name="_Toc485046533"/>
      <w:bookmarkStart w:id="607" w:name="_Toc485382992"/>
      <w:bookmarkStart w:id="608" w:name="_Toc485046535"/>
      <w:bookmarkStart w:id="609" w:name="_Toc485382994"/>
      <w:bookmarkStart w:id="610" w:name="_Toc485046536"/>
      <w:bookmarkStart w:id="611" w:name="_Toc485382995"/>
      <w:bookmarkStart w:id="612" w:name="_Toc485046537"/>
      <w:bookmarkStart w:id="613" w:name="_Toc485382996"/>
      <w:bookmarkStart w:id="614" w:name="_Toc485046538"/>
      <w:bookmarkStart w:id="615" w:name="_Toc485382997"/>
      <w:bookmarkStart w:id="616" w:name="_Toc485046545"/>
      <w:bookmarkStart w:id="617" w:name="_Toc485383004"/>
      <w:bookmarkStart w:id="618" w:name="_Toc485046546"/>
      <w:bookmarkStart w:id="619" w:name="_Toc485383005"/>
      <w:bookmarkStart w:id="620" w:name="_Toc485046548"/>
      <w:bookmarkStart w:id="621" w:name="_Toc485383007"/>
      <w:bookmarkStart w:id="622" w:name="_Toc485046553"/>
      <w:bookmarkStart w:id="623" w:name="_Toc485383012"/>
      <w:bookmarkStart w:id="624" w:name="_Toc485046554"/>
      <w:bookmarkStart w:id="625" w:name="_Toc485383013"/>
      <w:bookmarkStart w:id="626" w:name="_Toc485046560"/>
      <w:bookmarkStart w:id="627" w:name="_Toc485383019"/>
      <w:bookmarkStart w:id="628" w:name="_Toc485046566"/>
      <w:bookmarkStart w:id="629" w:name="_Toc485383025"/>
      <w:bookmarkStart w:id="630" w:name="_Toc485046567"/>
      <w:bookmarkStart w:id="631" w:name="_Toc485383026"/>
      <w:bookmarkStart w:id="632" w:name="_Toc485046568"/>
      <w:bookmarkStart w:id="633" w:name="_Toc485383027"/>
      <w:bookmarkStart w:id="634" w:name="_Toc485046569"/>
      <w:bookmarkStart w:id="635" w:name="_Toc485383028"/>
      <w:bookmarkStart w:id="636" w:name="_Toc485046570"/>
      <w:bookmarkStart w:id="637" w:name="_Toc485383029"/>
      <w:bookmarkStart w:id="638" w:name="_Toc485046574"/>
      <w:bookmarkStart w:id="639" w:name="_Toc485383033"/>
      <w:bookmarkStart w:id="640" w:name="_Toc485046575"/>
      <w:bookmarkStart w:id="641" w:name="_Toc485383034"/>
      <w:bookmarkStart w:id="642" w:name="_Toc485046576"/>
      <w:bookmarkStart w:id="643" w:name="_Toc485383035"/>
      <w:bookmarkStart w:id="644" w:name="_Toc485046606"/>
      <w:bookmarkStart w:id="645" w:name="_Toc485383065"/>
      <w:bookmarkStart w:id="646" w:name="_Toc127344061"/>
      <w:bookmarkStart w:id="647" w:name="_Toc477857436"/>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r w:rsidRPr="00593DAA">
        <w:rPr>
          <w:rFonts w:ascii="Calibri" w:hAnsi="Calibri"/>
          <w:bCs/>
          <w:szCs w:val="24"/>
        </w:rPr>
        <w:t xml:space="preserve">W przypadku realizacji projektów, w których dofinansowanie (lub jego część) będzie stanowiło element rekompensaty przyznawanej na świadczenie usług w ogólnym interesie gospodarczym w zakresie </w:t>
      </w:r>
      <w:r w:rsidR="00593DAA" w:rsidRPr="00593DAA">
        <w:rPr>
          <w:rFonts w:ascii="Calibri" w:hAnsi="Calibri"/>
          <w:bCs/>
          <w:szCs w:val="24"/>
        </w:rPr>
        <w:t>gospodarowania odpadami</w:t>
      </w:r>
      <w:r w:rsidR="00DD52F6">
        <w:rPr>
          <w:rFonts w:ascii="Calibri" w:hAnsi="Calibri"/>
          <w:bCs/>
          <w:szCs w:val="24"/>
        </w:rPr>
        <w:t xml:space="preserve"> i gospodarki o obiegu zamkniętym</w:t>
      </w:r>
      <w:r w:rsidRPr="00593DAA">
        <w:rPr>
          <w:rFonts w:ascii="Calibri" w:hAnsi="Calibri"/>
          <w:bCs/>
          <w:szCs w:val="24"/>
        </w:rPr>
        <w:t>, w</w:t>
      </w:r>
      <w:r w:rsidR="00A21818">
        <w:rPr>
          <w:rFonts w:ascii="Calibri" w:hAnsi="Calibri"/>
          <w:bCs/>
          <w:szCs w:val="24"/>
        </w:rPr>
        <w:t> </w:t>
      </w:r>
      <w:r w:rsidRPr="00593DAA">
        <w:rPr>
          <w:rFonts w:ascii="Calibri" w:hAnsi="Calibri"/>
          <w:bCs/>
          <w:szCs w:val="24"/>
        </w:rPr>
        <w:t>punkcie tym należy odnieść się do instrukcji wskazanej w SWI.</w:t>
      </w:r>
    </w:p>
    <w:p w14:paraId="4920C2DA" w14:textId="3766C08C" w:rsidR="00CC66EB" w:rsidRPr="004B77D6" w:rsidRDefault="00CC66EB" w:rsidP="00CC66EB">
      <w:pPr>
        <w:pStyle w:val="Nagwek1"/>
        <w:numPr>
          <w:ilvl w:val="0"/>
          <w:numId w:val="0"/>
        </w:numPr>
        <w:tabs>
          <w:tab w:val="num" w:pos="1134"/>
        </w:tabs>
        <w:spacing w:before="360" w:after="120" w:line="276" w:lineRule="auto"/>
        <w:rPr>
          <w:rFonts w:ascii="Calibri" w:hAnsi="Calibri"/>
          <w:sz w:val="24"/>
          <w:szCs w:val="24"/>
        </w:rPr>
      </w:pPr>
      <w:bookmarkStart w:id="648" w:name="_Toc241839711"/>
      <w:bookmarkEnd w:id="646"/>
      <w:r w:rsidRPr="00CC66EB">
        <w:rPr>
          <w:rFonts w:asciiTheme="minorHAnsi" w:eastAsia="Calibri" w:hAnsiTheme="minorHAnsi" w:cstheme="minorHAnsi"/>
          <w:sz w:val="24"/>
          <w:szCs w:val="24"/>
          <w:lang w:eastAsia="en-US"/>
        </w:rPr>
        <w:t>1.1.</w:t>
      </w:r>
      <w:r>
        <w:rPr>
          <w:rFonts w:asciiTheme="minorHAnsi" w:eastAsia="Calibri" w:hAnsiTheme="minorHAnsi" w:cstheme="minorHAnsi"/>
          <w:sz w:val="24"/>
          <w:szCs w:val="24"/>
          <w:lang w:eastAsia="en-US"/>
        </w:rPr>
        <w:t>1</w:t>
      </w:r>
      <w:r w:rsidR="004F4C0C">
        <w:rPr>
          <w:rFonts w:asciiTheme="minorHAnsi" w:eastAsia="Calibri" w:hAnsiTheme="minorHAnsi" w:cstheme="minorHAnsi"/>
          <w:sz w:val="24"/>
          <w:szCs w:val="24"/>
          <w:lang w:eastAsia="en-US"/>
        </w:rPr>
        <w:t>5</w:t>
      </w:r>
      <w:r w:rsidRPr="00CC66EB">
        <w:rPr>
          <w:rFonts w:asciiTheme="minorHAnsi" w:eastAsia="Calibri" w:hAnsiTheme="minorHAnsi" w:cstheme="minorHAnsi"/>
          <w:sz w:val="24"/>
          <w:szCs w:val="24"/>
          <w:lang w:eastAsia="en-US"/>
        </w:rPr>
        <w:t xml:space="preserve"> </w:t>
      </w:r>
      <w:r>
        <w:rPr>
          <w:rFonts w:ascii="Calibri" w:hAnsi="Calibri"/>
          <w:sz w:val="24"/>
          <w:szCs w:val="24"/>
        </w:rPr>
        <w:t>ODNIESIENIE DO KRYTERIÓW WYBORU PROJEKTÓW</w:t>
      </w:r>
      <w:bookmarkEnd w:id="648"/>
    </w:p>
    <w:p w14:paraId="070C9539" w14:textId="5A22A212" w:rsidR="00C2071D" w:rsidRDefault="00C2071D" w:rsidP="00A21818">
      <w:pPr>
        <w:spacing w:after="120" w:line="276" w:lineRule="auto"/>
        <w:rPr>
          <w:rFonts w:asciiTheme="minorHAnsi" w:hAnsiTheme="minorHAnsi" w:cs="Arial"/>
          <w:szCs w:val="24"/>
        </w:rPr>
      </w:pPr>
      <w:r w:rsidRPr="004B77D6">
        <w:rPr>
          <w:rFonts w:asciiTheme="minorHAnsi" w:hAnsiTheme="minorHAnsi" w:cs="Arial"/>
          <w:szCs w:val="24"/>
        </w:rPr>
        <w:t xml:space="preserve">W niniejszym rozdziale należy odnieść się do kryteriów merytorycznych oceny projektu określonych dla działania </w:t>
      </w:r>
      <w:r w:rsidR="002961A3">
        <w:rPr>
          <w:rFonts w:asciiTheme="minorHAnsi" w:hAnsiTheme="minorHAnsi" w:cstheme="minorHAnsi"/>
          <w:iCs/>
          <w:szCs w:val="24"/>
        </w:rPr>
        <w:t>2</w:t>
      </w:r>
      <w:r w:rsidR="00FE5AE4">
        <w:rPr>
          <w:rFonts w:asciiTheme="minorHAnsi" w:hAnsiTheme="minorHAnsi" w:cstheme="minorHAnsi"/>
          <w:iCs/>
          <w:szCs w:val="24"/>
        </w:rPr>
        <w:t>.</w:t>
      </w:r>
      <w:r w:rsidR="002961A3">
        <w:rPr>
          <w:rFonts w:asciiTheme="minorHAnsi" w:hAnsiTheme="minorHAnsi" w:cstheme="minorHAnsi"/>
          <w:iCs/>
          <w:szCs w:val="24"/>
        </w:rPr>
        <w:t xml:space="preserve">5 </w:t>
      </w:r>
      <w:r w:rsidR="002961A3" w:rsidRPr="002961A3">
        <w:rPr>
          <w:rFonts w:asciiTheme="minorHAnsi" w:hAnsiTheme="minorHAnsi" w:cstheme="minorHAnsi"/>
          <w:i/>
          <w:szCs w:val="24"/>
        </w:rPr>
        <w:t>Odpady i gospodarka o obiegu zamkniętym</w:t>
      </w:r>
      <w:r w:rsidR="002961A3">
        <w:rPr>
          <w:rFonts w:asciiTheme="minorHAnsi" w:hAnsiTheme="minorHAnsi" w:cstheme="minorHAnsi"/>
          <w:iCs/>
          <w:szCs w:val="24"/>
        </w:rPr>
        <w:t xml:space="preserve"> </w:t>
      </w:r>
      <w:r w:rsidR="002961A3" w:rsidRPr="008E4558">
        <w:rPr>
          <w:rFonts w:asciiTheme="minorHAnsi" w:hAnsiTheme="minorHAnsi" w:cstheme="minorHAnsi"/>
          <w:i/>
          <w:szCs w:val="24"/>
        </w:rPr>
        <w:t>FEO</w:t>
      </w:r>
      <w:r w:rsidR="00187F1C" w:rsidRPr="00187F1C">
        <w:rPr>
          <w:rFonts w:asciiTheme="minorHAnsi" w:hAnsiTheme="minorHAnsi" w:cstheme="minorHAnsi"/>
          <w:i/>
          <w:szCs w:val="24"/>
        </w:rPr>
        <w:t xml:space="preserve"> 2021</w:t>
      </w:r>
      <w:r w:rsidR="007D7D72">
        <w:rPr>
          <w:rFonts w:asciiTheme="minorHAnsi" w:hAnsiTheme="minorHAnsi" w:cstheme="minorHAnsi"/>
          <w:i/>
          <w:szCs w:val="24"/>
        </w:rPr>
        <w:t>-</w:t>
      </w:r>
      <w:r w:rsidR="00187F1C" w:rsidRPr="00187F1C">
        <w:rPr>
          <w:rFonts w:asciiTheme="minorHAnsi" w:hAnsiTheme="minorHAnsi" w:cstheme="minorHAnsi"/>
          <w:i/>
          <w:szCs w:val="24"/>
        </w:rPr>
        <w:t xml:space="preserve"> 2027</w:t>
      </w:r>
      <w:r w:rsidRPr="004B77D6">
        <w:rPr>
          <w:rFonts w:asciiTheme="minorHAnsi" w:hAnsiTheme="minorHAnsi" w:cs="Arial"/>
          <w:i/>
          <w:szCs w:val="24"/>
        </w:rPr>
        <w:t xml:space="preserve">, </w:t>
      </w:r>
      <w:r w:rsidRPr="004B77D6">
        <w:rPr>
          <w:rFonts w:asciiTheme="minorHAnsi" w:hAnsiTheme="minorHAnsi" w:cs="Arial"/>
          <w:szCs w:val="24"/>
        </w:rPr>
        <w:t>stanowiących</w:t>
      </w:r>
      <w:r w:rsidRPr="004B77D6">
        <w:rPr>
          <w:rFonts w:asciiTheme="minorHAnsi" w:hAnsiTheme="minorHAnsi" w:cs="Arial"/>
          <w:i/>
          <w:szCs w:val="24"/>
        </w:rPr>
        <w:t xml:space="preserve"> z</w:t>
      </w:r>
      <w:r w:rsidR="00B21759">
        <w:rPr>
          <w:rFonts w:asciiTheme="minorHAnsi" w:hAnsiTheme="minorHAnsi" w:cs="Arial"/>
          <w:szCs w:val="24"/>
        </w:rPr>
        <w:t xml:space="preserve">ałącznik nr </w:t>
      </w:r>
      <w:r w:rsidR="005A16F1">
        <w:rPr>
          <w:rFonts w:asciiTheme="minorHAnsi" w:hAnsiTheme="minorHAnsi" w:cs="Arial"/>
          <w:szCs w:val="24"/>
        </w:rPr>
        <w:t>8</w:t>
      </w:r>
      <w:r w:rsidRPr="004B77D6">
        <w:rPr>
          <w:rFonts w:asciiTheme="minorHAnsi" w:hAnsiTheme="minorHAnsi" w:cs="Arial"/>
          <w:szCs w:val="24"/>
        </w:rPr>
        <w:t xml:space="preserve"> do </w:t>
      </w:r>
      <w:r w:rsidRPr="004B77D6">
        <w:rPr>
          <w:rFonts w:asciiTheme="minorHAnsi" w:hAnsiTheme="minorHAnsi"/>
          <w:i/>
          <w:color w:val="000000"/>
          <w:szCs w:val="24"/>
        </w:rPr>
        <w:t xml:space="preserve">Regulaminu </w:t>
      </w:r>
      <w:r w:rsidRPr="004B77D6">
        <w:rPr>
          <w:rFonts w:ascii="Calibri" w:hAnsi="Calibri"/>
          <w:i/>
          <w:szCs w:val="24"/>
        </w:rPr>
        <w:t>wyboru projektów</w:t>
      </w:r>
      <w:r w:rsidRPr="004B77D6">
        <w:rPr>
          <w:rFonts w:asciiTheme="minorHAnsi" w:hAnsiTheme="minorHAnsi"/>
          <w:i/>
          <w:color w:val="000000"/>
          <w:szCs w:val="24"/>
        </w:rPr>
        <w:t>.</w:t>
      </w:r>
      <w:r w:rsidRPr="004B77D6">
        <w:rPr>
          <w:rFonts w:asciiTheme="minorHAnsi" w:hAnsiTheme="minorHAnsi" w:cs="Arial"/>
          <w:szCs w:val="24"/>
        </w:rPr>
        <w:t xml:space="preserve"> W</w:t>
      </w:r>
      <w:r w:rsidR="00982BD4">
        <w:rPr>
          <w:rFonts w:asciiTheme="minorHAnsi" w:hAnsiTheme="minorHAnsi" w:cs="Arial"/>
          <w:szCs w:val="24"/>
        </w:rPr>
        <w:t> </w:t>
      </w:r>
      <w:r w:rsidRPr="004B77D6">
        <w:rPr>
          <w:rFonts w:asciiTheme="minorHAnsi" w:hAnsiTheme="minorHAnsi" w:cs="Arial"/>
          <w:szCs w:val="24"/>
        </w:rPr>
        <w:t>przypadku gdy kryteri</w:t>
      </w:r>
      <w:r w:rsidR="00042226">
        <w:rPr>
          <w:rFonts w:asciiTheme="minorHAnsi" w:hAnsiTheme="minorHAnsi" w:cs="Arial"/>
          <w:szCs w:val="24"/>
        </w:rPr>
        <w:t>a odnoszą się do wartości liczbowych i</w:t>
      </w:r>
      <w:r w:rsidRPr="004B77D6">
        <w:rPr>
          <w:rFonts w:asciiTheme="minorHAnsi" w:hAnsiTheme="minorHAnsi" w:cs="Arial"/>
          <w:szCs w:val="24"/>
        </w:rPr>
        <w:t xml:space="preserve"> wynikają z dokonanych obliczeń należy zaprezentować szczegółową </w:t>
      </w:r>
      <w:r w:rsidRPr="004B77D6">
        <w:rPr>
          <w:rFonts w:asciiTheme="minorHAnsi" w:hAnsiTheme="minorHAnsi" w:cs="Arial"/>
          <w:szCs w:val="24"/>
          <w:u w:val="single"/>
        </w:rPr>
        <w:t>metodologię</w:t>
      </w:r>
      <w:r w:rsidRPr="004B77D6">
        <w:rPr>
          <w:rFonts w:asciiTheme="minorHAnsi" w:hAnsiTheme="minorHAnsi" w:cs="Arial"/>
          <w:szCs w:val="24"/>
        </w:rPr>
        <w:t xml:space="preserve"> ich obliczenia.</w:t>
      </w:r>
    </w:p>
    <w:p w14:paraId="0A8F06BD" w14:textId="77777777" w:rsidR="006403DA" w:rsidRDefault="006403DA" w:rsidP="00A21818">
      <w:pPr>
        <w:spacing w:after="120" w:line="276" w:lineRule="auto"/>
        <w:rPr>
          <w:rFonts w:asciiTheme="minorHAnsi" w:hAnsiTheme="minorHAnsi" w:cs="Arial"/>
          <w:szCs w:val="24"/>
        </w:rPr>
      </w:pPr>
    </w:p>
    <w:p w14:paraId="4FA3A358" w14:textId="7DC6B7F2" w:rsidR="004A44B0" w:rsidRPr="004A44B0" w:rsidRDefault="004A44B0" w:rsidP="004A44B0">
      <w:pPr>
        <w:pStyle w:val="Nagwek3"/>
        <w:numPr>
          <w:ilvl w:val="0"/>
          <w:numId w:val="0"/>
        </w:numPr>
        <w:suppressAutoHyphens w:val="0"/>
        <w:spacing w:after="120" w:line="276" w:lineRule="auto"/>
        <w:ind w:left="284" w:hanging="426"/>
        <w:rPr>
          <w:rFonts w:ascii="Calibri" w:hAnsi="Calibri"/>
          <w:sz w:val="28"/>
          <w:szCs w:val="28"/>
          <w:lang w:val="pl-PL"/>
        </w:rPr>
      </w:pPr>
      <w:bookmarkStart w:id="649" w:name="_Toc241839712"/>
      <w:r>
        <w:rPr>
          <w:rFonts w:ascii="Calibri" w:hAnsi="Calibri"/>
          <w:sz w:val="28"/>
          <w:szCs w:val="28"/>
          <w:lang w:val="pl-PL"/>
        </w:rPr>
        <w:t xml:space="preserve">1.2 </w:t>
      </w:r>
      <w:r w:rsidRPr="004A44B0">
        <w:rPr>
          <w:rFonts w:ascii="Calibri" w:hAnsi="Calibri"/>
          <w:sz w:val="28"/>
          <w:szCs w:val="28"/>
        </w:rPr>
        <w:t>INSTRUKCJA PRZYGOTOWANIA STUDIUM WYKONALNOŚCI INWESTYCJI</w:t>
      </w:r>
      <w:r w:rsidRPr="004A44B0">
        <w:rPr>
          <w:rFonts w:ascii="Calibri" w:hAnsi="Calibri"/>
          <w:sz w:val="28"/>
          <w:szCs w:val="28"/>
          <w:lang w:val="pl-PL"/>
        </w:rPr>
        <w:t xml:space="preserve"> </w:t>
      </w:r>
      <w:r>
        <w:rPr>
          <w:rFonts w:ascii="Calibri" w:hAnsi="Calibri"/>
          <w:sz w:val="28"/>
          <w:szCs w:val="28"/>
          <w:lang w:val="pl-PL"/>
        </w:rPr>
        <w:br/>
      </w:r>
      <w:r w:rsidRPr="004A44B0">
        <w:rPr>
          <w:rFonts w:ascii="Calibri" w:hAnsi="Calibri"/>
          <w:sz w:val="28"/>
          <w:szCs w:val="28"/>
          <w:lang w:val="pl-PL"/>
        </w:rPr>
        <w:t>TJ. ZAŁĄCZNIKA 1</w:t>
      </w:r>
      <w:r>
        <w:rPr>
          <w:rFonts w:ascii="Calibri" w:hAnsi="Calibri"/>
          <w:sz w:val="28"/>
          <w:szCs w:val="28"/>
          <w:lang w:val="pl-PL"/>
        </w:rPr>
        <w:t>B</w:t>
      </w:r>
      <w:r w:rsidRPr="004A44B0">
        <w:rPr>
          <w:rFonts w:ascii="Calibri" w:hAnsi="Calibri"/>
          <w:sz w:val="28"/>
          <w:szCs w:val="28"/>
          <w:lang w:val="pl-PL"/>
        </w:rPr>
        <w:t xml:space="preserve"> DO WNIOSKU O DOFINANSOWANIE - </w:t>
      </w:r>
      <w:r w:rsidRPr="004A44B0">
        <w:rPr>
          <w:rFonts w:ascii="Calibri" w:hAnsi="Calibri"/>
          <w:b w:val="0"/>
          <w:bCs w:val="0"/>
          <w:sz w:val="28"/>
          <w:szCs w:val="28"/>
          <w:lang w:val="pl-PL"/>
        </w:rPr>
        <w:t xml:space="preserve">dla projektów, których całkowity koszt kwalifikowalny w momencie złożenia wniosku </w:t>
      </w:r>
      <w:r w:rsidR="00CC66EB">
        <w:rPr>
          <w:rFonts w:ascii="Calibri" w:hAnsi="Calibri"/>
          <w:b w:val="0"/>
          <w:bCs w:val="0"/>
          <w:sz w:val="28"/>
          <w:szCs w:val="28"/>
          <w:lang w:val="pl-PL"/>
        </w:rPr>
        <w:br/>
      </w:r>
      <w:r w:rsidRPr="004A44B0">
        <w:rPr>
          <w:rFonts w:ascii="Calibri" w:hAnsi="Calibri"/>
          <w:b w:val="0"/>
          <w:bCs w:val="0"/>
          <w:sz w:val="28"/>
          <w:szCs w:val="28"/>
          <w:lang w:val="pl-PL"/>
        </w:rPr>
        <w:t>o dofinansowanie</w:t>
      </w:r>
      <w:r w:rsidRPr="004A44B0">
        <w:rPr>
          <w:rFonts w:ascii="Calibri" w:hAnsi="Calibri"/>
          <w:sz w:val="28"/>
          <w:szCs w:val="28"/>
          <w:lang w:val="pl-PL"/>
        </w:rPr>
        <w:t xml:space="preserve"> </w:t>
      </w:r>
      <w:r w:rsidRPr="004A44B0">
        <w:rPr>
          <w:rFonts w:ascii="Calibri" w:hAnsi="Calibri"/>
          <w:sz w:val="28"/>
          <w:szCs w:val="28"/>
          <w:u w:val="single"/>
          <w:lang w:val="pl-PL"/>
        </w:rPr>
        <w:t xml:space="preserve">jest </w:t>
      </w:r>
      <w:r>
        <w:rPr>
          <w:rFonts w:ascii="Calibri" w:hAnsi="Calibri"/>
          <w:sz w:val="28"/>
          <w:szCs w:val="28"/>
          <w:u w:val="single"/>
          <w:lang w:val="pl-PL"/>
        </w:rPr>
        <w:t>niższy</w:t>
      </w:r>
      <w:r w:rsidRPr="004A44B0">
        <w:rPr>
          <w:rFonts w:ascii="Calibri" w:hAnsi="Calibri"/>
          <w:sz w:val="28"/>
          <w:szCs w:val="28"/>
          <w:u w:val="single"/>
          <w:lang w:val="pl-PL"/>
        </w:rPr>
        <w:t xml:space="preserve"> </w:t>
      </w:r>
      <w:r>
        <w:rPr>
          <w:rFonts w:ascii="Calibri" w:hAnsi="Calibri"/>
          <w:sz w:val="28"/>
          <w:szCs w:val="28"/>
          <w:u w:val="single"/>
          <w:lang w:val="pl-PL"/>
        </w:rPr>
        <w:t>od</w:t>
      </w:r>
      <w:r w:rsidRPr="004A44B0">
        <w:rPr>
          <w:rFonts w:ascii="Calibri" w:hAnsi="Calibri"/>
          <w:sz w:val="28"/>
          <w:szCs w:val="28"/>
          <w:u w:val="single"/>
          <w:lang w:val="pl-PL"/>
        </w:rPr>
        <w:t xml:space="preserve"> 50 mln zł</w:t>
      </w:r>
      <w:bookmarkEnd w:id="649"/>
    </w:p>
    <w:p w14:paraId="16179C50" w14:textId="2DB06E6A" w:rsidR="004A44B0" w:rsidRPr="004B77D6" w:rsidRDefault="00F16CD4" w:rsidP="00A21818">
      <w:pPr>
        <w:spacing w:before="40" w:after="40" w:line="276" w:lineRule="auto"/>
        <w:rPr>
          <w:rFonts w:ascii="Calibri" w:hAnsi="Calibri"/>
          <w:szCs w:val="24"/>
        </w:rPr>
      </w:pPr>
      <w:r>
        <w:rPr>
          <w:rFonts w:ascii="Calibri" w:hAnsi="Calibri"/>
          <w:szCs w:val="24"/>
        </w:rPr>
        <w:br/>
      </w:r>
      <w:r w:rsidR="004A44B0" w:rsidRPr="004B77D6">
        <w:rPr>
          <w:rFonts w:ascii="Calibri" w:hAnsi="Calibri"/>
          <w:szCs w:val="24"/>
        </w:rPr>
        <w:t xml:space="preserve">Opracowując SWI należy mieć na uwadze cykl życia projektu, uwzględniając kolejno etapy od planowania strategicznego, tj. identyfikacji potrzeb i możliwości, poprzez projektowanie, wdrażanie, rozliczanie i ewaluację. Studium powinno zawierać, m.in. identyfikację projektu, analizę instytucjonalną i prawną wykonalności projektu, analizę popytu oraz analizę opcji, </w:t>
      </w:r>
      <w:r w:rsidR="004A44B0">
        <w:rPr>
          <w:rFonts w:ascii="Calibri" w:hAnsi="Calibri"/>
          <w:szCs w:val="24"/>
        </w:rPr>
        <w:t>analizę finansowej trwałości projektu oraz odniesienie do kryteriów wyboru projektów</w:t>
      </w:r>
      <w:r w:rsidR="004A44B0" w:rsidRPr="004B77D6">
        <w:rPr>
          <w:rFonts w:ascii="Calibri" w:hAnsi="Calibri"/>
          <w:szCs w:val="24"/>
        </w:rPr>
        <w:t>, zgodnie z opisem określonym we wzorze SWI.</w:t>
      </w:r>
    </w:p>
    <w:p w14:paraId="22D46DB3" w14:textId="6488ABD3" w:rsidR="004A44B0" w:rsidRDefault="004A44B0" w:rsidP="00A21818">
      <w:pPr>
        <w:spacing w:before="40" w:after="40" w:line="276" w:lineRule="auto"/>
        <w:rPr>
          <w:rFonts w:ascii="Calibri" w:hAnsi="Calibri"/>
          <w:szCs w:val="24"/>
        </w:rPr>
      </w:pPr>
      <w:r w:rsidRPr="004B77D6">
        <w:rPr>
          <w:rFonts w:ascii="Calibri" w:hAnsi="Calibri"/>
          <w:b/>
          <w:szCs w:val="24"/>
          <w:u w:val="single"/>
        </w:rPr>
        <w:lastRenderedPageBreak/>
        <w:t>Dla jednego projektu należy sporządzić jedno studium wykonalności</w:t>
      </w:r>
      <w:r>
        <w:rPr>
          <w:rFonts w:ascii="Calibri" w:hAnsi="Calibri"/>
          <w:szCs w:val="24"/>
        </w:rPr>
        <w:t>.</w:t>
      </w:r>
      <w:r w:rsidR="00F16CD4">
        <w:rPr>
          <w:rFonts w:ascii="Calibri" w:hAnsi="Calibri"/>
          <w:szCs w:val="24"/>
        </w:rPr>
        <w:br/>
      </w:r>
    </w:p>
    <w:p w14:paraId="5B261639" w14:textId="77777777" w:rsidR="004A44B0" w:rsidRPr="004A44B0" w:rsidRDefault="004A44B0" w:rsidP="00757490">
      <w:pPr>
        <w:pStyle w:val="Akapitzlist"/>
        <w:keepNext/>
        <w:suppressAutoHyphens/>
        <w:spacing w:before="120" w:after="120"/>
        <w:ind w:left="792"/>
        <w:outlineLvl w:val="0"/>
        <w:rPr>
          <w:rFonts w:eastAsia="Times New Roman"/>
          <w:b/>
          <w:bCs/>
          <w:vanish/>
          <w:kern w:val="32"/>
          <w:sz w:val="24"/>
          <w:szCs w:val="24"/>
          <w:lang w:eastAsia="pl-PL"/>
        </w:rPr>
      </w:pPr>
      <w:bookmarkStart w:id="650" w:name="_Toc219292466"/>
      <w:bookmarkStart w:id="651" w:name="_Toc219292681"/>
      <w:bookmarkStart w:id="652" w:name="_Toc219293064"/>
      <w:bookmarkStart w:id="653" w:name="_Toc219293102"/>
      <w:bookmarkStart w:id="654" w:name="_Toc221087035"/>
      <w:bookmarkStart w:id="655" w:name="_Toc236986837"/>
      <w:bookmarkStart w:id="656" w:name="_Toc236992517"/>
      <w:bookmarkStart w:id="657" w:name="_Toc239242098"/>
      <w:bookmarkStart w:id="658" w:name="_Toc241051023"/>
      <w:bookmarkStart w:id="659" w:name="_Toc241056166"/>
      <w:bookmarkStart w:id="660" w:name="_Toc241056226"/>
      <w:bookmarkStart w:id="661" w:name="_Toc241149799"/>
      <w:bookmarkStart w:id="662" w:name="_Toc241150476"/>
      <w:bookmarkStart w:id="663" w:name="_Toc241151664"/>
      <w:bookmarkStart w:id="664" w:name="_Toc241566537"/>
      <w:bookmarkStart w:id="665" w:name="_Toc219292467"/>
      <w:bookmarkStart w:id="666" w:name="_Toc219292682"/>
      <w:bookmarkStart w:id="667" w:name="_Toc219293065"/>
      <w:bookmarkStart w:id="668" w:name="_Toc219293103"/>
      <w:bookmarkStart w:id="669" w:name="_Toc221087036"/>
      <w:bookmarkStart w:id="670" w:name="_Toc236986838"/>
      <w:bookmarkStart w:id="671" w:name="_Toc236992518"/>
      <w:bookmarkStart w:id="672" w:name="_Toc239242099"/>
      <w:bookmarkStart w:id="673" w:name="_Toc241051024"/>
      <w:bookmarkStart w:id="674" w:name="_Toc241056167"/>
      <w:bookmarkStart w:id="675" w:name="_Toc241056227"/>
      <w:bookmarkStart w:id="676" w:name="_Toc241149800"/>
      <w:bookmarkStart w:id="677" w:name="_Toc241150477"/>
      <w:bookmarkStart w:id="678" w:name="_Toc241151665"/>
      <w:bookmarkStart w:id="679" w:name="_Toc241566538"/>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p>
    <w:p w14:paraId="351008DD" w14:textId="648642EB" w:rsidR="004A44B0" w:rsidRPr="004B77D6" w:rsidRDefault="004A44B0" w:rsidP="004D0859">
      <w:pPr>
        <w:pStyle w:val="Nagwek1"/>
        <w:numPr>
          <w:ilvl w:val="2"/>
          <w:numId w:val="71"/>
        </w:numPr>
        <w:spacing w:before="120" w:after="120" w:line="276" w:lineRule="auto"/>
        <w:ind w:left="709" w:hanging="709"/>
        <w:rPr>
          <w:rFonts w:ascii="Calibri" w:hAnsi="Calibri"/>
          <w:sz w:val="24"/>
          <w:szCs w:val="24"/>
        </w:rPr>
      </w:pPr>
      <w:bookmarkStart w:id="680" w:name="_Toc241839713"/>
      <w:r w:rsidRPr="004B77D6">
        <w:rPr>
          <w:rFonts w:ascii="Calibri" w:hAnsi="Calibri"/>
          <w:sz w:val="24"/>
          <w:szCs w:val="24"/>
        </w:rPr>
        <w:t>SŁOWNIK POJĘĆ</w:t>
      </w:r>
      <w:bookmarkEnd w:id="680"/>
    </w:p>
    <w:p w14:paraId="1C122CFA" w14:textId="01F43842" w:rsidR="004A44B0" w:rsidRPr="004B77D6" w:rsidRDefault="004A44B0" w:rsidP="00A21818">
      <w:pPr>
        <w:pStyle w:val="Akapitzlist"/>
        <w:spacing w:after="120"/>
        <w:ind w:left="0"/>
        <w:rPr>
          <w:rFonts w:asciiTheme="minorHAnsi" w:hAnsiTheme="minorHAnsi" w:cstheme="minorHAnsi"/>
          <w:sz w:val="24"/>
          <w:szCs w:val="24"/>
        </w:rPr>
      </w:pPr>
      <w:r w:rsidRPr="004B77D6">
        <w:rPr>
          <w:rFonts w:asciiTheme="minorHAnsi" w:hAnsiTheme="minorHAnsi" w:cstheme="minorHAnsi"/>
          <w:b/>
          <w:bCs/>
          <w:sz w:val="24"/>
          <w:szCs w:val="24"/>
        </w:rPr>
        <w:t>Analiza trwałości finansowej</w:t>
      </w:r>
      <w:r w:rsidRPr="004B77D6">
        <w:rPr>
          <w:rFonts w:asciiTheme="minorHAnsi" w:hAnsiTheme="minorHAnsi" w:cstheme="minorHAnsi"/>
          <w:bCs/>
          <w:sz w:val="24"/>
          <w:szCs w:val="24"/>
        </w:rPr>
        <w:t>:</w:t>
      </w:r>
      <w:r w:rsidRPr="004B77D6">
        <w:rPr>
          <w:rFonts w:asciiTheme="minorHAnsi" w:hAnsiTheme="minorHAnsi" w:cstheme="minorHAnsi"/>
          <w:b/>
          <w:bCs/>
          <w:sz w:val="24"/>
          <w:szCs w:val="24"/>
        </w:rPr>
        <w:t xml:space="preserve"> </w:t>
      </w:r>
      <w:r w:rsidRPr="004B77D6">
        <w:rPr>
          <w:rFonts w:asciiTheme="minorHAnsi" w:hAnsiTheme="minorHAnsi" w:cstheme="minorHAnsi"/>
          <w:bCs/>
          <w:sz w:val="24"/>
          <w:szCs w:val="24"/>
        </w:rPr>
        <w:t xml:space="preserve">analiza mająca </w:t>
      </w:r>
      <w:r w:rsidRPr="004B77D6">
        <w:rPr>
          <w:rFonts w:asciiTheme="minorHAnsi" w:hAnsiTheme="minorHAnsi" w:cstheme="minorHAnsi"/>
          <w:sz w:val="24"/>
          <w:szCs w:val="24"/>
        </w:rPr>
        <w:t>na celu weryfikację faktu, czy wpływy finansowe (źródła finansowania projektu, łącznie z przychodami oraz innymi wpływami) wystarczą na pokrycie wszystkich kosztów, w tym finansowych</w:t>
      </w:r>
      <w:r>
        <w:rPr>
          <w:rFonts w:asciiTheme="minorHAnsi" w:hAnsiTheme="minorHAnsi" w:cstheme="minorHAnsi"/>
          <w:sz w:val="24"/>
          <w:szCs w:val="24"/>
        </w:rPr>
        <w:t xml:space="preserve"> do końca okresu trwałości inwestycji</w:t>
      </w:r>
      <w:r w:rsidRPr="004B77D6">
        <w:rPr>
          <w:rFonts w:asciiTheme="minorHAnsi" w:hAnsiTheme="minorHAnsi" w:cstheme="minorHAnsi"/>
          <w:sz w:val="24"/>
          <w:szCs w:val="24"/>
        </w:rPr>
        <w:t>.</w:t>
      </w:r>
    </w:p>
    <w:p w14:paraId="557D648C" w14:textId="77777777" w:rsidR="004A44B0" w:rsidRPr="004B77D6" w:rsidRDefault="004A44B0" w:rsidP="00A21818">
      <w:pPr>
        <w:keepNext/>
        <w:suppressAutoHyphens w:val="0"/>
        <w:autoSpaceDE w:val="0"/>
        <w:autoSpaceDN w:val="0"/>
        <w:adjustRightInd w:val="0"/>
        <w:spacing w:after="120" w:line="276" w:lineRule="auto"/>
        <w:rPr>
          <w:rFonts w:asciiTheme="minorHAnsi" w:hAnsiTheme="minorHAnsi" w:cstheme="minorHAnsi"/>
          <w:szCs w:val="24"/>
        </w:rPr>
      </w:pPr>
      <w:r w:rsidRPr="004B77D6">
        <w:rPr>
          <w:rFonts w:asciiTheme="minorHAnsi" w:hAnsiTheme="minorHAnsi" w:cstheme="minorHAnsi"/>
          <w:b/>
          <w:szCs w:val="24"/>
        </w:rPr>
        <w:t>Całkowity koszt projektu/inwestycji:</w:t>
      </w:r>
      <w:r w:rsidRPr="004B77D6">
        <w:rPr>
          <w:rFonts w:asciiTheme="minorHAnsi" w:hAnsiTheme="minorHAnsi" w:cstheme="minorHAnsi"/>
          <w:szCs w:val="24"/>
        </w:rPr>
        <w:t xml:space="preserve"> wydatki kwalifikowalne i niekwalifikowalne </w:t>
      </w:r>
      <w:r w:rsidRPr="004B77D6">
        <w:rPr>
          <w:rFonts w:asciiTheme="minorHAnsi" w:hAnsiTheme="minorHAnsi" w:cstheme="minorHAnsi"/>
          <w:szCs w:val="24"/>
        </w:rPr>
        <w:br/>
        <w:t xml:space="preserve">w rozumieniu </w:t>
      </w:r>
      <w:r w:rsidRPr="00C94172">
        <w:rPr>
          <w:rFonts w:asciiTheme="minorHAnsi" w:hAnsiTheme="minorHAnsi" w:cstheme="minorHAnsi"/>
          <w:i/>
          <w:iCs/>
          <w:szCs w:val="24"/>
        </w:rPr>
        <w:t>Wytycznych w zakresie kwalifikowalności wydatków</w:t>
      </w:r>
      <w:r w:rsidRPr="004B77D6">
        <w:rPr>
          <w:rFonts w:asciiTheme="minorHAnsi" w:hAnsiTheme="minorHAnsi" w:cstheme="minorHAnsi"/>
          <w:szCs w:val="24"/>
        </w:rPr>
        <w:t>,</w:t>
      </w:r>
      <w:r w:rsidRPr="004B77D6">
        <w:rPr>
          <w:rFonts w:asciiTheme="minorHAnsi" w:hAnsiTheme="minorHAnsi" w:cstheme="minorHAnsi"/>
          <w:i/>
          <w:szCs w:val="24"/>
        </w:rPr>
        <w:t xml:space="preserve"> </w:t>
      </w:r>
      <w:r w:rsidRPr="004B77D6">
        <w:rPr>
          <w:rFonts w:asciiTheme="minorHAnsi" w:hAnsiTheme="minorHAnsi" w:cstheme="minorHAnsi"/>
          <w:szCs w:val="24"/>
        </w:rPr>
        <w:t xml:space="preserve">ponoszone do momentu ukończenia realizacji projektu. Obejmuje m.in. nakłady inwestycyjne na realizację projektu, powiększone o ewentualne rezerwy na nieprzewidziane wydatki (jeżeli instytucja zarządzająca przewiduje taką możliwość), koszty ogólne oraz inne koszty nie mające charakteru pieniężnego, o których mowa w ww. wytycznych, których wartość ustalana jest na zasadach określonych w tych wytycznych. Całkowity koszt inwestycji powinien zawierać podatek VAT, niezależnie od tego, czy podlega on zwrotowi.  </w:t>
      </w:r>
    </w:p>
    <w:p w14:paraId="46872268" w14:textId="77777777" w:rsidR="004A44B0" w:rsidRPr="004B77D6" w:rsidRDefault="004A44B0" w:rsidP="00A21818">
      <w:pPr>
        <w:keepNext/>
        <w:suppressAutoHyphens w:val="0"/>
        <w:autoSpaceDE w:val="0"/>
        <w:autoSpaceDN w:val="0"/>
        <w:adjustRightInd w:val="0"/>
        <w:spacing w:after="120" w:line="276" w:lineRule="auto"/>
        <w:rPr>
          <w:rFonts w:asciiTheme="minorHAnsi" w:hAnsiTheme="minorHAnsi" w:cstheme="minorHAnsi"/>
          <w:szCs w:val="24"/>
        </w:rPr>
      </w:pPr>
      <w:r w:rsidRPr="004B77D6">
        <w:rPr>
          <w:rFonts w:asciiTheme="minorHAnsi" w:hAnsiTheme="minorHAnsi" w:cstheme="minorHAnsi"/>
          <w:b/>
          <w:bCs/>
          <w:szCs w:val="24"/>
        </w:rPr>
        <w:t>Całkowity koszt kwalifikowalny projektu/inwestycji (EC)</w:t>
      </w:r>
      <w:r w:rsidRPr="004B77D6">
        <w:rPr>
          <w:rFonts w:asciiTheme="minorHAnsi" w:hAnsiTheme="minorHAnsi" w:cstheme="minorHAnsi"/>
          <w:szCs w:val="24"/>
        </w:rPr>
        <w:t xml:space="preserve">: wydatki kwalifikowalne </w:t>
      </w:r>
      <w:r w:rsidRPr="004B77D6">
        <w:rPr>
          <w:rFonts w:asciiTheme="minorHAnsi" w:hAnsiTheme="minorHAnsi" w:cstheme="minorHAnsi"/>
          <w:szCs w:val="24"/>
        </w:rPr>
        <w:br/>
        <w:t>w rozumieniu art. 63 rozporządzenia nr 2021/1060 oraz Wytycznych dot. kwalifikowalności wydatków na lata 2021-2027 ponoszone do momentu ukończenia projektu.</w:t>
      </w:r>
    </w:p>
    <w:p w14:paraId="3B196425" w14:textId="4B8F5364" w:rsidR="004A44B0" w:rsidRPr="004B77D6" w:rsidRDefault="004A44B0" w:rsidP="00A21818">
      <w:pPr>
        <w:keepNext/>
        <w:suppressAutoHyphens w:val="0"/>
        <w:autoSpaceDE w:val="0"/>
        <w:autoSpaceDN w:val="0"/>
        <w:adjustRightInd w:val="0"/>
        <w:spacing w:after="120" w:line="276" w:lineRule="auto"/>
        <w:rPr>
          <w:rFonts w:asciiTheme="minorHAnsi" w:hAnsiTheme="minorHAnsi" w:cstheme="minorHAnsi"/>
          <w:szCs w:val="24"/>
        </w:rPr>
      </w:pPr>
      <w:r w:rsidRPr="004B77D6">
        <w:rPr>
          <w:rFonts w:asciiTheme="minorHAnsi" w:hAnsiTheme="minorHAnsi" w:cstheme="minorHAnsi"/>
          <w:b/>
          <w:szCs w:val="24"/>
        </w:rPr>
        <w:t>Finansowanie krzyżowe (</w:t>
      </w:r>
      <w:r w:rsidRPr="004B77D6">
        <w:rPr>
          <w:rFonts w:asciiTheme="minorHAnsi" w:hAnsiTheme="minorHAnsi" w:cstheme="minorHAnsi"/>
          <w:b/>
          <w:i/>
          <w:szCs w:val="24"/>
        </w:rPr>
        <w:t>cross-</w:t>
      </w:r>
      <w:proofErr w:type="spellStart"/>
      <w:r w:rsidRPr="004B77D6">
        <w:rPr>
          <w:rFonts w:asciiTheme="minorHAnsi" w:hAnsiTheme="minorHAnsi" w:cstheme="minorHAnsi"/>
          <w:b/>
          <w:i/>
          <w:szCs w:val="24"/>
        </w:rPr>
        <w:t>financing</w:t>
      </w:r>
      <w:proofErr w:type="spellEnd"/>
      <w:r w:rsidRPr="004B77D6">
        <w:rPr>
          <w:rFonts w:asciiTheme="minorHAnsi" w:hAnsiTheme="minorHAnsi" w:cstheme="minorHAnsi"/>
          <w:b/>
          <w:szCs w:val="24"/>
        </w:rPr>
        <w:t>)</w:t>
      </w:r>
      <w:r w:rsidRPr="004B77D6">
        <w:rPr>
          <w:rFonts w:asciiTheme="minorHAnsi" w:hAnsiTheme="minorHAnsi" w:cstheme="minorHAnsi"/>
          <w:szCs w:val="24"/>
        </w:rPr>
        <w:t>:</w:t>
      </w:r>
      <w:r w:rsidRPr="004B77D6">
        <w:rPr>
          <w:rFonts w:asciiTheme="minorHAnsi" w:hAnsiTheme="minorHAnsi" w:cstheme="minorHAnsi"/>
          <w:b/>
          <w:szCs w:val="24"/>
        </w:rPr>
        <w:t xml:space="preserve"> </w:t>
      </w:r>
      <w:r w:rsidRPr="004B77D6">
        <w:rPr>
          <w:rFonts w:asciiTheme="minorHAnsi" w:hAnsiTheme="minorHAnsi" w:cstheme="minorHAnsi"/>
          <w:szCs w:val="24"/>
        </w:rPr>
        <w:t>zasada polegająca na możliwości finansowania działań w sposób komplementarny ze środków EFRR i EFS+, w przypadku, gdy dane działanie z jednego funduszu objęte jest zakresem pomocy drugiego Funduszu - z zastrzeżeniem ograniczenia do 15 % wsparcia z tych Funduszy na rzecz każdego priorytetu danego programu, całość lub część operacji, w przypadku której koszty kwalifikują się do wsparcia z tego drugiego Funduszu w oparciu o zasady kwalifikowalności mające zastosowanie do tego Funduszu, pod warunkiem że koszty takie są konieczne do celów wdrażania.</w:t>
      </w:r>
    </w:p>
    <w:p w14:paraId="5823B0BD" w14:textId="15A2C25A" w:rsidR="004A44B0" w:rsidRPr="004B77D6" w:rsidRDefault="004A44B0" w:rsidP="00A21818">
      <w:pPr>
        <w:keepNext/>
        <w:suppressAutoHyphens w:val="0"/>
        <w:autoSpaceDE w:val="0"/>
        <w:autoSpaceDN w:val="0"/>
        <w:adjustRightInd w:val="0"/>
        <w:spacing w:after="120" w:line="276" w:lineRule="auto"/>
        <w:rPr>
          <w:rFonts w:asciiTheme="minorHAnsi" w:hAnsiTheme="minorHAnsi" w:cstheme="minorHAnsi"/>
          <w:szCs w:val="24"/>
        </w:rPr>
      </w:pPr>
      <w:r w:rsidRPr="004B77D6">
        <w:rPr>
          <w:rFonts w:asciiTheme="minorHAnsi" w:hAnsiTheme="minorHAnsi" w:cstheme="minorHAnsi"/>
          <w:b/>
          <w:bCs/>
          <w:szCs w:val="24"/>
        </w:rPr>
        <w:t>Koszty operacyjne</w:t>
      </w:r>
      <w:r w:rsidRPr="004B77D6">
        <w:rPr>
          <w:rFonts w:asciiTheme="minorHAnsi" w:hAnsiTheme="minorHAnsi" w:cstheme="minorHAnsi"/>
          <w:bCs/>
          <w:szCs w:val="24"/>
        </w:rPr>
        <w:t>:</w:t>
      </w:r>
      <w:r w:rsidRPr="004B77D6">
        <w:rPr>
          <w:rFonts w:asciiTheme="minorHAnsi" w:hAnsiTheme="minorHAnsi" w:cstheme="minorHAnsi"/>
          <w:b/>
          <w:bCs/>
          <w:szCs w:val="24"/>
        </w:rPr>
        <w:t xml:space="preserve"> </w:t>
      </w:r>
      <w:r w:rsidRPr="004B77D6">
        <w:rPr>
          <w:rFonts w:asciiTheme="minorHAnsi" w:hAnsiTheme="minorHAnsi" w:cstheme="minorHAnsi"/>
          <w:bCs/>
          <w:szCs w:val="24"/>
        </w:rPr>
        <w:t>dla potrzeb ustalania wskaźników efektywności finansowej oraz wyliczania wartości dofinansowania przyjmuje się, że są to</w:t>
      </w:r>
      <w:r w:rsidRPr="004B77D6">
        <w:rPr>
          <w:rFonts w:asciiTheme="minorHAnsi" w:hAnsiTheme="minorHAnsi" w:cstheme="minorHAnsi"/>
          <w:b/>
          <w:bCs/>
          <w:szCs w:val="24"/>
        </w:rPr>
        <w:t xml:space="preserve"> </w:t>
      </w:r>
      <w:r w:rsidRPr="004B77D6">
        <w:rPr>
          <w:rFonts w:asciiTheme="minorHAnsi" w:hAnsiTheme="minorHAnsi" w:cstheme="minorHAnsi"/>
          <w:szCs w:val="24"/>
        </w:rPr>
        <w:t xml:space="preserve">koszty eksploatacji i utrzymania </w:t>
      </w:r>
      <w:r w:rsidRPr="004B77D6">
        <w:rPr>
          <w:rFonts w:asciiTheme="minorHAnsi" w:hAnsiTheme="minorHAnsi" w:cstheme="minorHAnsi"/>
          <w:szCs w:val="24"/>
        </w:rPr>
        <w:br/>
        <w:t xml:space="preserve">(np. wynagrodzenia, surowce, elektryczność), koszty administracyjne i ogólne, koszty związane ze sprzedażą i dystrybucją. </w:t>
      </w:r>
    </w:p>
    <w:p w14:paraId="730806DE" w14:textId="309DDD48" w:rsidR="004A44B0" w:rsidRPr="00B3702A" w:rsidRDefault="004A44B0" w:rsidP="00A21818">
      <w:pPr>
        <w:keepNext/>
        <w:suppressAutoHyphens w:val="0"/>
        <w:autoSpaceDE w:val="0"/>
        <w:autoSpaceDN w:val="0"/>
        <w:adjustRightInd w:val="0"/>
        <w:spacing w:after="120" w:line="276" w:lineRule="auto"/>
        <w:rPr>
          <w:rFonts w:asciiTheme="minorHAnsi" w:hAnsiTheme="minorHAnsi" w:cstheme="minorHAnsi"/>
          <w:szCs w:val="24"/>
        </w:rPr>
      </w:pPr>
      <w:r w:rsidRPr="004B77D6">
        <w:rPr>
          <w:rFonts w:asciiTheme="minorHAnsi" w:hAnsiTheme="minorHAnsi" w:cstheme="minorHAnsi"/>
          <w:b/>
          <w:szCs w:val="24"/>
        </w:rPr>
        <w:t xml:space="preserve">Nakłady inwestycyjne na realizację projektu (koszty inwestycyjne, inwestycja początkowa): </w:t>
      </w:r>
      <w:r w:rsidRPr="004B77D6">
        <w:rPr>
          <w:rFonts w:asciiTheme="minorHAnsi" w:hAnsiTheme="minorHAnsi" w:cstheme="minorHAnsi"/>
          <w:szCs w:val="24"/>
        </w:rPr>
        <w:t>wydatki ponoszone w związku z realizacją projektu do momentu oddania powstałego majątku do użytkowania. Nakłady inwestycyjne na realizację projektu obejmują</w:t>
      </w:r>
      <w:r w:rsidR="00B3702A">
        <w:rPr>
          <w:rFonts w:asciiTheme="minorHAnsi" w:hAnsiTheme="minorHAnsi" w:cstheme="minorHAnsi"/>
          <w:szCs w:val="24"/>
        </w:rPr>
        <w:t xml:space="preserve"> </w:t>
      </w:r>
      <w:r w:rsidRPr="004B77D6">
        <w:rPr>
          <w:rFonts w:asciiTheme="minorHAnsi" w:hAnsiTheme="minorHAnsi" w:cstheme="minorHAnsi"/>
          <w:szCs w:val="24"/>
        </w:rPr>
        <w:t xml:space="preserve">głównie </w:t>
      </w:r>
      <w:r w:rsidRPr="004B77D6">
        <w:rPr>
          <w:rFonts w:asciiTheme="minorHAnsi" w:hAnsiTheme="minorHAnsi" w:cstheme="minorHAnsi"/>
          <w:szCs w:val="24"/>
        </w:rPr>
        <w:lastRenderedPageBreak/>
        <w:t>nakłady na środki trwałe, wartości niematerialne i prawne oraz nakłady na przygotowanie projektu (w tym przygotowanie dokumentacji projektowej, doradztwo)</w:t>
      </w:r>
      <w:r w:rsidRPr="004B77D6">
        <w:rPr>
          <w:rFonts w:asciiTheme="minorHAnsi" w:hAnsiTheme="minorHAnsi" w:cstheme="minorHAnsi"/>
          <w:szCs w:val="24"/>
          <w:vertAlign w:val="superscript"/>
        </w:rPr>
        <w:t>8</w:t>
      </w:r>
      <w:r w:rsidR="00B3702A">
        <w:rPr>
          <w:rFonts w:asciiTheme="minorHAnsi" w:hAnsiTheme="minorHAnsi" w:cstheme="minorHAnsi"/>
          <w:szCs w:val="24"/>
        </w:rPr>
        <w:t>.</w:t>
      </w:r>
      <w:r w:rsidRPr="004B77D6">
        <w:rPr>
          <w:rFonts w:asciiTheme="minorHAnsi" w:hAnsiTheme="minorHAnsi" w:cstheme="minorHAnsi"/>
          <w:color w:val="FFFFFF"/>
          <w:szCs w:val="24"/>
          <w:vertAlign w:val="superscript"/>
        </w:rPr>
        <w:footnoteReference w:id="13"/>
      </w:r>
    </w:p>
    <w:p w14:paraId="1297C8C4" w14:textId="09A6A1F1" w:rsidR="004A44B0" w:rsidRPr="004B77D6" w:rsidRDefault="004A44B0" w:rsidP="00A21818">
      <w:pPr>
        <w:keepNext/>
        <w:suppressAutoHyphens w:val="0"/>
        <w:autoSpaceDE w:val="0"/>
        <w:autoSpaceDN w:val="0"/>
        <w:adjustRightInd w:val="0"/>
        <w:spacing w:after="120" w:line="276" w:lineRule="auto"/>
        <w:rPr>
          <w:rFonts w:asciiTheme="minorHAnsi" w:hAnsiTheme="minorHAnsi" w:cstheme="minorHAnsi"/>
          <w:szCs w:val="24"/>
        </w:rPr>
      </w:pPr>
      <w:r w:rsidRPr="004B77D6">
        <w:rPr>
          <w:rFonts w:asciiTheme="minorHAnsi" w:hAnsiTheme="minorHAnsi" w:cstheme="minorHAnsi"/>
          <w:b/>
          <w:bCs/>
          <w:szCs w:val="24"/>
        </w:rPr>
        <w:t xml:space="preserve">Projekt: </w:t>
      </w:r>
      <w:r w:rsidRPr="004B77D6">
        <w:rPr>
          <w:rFonts w:asciiTheme="minorHAnsi" w:hAnsiTheme="minorHAnsi" w:cstheme="minorHAnsi"/>
          <w:bCs/>
          <w:szCs w:val="24"/>
        </w:rPr>
        <w:t xml:space="preserve">przedsięwzięcie inwestycyjne zmierzające do osiągnięcia założonego celu określonego wskaźnikami, posiadające określony początek i koniec realizacji, zgłoszone </w:t>
      </w:r>
      <w:r w:rsidR="00BA5C81">
        <w:rPr>
          <w:rFonts w:asciiTheme="minorHAnsi" w:hAnsiTheme="minorHAnsi" w:cstheme="minorHAnsi"/>
          <w:bCs/>
          <w:szCs w:val="24"/>
        </w:rPr>
        <w:br/>
      </w:r>
      <w:r w:rsidRPr="004B77D6">
        <w:rPr>
          <w:rFonts w:asciiTheme="minorHAnsi" w:hAnsiTheme="minorHAnsi" w:cstheme="minorHAnsi"/>
          <w:bCs/>
          <w:szCs w:val="24"/>
        </w:rPr>
        <w:t>do objęcia albo objęte współfinansowaniem w ramach środków EFSI.</w:t>
      </w:r>
      <w:r w:rsidRPr="004B77D6">
        <w:rPr>
          <w:rFonts w:asciiTheme="minorHAnsi" w:hAnsiTheme="minorHAnsi" w:cstheme="minorHAnsi"/>
          <w:szCs w:val="24"/>
        </w:rPr>
        <w:t xml:space="preserve"> </w:t>
      </w:r>
    </w:p>
    <w:p w14:paraId="2D4481B3" w14:textId="77777777" w:rsidR="004A44B0" w:rsidRPr="004B77D6" w:rsidRDefault="004A44B0" w:rsidP="00A21818">
      <w:pPr>
        <w:suppressAutoHyphens w:val="0"/>
        <w:autoSpaceDE w:val="0"/>
        <w:autoSpaceDN w:val="0"/>
        <w:adjustRightInd w:val="0"/>
        <w:spacing w:after="120" w:line="276" w:lineRule="auto"/>
        <w:rPr>
          <w:rFonts w:asciiTheme="minorHAnsi" w:hAnsiTheme="minorHAnsi" w:cstheme="minorHAnsi"/>
          <w:szCs w:val="24"/>
        </w:rPr>
      </w:pPr>
      <w:r w:rsidRPr="004B77D6">
        <w:rPr>
          <w:rFonts w:asciiTheme="minorHAnsi" w:hAnsiTheme="minorHAnsi" w:cstheme="minorHAnsi"/>
          <w:b/>
          <w:szCs w:val="24"/>
        </w:rPr>
        <w:t>Przychód:</w:t>
      </w:r>
      <w:r w:rsidRPr="004B77D6">
        <w:rPr>
          <w:rFonts w:asciiTheme="minorHAnsi" w:hAnsiTheme="minorHAnsi" w:cstheme="minorHAnsi"/>
          <w:szCs w:val="24"/>
        </w:rPr>
        <w:t xml:space="preserve"> wpływ środków pieniężnych powstały w związku z projektem, najczęściej mający postać opłat za towary lub usługi zapewnione przez projekt. Podstawowym kryterium weryfikacji, czy dany wpływ środków pieniężnych ma związek z projektem jest kryterium bezpośredniości – czy wpływ (na rzecz beneficjenta) miałby miejsce, gdyby projekt nie został zrealizowany; czy dany towar lub usługa byłaby świadczona (przez beneficjenta), gdyby projekt nie został zrealizowany. Należy mieć na uwadze, iż podmiotem płacącym za usługi może być zarówno ich bezpośredni odbiorca, jak i określona podmiot/instytucja, natomiast w kalkulacji wskaźników efektywności finansowej uwzględniany jest przychód od użytkowników nawet jeżeli jest pobierany przez inny podmiot; inne przepływy pomiędzy podmiotami zaangażowanymi w projekt wykazujemy wyłączenie w analizie trwałości finansowej.</w:t>
      </w:r>
    </w:p>
    <w:p w14:paraId="51C96A22" w14:textId="589F5C09" w:rsidR="004A44B0" w:rsidRPr="004B77D6" w:rsidRDefault="004A44B0" w:rsidP="00A21818">
      <w:pPr>
        <w:pStyle w:val="Akapitzlist"/>
        <w:spacing w:after="120"/>
        <w:ind w:left="0"/>
        <w:rPr>
          <w:rFonts w:asciiTheme="minorHAnsi" w:hAnsiTheme="minorHAnsi" w:cstheme="minorHAnsi"/>
          <w:bCs/>
          <w:szCs w:val="24"/>
        </w:rPr>
      </w:pPr>
      <w:r w:rsidRPr="00CF5A4B">
        <w:rPr>
          <w:rFonts w:asciiTheme="minorHAnsi" w:hAnsiTheme="minorHAnsi" w:cstheme="minorHAnsi"/>
          <w:b/>
          <w:sz w:val="24"/>
          <w:szCs w:val="24"/>
        </w:rPr>
        <w:t xml:space="preserve">Scenariusz (wariant) bezinwestycyjny (kontrfaktyczny): </w:t>
      </w:r>
      <w:r w:rsidRPr="00CF5A4B">
        <w:rPr>
          <w:rFonts w:asciiTheme="minorHAnsi" w:hAnsiTheme="minorHAnsi" w:cstheme="minorHAnsi"/>
          <w:sz w:val="24"/>
          <w:szCs w:val="24"/>
        </w:rPr>
        <w:t xml:space="preserve">W scenariuszu bez inwestycji (projektu UE) należy ująć wszystkie nakłady inwestycyjne, operacyjne i odtworzeniowe, które beneficjent poniósłby w danym okresie odniesienia oraz przychody, które uzyskałby w tym okresie, w sytuacji, gdyby nie zrealizował inwestycji (projektu UE). Scenariusz ten powinien charakteryzować się możliwie najwyższym stopniem prawdopodobieństwa. </w:t>
      </w:r>
      <w:r w:rsidRPr="00CF5A4B">
        <w:rPr>
          <w:rFonts w:asciiTheme="minorHAnsi" w:hAnsiTheme="minorHAnsi" w:cstheme="minorHAnsi"/>
          <w:bCs/>
          <w:sz w:val="24"/>
          <w:szCs w:val="24"/>
        </w:rPr>
        <w:t xml:space="preserve">Ponadto, </w:t>
      </w:r>
      <w:r>
        <w:rPr>
          <w:rFonts w:asciiTheme="minorHAnsi" w:hAnsiTheme="minorHAnsi" w:cstheme="minorHAnsi"/>
          <w:bCs/>
          <w:sz w:val="24"/>
          <w:szCs w:val="24"/>
        </w:rPr>
        <w:br/>
      </w:r>
      <w:r w:rsidRPr="00CF5A4B">
        <w:rPr>
          <w:rFonts w:asciiTheme="minorHAnsi" w:hAnsiTheme="minorHAnsi" w:cstheme="minorHAnsi"/>
          <w:bCs/>
          <w:sz w:val="24"/>
          <w:szCs w:val="24"/>
        </w:rPr>
        <w:t xml:space="preserve">w scenariuszu bezinwestycyjnym należy uwzględnić wszystkie kategorie kosztów, które </w:t>
      </w:r>
      <w:r w:rsidR="00BA5C81">
        <w:rPr>
          <w:rFonts w:asciiTheme="minorHAnsi" w:hAnsiTheme="minorHAnsi" w:cstheme="minorHAnsi"/>
          <w:bCs/>
          <w:sz w:val="24"/>
          <w:szCs w:val="24"/>
        </w:rPr>
        <w:br/>
      </w:r>
      <w:r w:rsidRPr="00CF5A4B">
        <w:rPr>
          <w:rFonts w:asciiTheme="minorHAnsi" w:hAnsiTheme="minorHAnsi" w:cstheme="minorHAnsi"/>
          <w:bCs/>
          <w:sz w:val="24"/>
          <w:szCs w:val="24"/>
        </w:rPr>
        <w:t>są niezbędne do przeprowadzenia analizy</w:t>
      </w:r>
      <w:r w:rsidRPr="004B77D6">
        <w:rPr>
          <w:rFonts w:asciiTheme="minorHAnsi" w:hAnsiTheme="minorHAnsi" w:cstheme="minorHAnsi"/>
          <w:bCs/>
          <w:sz w:val="24"/>
          <w:szCs w:val="24"/>
        </w:rPr>
        <w:t xml:space="preserve"> trwałości beneficjenta z projektem, w tym również tych ponoszonych poza projektem. </w:t>
      </w:r>
    </w:p>
    <w:p w14:paraId="199AFC9B" w14:textId="749ABC07" w:rsidR="004A44B0" w:rsidRPr="004B77D6" w:rsidRDefault="004A44B0" w:rsidP="00A21818">
      <w:pPr>
        <w:keepNext/>
        <w:suppressAutoHyphens w:val="0"/>
        <w:autoSpaceDE w:val="0"/>
        <w:autoSpaceDN w:val="0"/>
        <w:adjustRightInd w:val="0"/>
        <w:spacing w:after="120" w:line="276" w:lineRule="auto"/>
        <w:rPr>
          <w:rFonts w:asciiTheme="minorHAnsi" w:hAnsiTheme="minorHAnsi" w:cstheme="minorHAnsi"/>
          <w:szCs w:val="24"/>
        </w:rPr>
      </w:pPr>
      <w:r w:rsidRPr="004B77D6">
        <w:rPr>
          <w:rFonts w:asciiTheme="minorHAnsi" w:hAnsiTheme="minorHAnsi" w:cstheme="minorHAnsi"/>
          <w:b/>
          <w:bCs/>
          <w:szCs w:val="24"/>
        </w:rPr>
        <w:t>Ustawa wdrożeniowa</w:t>
      </w:r>
      <w:r w:rsidRPr="004B77D6">
        <w:rPr>
          <w:rFonts w:asciiTheme="minorHAnsi" w:hAnsiTheme="minorHAnsi" w:cstheme="minorHAnsi"/>
          <w:szCs w:val="24"/>
        </w:rPr>
        <w:t xml:space="preserve">: ustawa z dnia 28 kwietnia 2022 r. o zasadach realizacji zadań finansowanych ze środków europejskich w perspektywie finansowej 2021-2027 </w:t>
      </w:r>
      <w:r w:rsidR="00BA5C81">
        <w:rPr>
          <w:rFonts w:asciiTheme="minorHAnsi" w:hAnsiTheme="minorHAnsi" w:cstheme="minorHAnsi"/>
          <w:szCs w:val="24"/>
        </w:rPr>
        <w:br/>
      </w:r>
      <w:r w:rsidR="00A851E0" w:rsidRPr="00DE6C31">
        <w:rPr>
          <w:rFonts w:asciiTheme="minorHAnsi" w:hAnsiTheme="minorHAnsi" w:cstheme="minorHAnsi"/>
          <w:szCs w:val="24"/>
        </w:rPr>
        <w:t>(</w:t>
      </w:r>
      <w:proofErr w:type="spellStart"/>
      <w:r w:rsidR="00A851E0" w:rsidRPr="00966B65">
        <w:rPr>
          <w:rFonts w:asciiTheme="minorHAnsi" w:hAnsiTheme="minorHAnsi" w:cstheme="minorHAnsi"/>
          <w:szCs w:val="24"/>
        </w:rPr>
        <w:t>t.j</w:t>
      </w:r>
      <w:proofErr w:type="spellEnd"/>
      <w:r w:rsidR="00A851E0" w:rsidRPr="00966B65">
        <w:rPr>
          <w:rFonts w:asciiTheme="minorHAnsi" w:hAnsiTheme="minorHAnsi" w:cstheme="minorHAnsi"/>
          <w:szCs w:val="24"/>
        </w:rPr>
        <w:t>. Dz.U. 2025 poz. 1733 ze zm.</w:t>
      </w:r>
      <w:r w:rsidR="00A851E0" w:rsidRPr="00DE6C31">
        <w:rPr>
          <w:rFonts w:asciiTheme="minorHAnsi" w:hAnsiTheme="minorHAnsi" w:cstheme="minorHAnsi"/>
          <w:szCs w:val="24"/>
        </w:rPr>
        <w:t>)</w:t>
      </w:r>
    </w:p>
    <w:p w14:paraId="4B4FB521" w14:textId="79A4AD51" w:rsidR="004A44B0" w:rsidRPr="004B77D6" w:rsidRDefault="004A44B0" w:rsidP="00A21818">
      <w:pPr>
        <w:suppressAutoHyphens w:val="0"/>
        <w:autoSpaceDE w:val="0"/>
        <w:autoSpaceDN w:val="0"/>
        <w:adjustRightInd w:val="0"/>
        <w:spacing w:after="120" w:line="276" w:lineRule="auto"/>
        <w:rPr>
          <w:rFonts w:asciiTheme="minorHAnsi" w:hAnsiTheme="minorHAnsi" w:cstheme="minorHAnsi"/>
          <w:bCs/>
          <w:szCs w:val="24"/>
        </w:rPr>
      </w:pPr>
      <w:r w:rsidRPr="004B77D6">
        <w:rPr>
          <w:rFonts w:asciiTheme="minorHAnsi" w:hAnsiTheme="minorHAnsi" w:cstheme="minorHAnsi"/>
          <w:b/>
          <w:szCs w:val="24"/>
        </w:rPr>
        <w:t xml:space="preserve">Wytyczne w zakresie kwalifikowalności wydatków: </w:t>
      </w:r>
      <w:r w:rsidRPr="004B77D6">
        <w:rPr>
          <w:rFonts w:asciiTheme="minorHAnsi" w:hAnsiTheme="minorHAnsi" w:cstheme="minorHAnsi"/>
          <w:bCs/>
          <w:szCs w:val="24"/>
        </w:rPr>
        <w:t>wytyczne dotyczące kwalifikowalności wydatków na lata 2021-2027.</w:t>
      </w:r>
    </w:p>
    <w:p w14:paraId="0C053E90" w14:textId="57BC0B77" w:rsidR="004A44B0" w:rsidRPr="004B77D6" w:rsidRDefault="004A44B0" w:rsidP="004D0859">
      <w:pPr>
        <w:pStyle w:val="Nagwek1"/>
        <w:numPr>
          <w:ilvl w:val="2"/>
          <w:numId w:val="71"/>
        </w:numPr>
        <w:spacing w:before="120" w:after="120" w:line="276" w:lineRule="auto"/>
        <w:ind w:left="709" w:hanging="709"/>
        <w:rPr>
          <w:rFonts w:ascii="Calibri" w:hAnsi="Calibri"/>
          <w:sz w:val="24"/>
          <w:szCs w:val="24"/>
        </w:rPr>
      </w:pPr>
      <w:bookmarkStart w:id="681" w:name="_Toc241839714"/>
      <w:r w:rsidRPr="004B77D6">
        <w:rPr>
          <w:rFonts w:ascii="Calibri" w:hAnsi="Calibri"/>
          <w:sz w:val="24"/>
          <w:szCs w:val="24"/>
        </w:rPr>
        <w:t>WSTĘP</w:t>
      </w:r>
      <w:bookmarkEnd w:id="681"/>
    </w:p>
    <w:p w14:paraId="403DE4CB" w14:textId="77777777" w:rsidR="004A44B0" w:rsidRPr="004B77D6" w:rsidRDefault="004A44B0" w:rsidP="00A21818">
      <w:pPr>
        <w:spacing w:before="120" w:after="120" w:line="276" w:lineRule="auto"/>
        <w:rPr>
          <w:rFonts w:ascii="Calibri" w:hAnsi="Calibri" w:cs="Arial"/>
          <w:bCs/>
          <w:szCs w:val="24"/>
        </w:rPr>
      </w:pPr>
      <w:r w:rsidRPr="004B77D6">
        <w:rPr>
          <w:rFonts w:ascii="Calibri" w:hAnsi="Calibri" w:cs="Arial"/>
          <w:bCs/>
          <w:szCs w:val="24"/>
        </w:rPr>
        <w:t xml:space="preserve">Studium Wykonalności Inwestycji jest obowiązkowym załącznikiem do wniosku </w:t>
      </w:r>
      <w:r w:rsidRPr="004B77D6">
        <w:rPr>
          <w:rFonts w:ascii="Calibri" w:hAnsi="Calibri" w:cs="Arial"/>
          <w:bCs/>
          <w:szCs w:val="24"/>
        </w:rPr>
        <w:br/>
        <w:t xml:space="preserve">o dofinansowanie w ramach programu Fundusze Europejskie dla Opolskiego 2021-2027. </w:t>
      </w:r>
    </w:p>
    <w:p w14:paraId="217F085B" w14:textId="2D318732" w:rsidR="004A44B0" w:rsidRPr="004B77D6" w:rsidRDefault="004A44B0" w:rsidP="00A21818">
      <w:pPr>
        <w:spacing w:before="120" w:after="120" w:line="276" w:lineRule="auto"/>
        <w:rPr>
          <w:rFonts w:ascii="Calibri" w:hAnsi="Calibri"/>
          <w:szCs w:val="24"/>
        </w:rPr>
      </w:pPr>
      <w:r w:rsidRPr="004B77D6">
        <w:rPr>
          <w:rFonts w:ascii="Calibri" w:hAnsi="Calibri" w:cs="Arial"/>
          <w:bCs/>
          <w:szCs w:val="24"/>
        </w:rPr>
        <w:t xml:space="preserve">Niniejsza instrukcja została sporządzona z myślą o osobach przygotowujących Studia Wykonalności. Dokument zawiera wytyczne pozwalające na opracowanie Studium w taki </w:t>
      </w:r>
      <w:r w:rsidRPr="004B77D6">
        <w:rPr>
          <w:rFonts w:ascii="Calibri" w:hAnsi="Calibri" w:cs="Arial"/>
          <w:bCs/>
          <w:szCs w:val="24"/>
        </w:rPr>
        <w:lastRenderedPageBreak/>
        <w:t>sposób, aby eksperci mogli uzyskać wystarczającą informację niezbędną do dokonania oceny i analizy projektu w oparciu o jasno określone przez Instytucję Zarządzającą kryteria merytoryczne. Wszelkie dane zawarte w SWI powinny w pełni odpowiadać stanowi faktycznemu</w:t>
      </w:r>
      <w:r w:rsidRPr="004B77D6">
        <w:rPr>
          <w:rFonts w:ascii="Calibri" w:hAnsi="Calibri"/>
          <w:szCs w:val="24"/>
        </w:rPr>
        <w:t xml:space="preserve">, </w:t>
      </w:r>
      <w:r w:rsidR="00F850B4">
        <w:rPr>
          <w:rFonts w:ascii="Calibri" w:hAnsi="Calibri"/>
          <w:b/>
          <w:i/>
          <w:szCs w:val="24"/>
        </w:rPr>
        <w:t>W</w:t>
      </w:r>
      <w:r w:rsidRPr="004B77D6">
        <w:rPr>
          <w:rFonts w:ascii="Calibri" w:hAnsi="Calibri"/>
          <w:b/>
          <w:i/>
          <w:szCs w:val="24"/>
        </w:rPr>
        <w:t xml:space="preserve">nioskodawca ponosi pełną odpowiedzialność za informacje zawarte </w:t>
      </w:r>
      <w:r>
        <w:rPr>
          <w:rFonts w:ascii="Calibri" w:hAnsi="Calibri"/>
          <w:b/>
          <w:i/>
          <w:szCs w:val="24"/>
        </w:rPr>
        <w:br/>
      </w:r>
      <w:r w:rsidRPr="004B77D6">
        <w:rPr>
          <w:rFonts w:ascii="Calibri" w:hAnsi="Calibri"/>
          <w:b/>
          <w:i/>
          <w:szCs w:val="24"/>
        </w:rPr>
        <w:t>w składanych dokumentach</w:t>
      </w:r>
      <w:r w:rsidRPr="004B77D6">
        <w:rPr>
          <w:rFonts w:ascii="Calibri" w:hAnsi="Calibri"/>
          <w:szCs w:val="24"/>
        </w:rPr>
        <w:t>.</w:t>
      </w:r>
    </w:p>
    <w:p w14:paraId="21703EE9" w14:textId="6F2C54EC" w:rsidR="004A44B0" w:rsidRPr="004B77D6" w:rsidRDefault="004A44B0" w:rsidP="00A21818">
      <w:pPr>
        <w:autoSpaceDE w:val="0"/>
        <w:autoSpaceDN w:val="0"/>
        <w:adjustRightInd w:val="0"/>
        <w:spacing w:line="276" w:lineRule="auto"/>
        <w:rPr>
          <w:rFonts w:ascii="Calibri" w:hAnsi="Calibri"/>
          <w:szCs w:val="24"/>
        </w:rPr>
      </w:pPr>
      <w:r w:rsidRPr="004B77D6">
        <w:rPr>
          <w:rFonts w:ascii="Calibri" w:hAnsi="Calibri"/>
          <w:szCs w:val="24"/>
        </w:rPr>
        <w:t>W Studium należy szczegółowo opisać cele projektu, sposób ich osiągania i warunki realizacji, zidentyfikować możliwości inwestycyjne, w oparciu o</w:t>
      </w:r>
      <w:r w:rsidRPr="004B77D6">
        <w:rPr>
          <w:rFonts w:ascii="Calibri" w:eastAsia="TimesNewRoman" w:hAnsi="Calibri"/>
          <w:szCs w:val="24"/>
        </w:rPr>
        <w:t xml:space="preserve"> </w:t>
      </w:r>
      <w:r w:rsidRPr="004B77D6">
        <w:rPr>
          <w:rFonts w:ascii="Calibri" w:hAnsi="Calibri"/>
          <w:szCs w:val="24"/>
        </w:rPr>
        <w:t>wymogi wykonalno</w:t>
      </w:r>
      <w:r w:rsidRPr="004B77D6">
        <w:rPr>
          <w:rFonts w:ascii="Calibri" w:eastAsia="TimesNewRoman" w:hAnsi="Calibri"/>
          <w:szCs w:val="24"/>
        </w:rPr>
        <w:t>ś</w:t>
      </w:r>
      <w:r w:rsidRPr="004B77D6">
        <w:rPr>
          <w:rFonts w:ascii="Calibri" w:hAnsi="Calibri"/>
          <w:szCs w:val="24"/>
        </w:rPr>
        <w:t xml:space="preserve">ci </w:t>
      </w:r>
      <w:r w:rsidRPr="004B77D6">
        <w:rPr>
          <w:rFonts w:ascii="Calibri" w:hAnsi="Calibri"/>
          <w:szCs w:val="24"/>
        </w:rPr>
        <w:br/>
        <w:t>i trwało</w:t>
      </w:r>
      <w:r w:rsidRPr="004B77D6">
        <w:rPr>
          <w:rFonts w:ascii="Calibri" w:eastAsia="TimesNewRoman" w:hAnsi="Calibri"/>
          <w:szCs w:val="24"/>
        </w:rPr>
        <w:t>ś</w:t>
      </w:r>
      <w:r w:rsidRPr="004B77D6">
        <w:rPr>
          <w:rFonts w:ascii="Calibri" w:hAnsi="Calibri"/>
          <w:szCs w:val="24"/>
        </w:rPr>
        <w:t>ci efektów projektu oraz pokazać zasadno</w:t>
      </w:r>
      <w:r w:rsidRPr="004B77D6">
        <w:rPr>
          <w:rFonts w:ascii="Calibri" w:eastAsia="TimesNewRoman" w:hAnsi="Calibri"/>
          <w:szCs w:val="24"/>
        </w:rPr>
        <w:t>ś</w:t>
      </w:r>
      <w:r w:rsidRPr="004B77D6">
        <w:rPr>
          <w:rFonts w:ascii="Calibri" w:hAnsi="Calibri"/>
          <w:szCs w:val="24"/>
        </w:rPr>
        <w:t>ć realizowanego przedsięwzięcia. Zasadno</w:t>
      </w:r>
      <w:r w:rsidRPr="004B77D6">
        <w:rPr>
          <w:rFonts w:ascii="Calibri" w:eastAsia="TimesNewRoman" w:hAnsi="Calibri"/>
          <w:szCs w:val="24"/>
        </w:rPr>
        <w:t xml:space="preserve">ść </w:t>
      </w:r>
      <w:r w:rsidRPr="004B77D6">
        <w:rPr>
          <w:rFonts w:ascii="Calibri" w:hAnsi="Calibri"/>
          <w:szCs w:val="24"/>
        </w:rPr>
        <w:t>musi dotyczy</w:t>
      </w:r>
      <w:r w:rsidRPr="004B77D6">
        <w:rPr>
          <w:rFonts w:ascii="Calibri" w:eastAsia="TimesNewRoman" w:hAnsi="Calibri"/>
          <w:szCs w:val="24"/>
        </w:rPr>
        <w:t xml:space="preserve">ć </w:t>
      </w:r>
      <w:r w:rsidRPr="004B77D6">
        <w:rPr>
          <w:rFonts w:ascii="Calibri" w:hAnsi="Calibri"/>
          <w:szCs w:val="24"/>
        </w:rPr>
        <w:t>wszystkich elementów projektu, gdyż w przeciwnym wypadku koszty dotyczące części nieuzasadnionej trzeba będzie uzna</w:t>
      </w:r>
      <w:r w:rsidRPr="004B77D6">
        <w:rPr>
          <w:rFonts w:ascii="Calibri" w:eastAsia="TimesNewRoman" w:hAnsi="Calibri"/>
          <w:szCs w:val="24"/>
        </w:rPr>
        <w:t xml:space="preserve">ć </w:t>
      </w:r>
      <w:r w:rsidRPr="004B77D6">
        <w:rPr>
          <w:rFonts w:ascii="Calibri" w:hAnsi="Calibri"/>
          <w:szCs w:val="24"/>
        </w:rPr>
        <w:t xml:space="preserve">za niekwalifikowane. </w:t>
      </w:r>
      <w:r>
        <w:rPr>
          <w:rFonts w:ascii="Calibri" w:hAnsi="Calibri"/>
          <w:szCs w:val="24"/>
        </w:rPr>
        <w:t xml:space="preserve">Ponadto zapisy SWI muszą jasno wskazywać, </w:t>
      </w:r>
      <w:r w:rsidRPr="00F6172E">
        <w:rPr>
          <w:rFonts w:ascii="Calibri" w:hAnsi="Calibri"/>
          <w:bCs/>
          <w:szCs w:val="24"/>
        </w:rPr>
        <w:t xml:space="preserve">że Wnioskodawca posiada niezbędne zasoby </w:t>
      </w:r>
      <w:r w:rsidR="00BA5C81">
        <w:rPr>
          <w:rFonts w:ascii="Calibri" w:hAnsi="Calibri"/>
          <w:bCs/>
          <w:szCs w:val="24"/>
        </w:rPr>
        <w:br/>
      </w:r>
      <w:r w:rsidRPr="00F6172E">
        <w:rPr>
          <w:rFonts w:ascii="Calibri" w:hAnsi="Calibri"/>
          <w:bCs/>
          <w:szCs w:val="24"/>
        </w:rPr>
        <w:t>i mechanizmy finansowe, aby pokryć koszty eksploatacji i utrzymania inwestycji, tak by zapewnić stabilność ich finansowania w okresie trwałości projektu</w:t>
      </w:r>
      <w:r>
        <w:rPr>
          <w:rFonts w:ascii="Calibri" w:hAnsi="Calibri"/>
          <w:bCs/>
          <w:szCs w:val="24"/>
        </w:rPr>
        <w:t>.</w:t>
      </w:r>
      <w:r w:rsidRPr="00F6172E">
        <w:rPr>
          <w:rFonts w:ascii="Calibri" w:hAnsi="Calibri"/>
          <w:szCs w:val="24"/>
        </w:rPr>
        <w:t xml:space="preserve"> </w:t>
      </w:r>
      <w:r w:rsidRPr="004B77D6">
        <w:rPr>
          <w:rFonts w:ascii="Calibri" w:hAnsi="Calibri"/>
          <w:szCs w:val="24"/>
        </w:rPr>
        <w:t xml:space="preserve">Instrukcja ta pozwala precyzyjnie zaplanować działanie i zawczasu przewidzieć trudności. </w:t>
      </w:r>
    </w:p>
    <w:p w14:paraId="6A2A3ECB" w14:textId="77777777" w:rsidR="004A44B0" w:rsidRPr="004B77D6" w:rsidRDefault="004A44B0" w:rsidP="00A21818">
      <w:pPr>
        <w:autoSpaceDE w:val="0"/>
        <w:autoSpaceDN w:val="0"/>
        <w:adjustRightInd w:val="0"/>
        <w:spacing w:before="120" w:after="120" w:line="276" w:lineRule="auto"/>
        <w:rPr>
          <w:rFonts w:ascii="Calibri" w:hAnsi="Calibri"/>
          <w:szCs w:val="24"/>
        </w:rPr>
      </w:pPr>
      <w:r w:rsidRPr="004B77D6">
        <w:rPr>
          <w:rFonts w:ascii="Calibri" w:hAnsi="Calibri"/>
          <w:szCs w:val="24"/>
        </w:rPr>
        <w:t xml:space="preserve">Opracowując SWI należy mieć na uwadze </w:t>
      </w:r>
      <w:r w:rsidRPr="004B77D6">
        <w:rPr>
          <w:rFonts w:ascii="Calibri" w:hAnsi="Calibri"/>
          <w:i/>
          <w:szCs w:val="24"/>
        </w:rPr>
        <w:t>cykl życia projektu</w:t>
      </w:r>
      <w:r w:rsidRPr="004B77D6">
        <w:rPr>
          <w:rFonts w:ascii="Calibri" w:hAnsi="Calibri"/>
          <w:szCs w:val="24"/>
        </w:rPr>
        <w:t>, uwzględniając kolejno etapy od planowania strategicznego, tj. identyfikacji potrzeb i możliwości, poprzez projektowanie, wdrażanie, rozliczanie i ewaluację.</w:t>
      </w:r>
    </w:p>
    <w:p w14:paraId="71B7DCE4" w14:textId="77777777" w:rsidR="004A44B0" w:rsidRPr="004B77D6" w:rsidRDefault="004A44B0" w:rsidP="00A21818">
      <w:pPr>
        <w:spacing w:before="120" w:after="120" w:line="276" w:lineRule="auto"/>
        <w:rPr>
          <w:rFonts w:ascii="Calibri" w:hAnsi="Calibri"/>
          <w:szCs w:val="24"/>
        </w:rPr>
      </w:pPr>
      <w:r w:rsidRPr="004B77D6">
        <w:rPr>
          <w:rFonts w:ascii="Calibri" w:hAnsi="Calibri"/>
          <w:szCs w:val="24"/>
        </w:rPr>
        <w:t>Studium Wykonalności Inwestycji składa się z następujących podstawowych elementów:</w:t>
      </w:r>
    </w:p>
    <w:p w14:paraId="35A20D4A" w14:textId="77777777" w:rsidR="004A44B0" w:rsidRPr="004B77D6" w:rsidRDefault="004A44B0" w:rsidP="004D0859">
      <w:pPr>
        <w:numPr>
          <w:ilvl w:val="0"/>
          <w:numId w:val="70"/>
        </w:numPr>
        <w:tabs>
          <w:tab w:val="clear" w:pos="720"/>
          <w:tab w:val="num" w:pos="1418"/>
        </w:tabs>
        <w:suppressAutoHyphens w:val="0"/>
        <w:spacing w:line="276" w:lineRule="auto"/>
        <w:ind w:left="1843" w:hanging="1134"/>
        <w:rPr>
          <w:rFonts w:ascii="Calibri" w:hAnsi="Calibri"/>
          <w:szCs w:val="24"/>
        </w:rPr>
      </w:pPr>
      <w:r w:rsidRPr="004B77D6">
        <w:rPr>
          <w:rFonts w:ascii="Calibri" w:hAnsi="Calibri"/>
          <w:szCs w:val="24"/>
        </w:rPr>
        <w:t>Identyfikacja projektu;</w:t>
      </w:r>
    </w:p>
    <w:p w14:paraId="24E4B078" w14:textId="77777777" w:rsidR="004A44B0" w:rsidRPr="004B77D6" w:rsidRDefault="004A44B0" w:rsidP="004D0859">
      <w:pPr>
        <w:numPr>
          <w:ilvl w:val="0"/>
          <w:numId w:val="70"/>
        </w:numPr>
        <w:suppressAutoHyphens w:val="0"/>
        <w:spacing w:line="276" w:lineRule="auto"/>
        <w:ind w:firstLine="0"/>
        <w:rPr>
          <w:rFonts w:ascii="Calibri" w:hAnsi="Calibri"/>
          <w:szCs w:val="24"/>
        </w:rPr>
      </w:pPr>
      <w:r w:rsidRPr="004B77D6">
        <w:rPr>
          <w:rFonts w:ascii="Calibri" w:hAnsi="Calibri"/>
          <w:szCs w:val="24"/>
        </w:rPr>
        <w:t>Definicja celów projektu;</w:t>
      </w:r>
    </w:p>
    <w:p w14:paraId="7452A43D" w14:textId="77777777" w:rsidR="004A44B0" w:rsidRPr="004B77D6" w:rsidRDefault="004A44B0" w:rsidP="004D0859">
      <w:pPr>
        <w:numPr>
          <w:ilvl w:val="0"/>
          <w:numId w:val="70"/>
        </w:numPr>
        <w:suppressAutoHyphens w:val="0"/>
        <w:spacing w:line="276" w:lineRule="auto"/>
        <w:ind w:firstLine="0"/>
        <w:rPr>
          <w:rFonts w:ascii="Calibri" w:hAnsi="Calibri"/>
          <w:szCs w:val="24"/>
        </w:rPr>
      </w:pPr>
      <w:r w:rsidRPr="004B77D6">
        <w:rPr>
          <w:rFonts w:ascii="Calibri" w:hAnsi="Calibri"/>
          <w:szCs w:val="24"/>
        </w:rPr>
        <w:t>Analiza instytucjonalna i wykonalności projektu;</w:t>
      </w:r>
    </w:p>
    <w:p w14:paraId="21739E4A" w14:textId="51EB5080" w:rsidR="004A44B0" w:rsidRDefault="004A44B0" w:rsidP="004D0859">
      <w:pPr>
        <w:numPr>
          <w:ilvl w:val="0"/>
          <w:numId w:val="70"/>
        </w:numPr>
        <w:suppressAutoHyphens w:val="0"/>
        <w:spacing w:line="276" w:lineRule="auto"/>
        <w:ind w:firstLine="0"/>
        <w:rPr>
          <w:rFonts w:ascii="Calibri" w:hAnsi="Calibri"/>
          <w:szCs w:val="24"/>
        </w:rPr>
      </w:pPr>
      <w:r w:rsidRPr="004B77D6">
        <w:rPr>
          <w:rFonts w:ascii="Calibri" w:hAnsi="Calibri"/>
          <w:szCs w:val="24"/>
        </w:rPr>
        <w:t>Analiza opcji;</w:t>
      </w:r>
    </w:p>
    <w:p w14:paraId="6B8C4689" w14:textId="3DE3742F" w:rsidR="004A44B0" w:rsidRPr="004B77D6" w:rsidRDefault="004A44B0" w:rsidP="004D0859">
      <w:pPr>
        <w:numPr>
          <w:ilvl w:val="0"/>
          <w:numId w:val="70"/>
        </w:numPr>
        <w:suppressAutoHyphens w:val="0"/>
        <w:spacing w:line="276" w:lineRule="auto"/>
        <w:ind w:firstLine="0"/>
        <w:rPr>
          <w:rFonts w:ascii="Calibri" w:hAnsi="Calibri"/>
          <w:szCs w:val="24"/>
        </w:rPr>
      </w:pPr>
      <w:r>
        <w:rPr>
          <w:rFonts w:ascii="Calibri" w:hAnsi="Calibri"/>
          <w:szCs w:val="24"/>
        </w:rPr>
        <w:t>Finansowa trwałość projektu;</w:t>
      </w:r>
    </w:p>
    <w:p w14:paraId="7F7AE4CF" w14:textId="77777777" w:rsidR="004A44B0" w:rsidRPr="004B77D6" w:rsidRDefault="004A44B0" w:rsidP="004D0859">
      <w:pPr>
        <w:numPr>
          <w:ilvl w:val="0"/>
          <w:numId w:val="70"/>
        </w:numPr>
        <w:suppressAutoHyphens w:val="0"/>
        <w:spacing w:line="276" w:lineRule="auto"/>
        <w:ind w:firstLine="0"/>
        <w:rPr>
          <w:rFonts w:ascii="Calibri" w:hAnsi="Calibri"/>
          <w:szCs w:val="24"/>
        </w:rPr>
      </w:pPr>
      <w:r w:rsidRPr="004B77D6">
        <w:rPr>
          <w:rFonts w:ascii="Calibri" w:hAnsi="Calibri"/>
          <w:szCs w:val="24"/>
        </w:rPr>
        <w:t>Zastosowane uproszczone metody rozliczania wydatków;</w:t>
      </w:r>
    </w:p>
    <w:p w14:paraId="354586AF" w14:textId="77777777" w:rsidR="004A44B0" w:rsidRPr="004B77D6" w:rsidRDefault="004A44B0" w:rsidP="004D0859">
      <w:pPr>
        <w:numPr>
          <w:ilvl w:val="0"/>
          <w:numId w:val="70"/>
        </w:numPr>
        <w:suppressAutoHyphens w:val="0"/>
        <w:spacing w:line="276" w:lineRule="auto"/>
        <w:ind w:left="714" w:firstLine="0"/>
        <w:rPr>
          <w:rFonts w:ascii="Calibri" w:hAnsi="Calibri"/>
          <w:szCs w:val="24"/>
        </w:rPr>
      </w:pPr>
      <w:r w:rsidRPr="004B77D6">
        <w:rPr>
          <w:rFonts w:ascii="Calibri" w:hAnsi="Calibri"/>
          <w:szCs w:val="24"/>
        </w:rPr>
        <w:t>Specyficzna analiza dla danego rodzaju projektu/sektora;</w:t>
      </w:r>
    </w:p>
    <w:p w14:paraId="474CB0EE" w14:textId="77777777" w:rsidR="004A44B0" w:rsidRPr="004B77D6" w:rsidRDefault="004A44B0" w:rsidP="004D0859">
      <w:pPr>
        <w:numPr>
          <w:ilvl w:val="0"/>
          <w:numId w:val="70"/>
        </w:numPr>
        <w:suppressAutoHyphens w:val="0"/>
        <w:spacing w:line="276" w:lineRule="auto"/>
        <w:ind w:left="714" w:firstLine="0"/>
        <w:rPr>
          <w:rFonts w:ascii="Calibri" w:hAnsi="Calibri"/>
          <w:szCs w:val="24"/>
        </w:rPr>
      </w:pPr>
      <w:r w:rsidRPr="004B77D6">
        <w:rPr>
          <w:rFonts w:ascii="Calibri" w:hAnsi="Calibri"/>
          <w:szCs w:val="24"/>
        </w:rPr>
        <w:t>Odniesienie do kryteriów oceny projektu</w:t>
      </w:r>
      <w:r>
        <w:rPr>
          <w:rFonts w:ascii="Calibri" w:hAnsi="Calibri"/>
          <w:szCs w:val="24"/>
        </w:rPr>
        <w:t>.</w:t>
      </w:r>
    </w:p>
    <w:p w14:paraId="642C6DA1" w14:textId="77777777" w:rsidR="004A44B0" w:rsidRDefault="004A44B0" w:rsidP="004A44B0">
      <w:pPr>
        <w:autoSpaceDE w:val="0"/>
        <w:autoSpaceDN w:val="0"/>
        <w:adjustRightInd w:val="0"/>
        <w:spacing w:line="276" w:lineRule="auto"/>
        <w:ind w:firstLine="708"/>
        <w:rPr>
          <w:rFonts w:ascii="Calibri" w:hAnsi="Calibri"/>
          <w:szCs w:val="24"/>
        </w:rPr>
      </w:pPr>
    </w:p>
    <w:p w14:paraId="3E90E610" w14:textId="77777777" w:rsidR="004A44B0" w:rsidRPr="004B77D6" w:rsidRDefault="004A44B0" w:rsidP="004D0859">
      <w:pPr>
        <w:pStyle w:val="Nagwek1"/>
        <w:numPr>
          <w:ilvl w:val="2"/>
          <w:numId w:val="71"/>
        </w:numPr>
        <w:tabs>
          <w:tab w:val="num" w:pos="1277"/>
        </w:tabs>
        <w:spacing w:before="0" w:after="120" w:line="276" w:lineRule="auto"/>
        <w:ind w:left="851"/>
        <w:rPr>
          <w:rFonts w:ascii="Calibri" w:hAnsi="Calibri"/>
          <w:sz w:val="24"/>
          <w:szCs w:val="24"/>
        </w:rPr>
      </w:pPr>
      <w:bookmarkStart w:id="682" w:name="_Toc241839715"/>
      <w:r w:rsidRPr="004B77D6">
        <w:rPr>
          <w:rFonts w:ascii="Calibri" w:hAnsi="Calibri"/>
          <w:sz w:val="24"/>
          <w:szCs w:val="24"/>
        </w:rPr>
        <w:t>IDENTYFIKACJA PROJEKTU</w:t>
      </w:r>
      <w:bookmarkEnd w:id="682"/>
    </w:p>
    <w:p w14:paraId="57D6C70F" w14:textId="77777777" w:rsidR="004A44B0" w:rsidRPr="004B77D6" w:rsidRDefault="004A44B0" w:rsidP="00A21818">
      <w:pPr>
        <w:spacing w:line="276" w:lineRule="auto"/>
        <w:rPr>
          <w:rFonts w:ascii="Calibri" w:hAnsi="Calibri"/>
          <w:szCs w:val="24"/>
        </w:rPr>
      </w:pPr>
      <w:r w:rsidRPr="004B77D6">
        <w:rPr>
          <w:rFonts w:ascii="Calibri" w:hAnsi="Calibri"/>
          <w:szCs w:val="24"/>
        </w:rPr>
        <w:t xml:space="preserve">Identyfikacja projektu ma na celu prezentację projektu jako przedmiotu realizowanego przedsięwzięcia wraz z opisem, podaniem podstawowych parametrów technicznych, całkowitym kosztem inwestycji, wysokością kosztów kwalifikowanych, </w:t>
      </w:r>
      <w:r w:rsidRPr="00E2071C">
        <w:rPr>
          <w:rFonts w:ascii="Calibri" w:hAnsi="Calibri"/>
          <w:bCs/>
          <w:szCs w:val="24"/>
        </w:rPr>
        <w:t>wydatkami na dostępność</w:t>
      </w:r>
      <w:r w:rsidRPr="00E2071C">
        <w:rPr>
          <w:rFonts w:ascii="Calibri" w:hAnsi="Calibri"/>
          <w:b/>
          <w:szCs w:val="24"/>
        </w:rPr>
        <w:t xml:space="preserve"> </w:t>
      </w:r>
      <w:r w:rsidRPr="00E2071C">
        <w:rPr>
          <w:rFonts w:ascii="Calibri" w:hAnsi="Calibri"/>
          <w:bCs/>
          <w:szCs w:val="24"/>
        </w:rPr>
        <w:t>(wraz z metodologią ich obliczenia)</w:t>
      </w:r>
      <w:r>
        <w:rPr>
          <w:rFonts w:ascii="Calibri" w:hAnsi="Calibri"/>
          <w:bCs/>
          <w:szCs w:val="24"/>
        </w:rPr>
        <w:t xml:space="preserve">, </w:t>
      </w:r>
      <w:r w:rsidRPr="004B77D6">
        <w:rPr>
          <w:rFonts w:ascii="Calibri" w:hAnsi="Calibri"/>
          <w:szCs w:val="24"/>
        </w:rPr>
        <w:t>lokalizacją, poziomem dofinansowania, itp.</w:t>
      </w:r>
    </w:p>
    <w:p w14:paraId="659F5CB8" w14:textId="77777777" w:rsidR="004A44B0" w:rsidRPr="004B77D6" w:rsidRDefault="004A44B0" w:rsidP="004D0859">
      <w:pPr>
        <w:pStyle w:val="Nagwek1"/>
        <w:numPr>
          <w:ilvl w:val="2"/>
          <w:numId w:val="71"/>
        </w:numPr>
        <w:tabs>
          <w:tab w:val="num" w:pos="1277"/>
        </w:tabs>
        <w:spacing w:after="120" w:line="276" w:lineRule="auto"/>
        <w:ind w:left="851"/>
        <w:rPr>
          <w:rFonts w:ascii="Calibri" w:hAnsi="Calibri"/>
          <w:sz w:val="24"/>
          <w:szCs w:val="24"/>
        </w:rPr>
      </w:pPr>
      <w:bookmarkStart w:id="683" w:name="_Toc241839716"/>
      <w:r w:rsidRPr="004B77D6">
        <w:rPr>
          <w:rFonts w:ascii="Calibri" w:hAnsi="Calibri"/>
          <w:sz w:val="24"/>
          <w:szCs w:val="24"/>
        </w:rPr>
        <w:t>DEFINICJA CELÓW PROJEKTU</w:t>
      </w:r>
      <w:bookmarkEnd w:id="683"/>
    </w:p>
    <w:p w14:paraId="2DB4E99E" w14:textId="1DB5B6FA" w:rsidR="004A44B0" w:rsidRPr="004B77D6" w:rsidRDefault="004A44B0" w:rsidP="00A21818">
      <w:pPr>
        <w:spacing w:line="276" w:lineRule="auto"/>
        <w:rPr>
          <w:rFonts w:ascii="Calibri" w:hAnsi="Calibri"/>
          <w:szCs w:val="24"/>
        </w:rPr>
      </w:pPr>
      <w:r w:rsidRPr="004B77D6">
        <w:rPr>
          <w:rFonts w:ascii="Calibri" w:hAnsi="Calibri"/>
          <w:szCs w:val="24"/>
        </w:rPr>
        <w:t>Identyfikacja projektu powinna dostarczyć zwięzłej i jednoznacznej informacji na temat jego całościowej koncepcji. Powinna obejmować następujące kwestie: zarys i ogólny charakter projektu (tj. prezentację projektu jako przedmiotu realizowanego przedsięwzięcia wraz z</w:t>
      </w:r>
      <w:r w:rsidR="00A21818">
        <w:rPr>
          <w:rFonts w:ascii="Calibri" w:hAnsi="Calibri"/>
          <w:szCs w:val="24"/>
        </w:rPr>
        <w:t> </w:t>
      </w:r>
      <w:r w:rsidRPr="004B77D6">
        <w:rPr>
          <w:rFonts w:ascii="Calibri" w:hAnsi="Calibri"/>
          <w:szCs w:val="24"/>
        </w:rPr>
        <w:t xml:space="preserve">opisem, podaniem podstawowych parametrów technicznych, całkowitym kosztem </w:t>
      </w:r>
      <w:r w:rsidRPr="004B77D6">
        <w:rPr>
          <w:rFonts w:ascii="Calibri" w:hAnsi="Calibri"/>
          <w:szCs w:val="24"/>
        </w:rPr>
        <w:lastRenderedPageBreak/>
        <w:t>inwestycji, w tym całkowitym kosztem kwalifikowalnym, poziomem dofinansowania, lokalizacją, itp.</w:t>
      </w:r>
    </w:p>
    <w:p w14:paraId="10732606" w14:textId="367A3F8A" w:rsidR="004A44B0" w:rsidRPr="004B77D6" w:rsidRDefault="004A44B0" w:rsidP="00A21818">
      <w:pPr>
        <w:pStyle w:val="Tekstpodstawowy22"/>
        <w:spacing w:before="120" w:after="120" w:line="276" w:lineRule="auto"/>
        <w:jc w:val="left"/>
        <w:rPr>
          <w:rFonts w:ascii="Calibri" w:hAnsi="Calibri"/>
          <w:szCs w:val="24"/>
        </w:rPr>
      </w:pPr>
      <w:r w:rsidRPr="004B77D6">
        <w:rPr>
          <w:rFonts w:ascii="Calibri" w:hAnsi="Calibri"/>
          <w:szCs w:val="24"/>
        </w:rPr>
        <w:t xml:space="preserve">Cele projektu, zarówno te bezpośrednie, jak i pośrednie, powinny zostać określone </w:t>
      </w:r>
      <w:r w:rsidRPr="004B77D6">
        <w:rPr>
          <w:rFonts w:ascii="Calibri" w:hAnsi="Calibri"/>
          <w:szCs w:val="24"/>
        </w:rPr>
        <w:br/>
        <w:t>w oparciu o analizę potrzeb danego środowiska społeczno- gospodarczego, z</w:t>
      </w:r>
      <w:r w:rsidR="00A21818">
        <w:rPr>
          <w:rFonts w:ascii="Calibri" w:hAnsi="Calibri"/>
          <w:szCs w:val="24"/>
        </w:rPr>
        <w:t> </w:t>
      </w:r>
      <w:r w:rsidRPr="004B77D6">
        <w:rPr>
          <w:rFonts w:ascii="Calibri" w:hAnsi="Calibri"/>
          <w:szCs w:val="24"/>
        </w:rPr>
        <w:t xml:space="preserve">uwzględnieniem zjawisk najbardziej adekwatnych do skali oddziaływania projektu. </w:t>
      </w:r>
    </w:p>
    <w:p w14:paraId="2C865C91" w14:textId="77777777" w:rsidR="004A44B0" w:rsidRPr="004B77D6" w:rsidRDefault="004A44B0" w:rsidP="00A21818">
      <w:pPr>
        <w:pStyle w:val="Tekstpodstawowy22"/>
        <w:spacing w:before="120" w:after="120" w:line="276" w:lineRule="auto"/>
        <w:jc w:val="left"/>
        <w:rPr>
          <w:rFonts w:ascii="Calibri" w:hAnsi="Calibri"/>
          <w:szCs w:val="24"/>
        </w:rPr>
      </w:pPr>
      <w:r w:rsidRPr="004B77D6">
        <w:rPr>
          <w:rFonts w:ascii="Calibri" w:hAnsi="Calibri"/>
          <w:szCs w:val="24"/>
        </w:rPr>
        <w:t>Należy zwrócić uwagę, aby cele projektu zdefiniowane w analizie spełniały następujące założenia:</w:t>
      </w:r>
    </w:p>
    <w:p w14:paraId="3999FCD8" w14:textId="77777777" w:rsidR="004A44B0" w:rsidRPr="004B77D6" w:rsidRDefault="004A44B0" w:rsidP="009815C7">
      <w:pPr>
        <w:numPr>
          <w:ilvl w:val="0"/>
          <w:numId w:val="83"/>
        </w:numPr>
        <w:spacing w:line="276" w:lineRule="auto"/>
        <w:rPr>
          <w:rFonts w:ascii="Calibri" w:hAnsi="Calibri"/>
          <w:szCs w:val="24"/>
        </w:rPr>
      </w:pPr>
      <w:r w:rsidRPr="004B77D6">
        <w:rPr>
          <w:rFonts w:ascii="Calibri" w:hAnsi="Calibri"/>
          <w:szCs w:val="24"/>
        </w:rPr>
        <w:t>jasno wskazywały, jakie korzyści społeczno-gospodarcze można osiągnąć dzięki wdrożeniu projektu,</w:t>
      </w:r>
    </w:p>
    <w:p w14:paraId="6385BFF6" w14:textId="77777777" w:rsidR="004A44B0" w:rsidRPr="004B77D6" w:rsidRDefault="004A44B0" w:rsidP="009815C7">
      <w:pPr>
        <w:numPr>
          <w:ilvl w:val="0"/>
          <w:numId w:val="83"/>
        </w:numPr>
        <w:spacing w:line="276" w:lineRule="auto"/>
        <w:ind w:left="357" w:hanging="357"/>
        <w:rPr>
          <w:rFonts w:ascii="Calibri" w:hAnsi="Calibri"/>
          <w:szCs w:val="24"/>
        </w:rPr>
      </w:pPr>
      <w:r w:rsidRPr="004B77D6">
        <w:rPr>
          <w:rFonts w:ascii="Calibri" w:hAnsi="Calibri"/>
          <w:szCs w:val="24"/>
        </w:rPr>
        <w:t>były logicznie powiązane ze sobą (w przypadku, gdy w ramach projektu realizowanych jest jednocześnie kilka celów),</w:t>
      </w:r>
    </w:p>
    <w:p w14:paraId="1D2223E0" w14:textId="77777777" w:rsidR="004A44B0" w:rsidRPr="004B77D6" w:rsidRDefault="004A44B0" w:rsidP="009815C7">
      <w:pPr>
        <w:numPr>
          <w:ilvl w:val="0"/>
          <w:numId w:val="83"/>
        </w:numPr>
        <w:spacing w:line="276" w:lineRule="auto"/>
        <w:ind w:left="357" w:hanging="357"/>
        <w:rPr>
          <w:rFonts w:ascii="Calibri" w:hAnsi="Calibri"/>
          <w:szCs w:val="24"/>
        </w:rPr>
      </w:pPr>
      <w:r w:rsidRPr="004B77D6">
        <w:rPr>
          <w:rFonts w:ascii="Calibri" w:hAnsi="Calibri"/>
          <w:szCs w:val="24"/>
        </w:rPr>
        <w:t>na tyle, na ile to możliwe powinny zostać skwantyfikowane, poprzez określenie wartości bazowych i docelowych oraz metodę pomiaru poziomu ich osiągnięcia,</w:t>
      </w:r>
    </w:p>
    <w:p w14:paraId="41C7043E" w14:textId="77777777" w:rsidR="004A44B0" w:rsidRPr="004B77D6" w:rsidRDefault="004A44B0" w:rsidP="009815C7">
      <w:pPr>
        <w:numPr>
          <w:ilvl w:val="0"/>
          <w:numId w:val="83"/>
        </w:numPr>
        <w:spacing w:line="276" w:lineRule="auto"/>
        <w:ind w:left="357" w:hanging="357"/>
        <w:rPr>
          <w:rFonts w:ascii="Calibri" w:hAnsi="Calibri"/>
          <w:szCs w:val="24"/>
        </w:rPr>
      </w:pPr>
      <w:r w:rsidRPr="004B77D6">
        <w:rPr>
          <w:rFonts w:ascii="Calibri" w:hAnsi="Calibri"/>
          <w:szCs w:val="24"/>
        </w:rPr>
        <w:t xml:space="preserve">były logicznie powiązane z ogólnymi celami odnośnych funduszy, tj. wymagane jest określenie zbieżności celów projektu z celami realizacji </w:t>
      </w:r>
      <w:r>
        <w:rPr>
          <w:rFonts w:ascii="Calibri" w:hAnsi="Calibri"/>
          <w:szCs w:val="24"/>
        </w:rPr>
        <w:t xml:space="preserve">danego priorytetu </w:t>
      </w:r>
      <w:r w:rsidRPr="004B77D6">
        <w:rPr>
          <w:rFonts w:ascii="Calibri" w:hAnsi="Calibri"/>
          <w:szCs w:val="24"/>
        </w:rPr>
        <w:t>programu operacyjnego.</w:t>
      </w:r>
    </w:p>
    <w:p w14:paraId="0AFA9D63" w14:textId="77777777" w:rsidR="004A44B0" w:rsidRPr="004B77D6" w:rsidRDefault="004A44B0" w:rsidP="004D0859">
      <w:pPr>
        <w:pStyle w:val="Nagwek1"/>
        <w:numPr>
          <w:ilvl w:val="2"/>
          <w:numId w:val="71"/>
        </w:numPr>
        <w:tabs>
          <w:tab w:val="num" w:pos="1277"/>
        </w:tabs>
        <w:spacing w:before="360" w:after="120" w:line="276" w:lineRule="auto"/>
        <w:ind w:left="851" w:hanging="851"/>
        <w:rPr>
          <w:rFonts w:ascii="Calibri" w:hAnsi="Calibri"/>
          <w:sz w:val="24"/>
          <w:szCs w:val="24"/>
        </w:rPr>
      </w:pPr>
      <w:bookmarkStart w:id="684" w:name="_Toc241839717"/>
      <w:r w:rsidRPr="004B77D6">
        <w:rPr>
          <w:rFonts w:ascii="Calibri" w:hAnsi="Calibri"/>
          <w:sz w:val="24"/>
          <w:szCs w:val="24"/>
        </w:rPr>
        <w:t>ANALIZA INSTYTUCJONALNA I WYKONALNOŚCI PROJEKTU</w:t>
      </w:r>
      <w:bookmarkEnd w:id="684"/>
    </w:p>
    <w:p w14:paraId="4B7490CB" w14:textId="77777777" w:rsidR="004A44B0" w:rsidRPr="004B77D6" w:rsidRDefault="004A44B0" w:rsidP="00A21818">
      <w:pPr>
        <w:pStyle w:val="Tekstpodstawowy22"/>
        <w:spacing w:before="120" w:after="360" w:line="276" w:lineRule="auto"/>
        <w:jc w:val="left"/>
        <w:rPr>
          <w:rFonts w:ascii="Calibri" w:hAnsi="Calibri"/>
          <w:szCs w:val="24"/>
        </w:rPr>
      </w:pPr>
      <w:r w:rsidRPr="004B77D6">
        <w:rPr>
          <w:rFonts w:ascii="Calibri" w:hAnsi="Calibri"/>
          <w:szCs w:val="24"/>
        </w:rPr>
        <w:t>Celem analizy wykonalności jest zidentyfikowanie możliwych do zastosowania rozwiązań inwestycyjnych, które można uznać za wykonalne m.in. pod względem technicznym, ekonomicznym, śro</w:t>
      </w:r>
      <w:r>
        <w:rPr>
          <w:rFonts w:ascii="Calibri" w:hAnsi="Calibri"/>
          <w:szCs w:val="24"/>
        </w:rPr>
        <w:t>dowiskowym i instytucjonalnym.</w:t>
      </w:r>
    </w:p>
    <w:p w14:paraId="51E38D91" w14:textId="77777777" w:rsidR="004A44B0" w:rsidRPr="004B77D6" w:rsidRDefault="004A44B0" w:rsidP="004D0859">
      <w:pPr>
        <w:pStyle w:val="Tekstpodstawowy22"/>
        <w:numPr>
          <w:ilvl w:val="3"/>
          <w:numId w:val="71"/>
        </w:numPr>
        <w:spacing w:before="120" w:after="120" w:line="276" w:lineRule="auto"/>
        <w:ind w:left="1134" w:hanging="850"/>
        <w:jc w:val="left"/>
        <w:rPr>
          <w:rFonts w:ascii="Calibri" w:hAnsi="Calibri"/>
          <w:b/>
          <w:szCs w:val="24"/>
        </w:rPr>
      </w:pPr>
      <w:r w:rsidRPr="004B77D6">
        <w:rPr>
          <w:rFonts w:ascii="Calibri" w:hAnsi="Calibri"/>
          <w:b/>
          <w:bCs/>
          <w:szCs w:val="24"/>
        </w:rPr>
        <w:t>Analiza instytucjonalna</w:t>
      </w:r>
      <w:r w:rsidRPr="004B77D6">
        <w:rPr>
          <w:rFonts w:ascii="Calibri" w:hAnsi="Calibri"/>
          <w:szCs w:val="24"/>
        </w:rPr>
        <w:t xml:space="preserve"> - zawiera informacje na temat:</w:t>
      </w:r>
    </w:p>
    <w:p w14:paraId="21BADB01" w14:textId="77777777" w:rsidR="004A44B0" w:rsidRPr="004B77D6" w:rsidRDefault="004A44B0" w:rsidP="009815C7">
      <w:pPr>
        <w:pStyle w:val="Tekstpodstawowy22"/>
        <w:numPr>
          <w:ilvl w:val="0"/>
          <w:numId w:val="84"/>
        </w:numPr>
        <w:tabs>
          <w:tab w:val="left" w:pos="360"/>
        </w:tabs>
        <w:suppressAutoHyphens w:val="0"/>
        <w:spacing w:line="276" w:lineRule="auto"/>
        <w:jc w:val="left"/>
        <w:rPr>
          <w:rFonts w:ascii="Calibri" w:hAnsi="Calibri"/>
          <w:b/>
          <w:szCs w:val="24"/>
        </w:rPr>
      </w:pPr>
      <w:r w:rsidRPr="004B77D6">
        <w:rPr>
          <w:rFonts w:ascii="Calibri" w:hAnsi="Calibri"/>
          <w:szCs w:val="24"/>
        </w:rPr>
        <w:t>bezpośrednich i pośrednich</w:t>
      </w:r>
      <w:r w:rsidRPr="004B77D6">
        <w:rPr>
          <w:rFonts w:ascii="Calibri" w:hAnsi="Calibri"/>
          <w:b/>
          <w:szCs w:val="24"/>
        </w:rPr>
        <w:t xml:space="preserve"> </w:t>
      </w:r>
      <w:r w:rsidRPr="004B77D6">
        <w:rPr>
          <w:rFonts w:ascii="Calibri" w:hAnsi="Calibri"/>
          <w:szCs w:val="24"/>
        </w:rPr>
        <w:t>beneficjentów projektu oraz problemów ich dotykających,</w:t>
      </w:r>
    </w:p>
    <w:p w14:paraId="18707B59" w14:textId="77777777" w:rsidR="004A44B0" w:rsidRPr="004B77D6" w:rsidRDefault="004A44B0" w:rsidP="009815C7">
      <w:pPr>
        <w:pStyle w:val="Tekstpodstawowy22"/>
        <w:numPr>
          <w:ilvl w:val="0"/>
          <w:numId w:val="84"/>
        </w:numPr>
        <w:tabs>
          <w:tab w:val="left" w:pos="360"/>
        </w:tabs>
        <w:suppressAutoHyphens w:val="0"/>
        <w:spacing w:line="276" w:lineRule="auto"/>
        <w:ind w:left="714" w:hanging="357"/>
        <w:jc w:val="left"/>
        <w:rPr>
          <w:rFonts w:ascii="Calibri" w:hAnsi="Calibri"/>
          <w:b/>
          <w:szCs w:val="24"/>
        </w:rPr>
      </w:pPr>
      <w:r w:rsidRPr="004B77D6">
        <w:rPr>
          <w:rFonts w:ascii="Calibri" w:hAnsi="Calibri"/>
          <w:szCs w:val="24"/>
        </w:rPr>
        <w:t xml:space="preserve">instytucji/osób zaangażowanych w realizację projektu, włącznie z podziałem odpowiedzialności, </w:t>
      </w:r>
    </w:p>
    <w:p w14:paraId="2E38D1D6" w14:textId="77777777" w:rsidR="004A44B0" w:rsidRPr="004B77D6" w:rsidRDefault="004A44B0" w:rsidP="009815C7">
      <w:pPr>
        <w:pStyle w:val="Tekstpodstawowy22"/>
        <w:numPr>
          <w:ilvl w:val="0"/>
          <w:numId w:val="84"/>
        </w:numPr>
        <w:tabs>
          <w:tab w:val="left" w:pos="360"/>
        </w:tabs>
        <w:suppressAutoHyphens w:val="0"/>
        <w:spacing w:line="276" w:lineRule="auto"/>
        <w:ind w:left="714" w:hanging="357"/>
        <w:jc w:val="left"/>
        <w:rPr>
          <w:rFonts w:ascii="Calibri" w:hAnsi="Calibri"/>
          <w:szCs w:val="24"/>
        </w:rPr>
      </w:pPr>
      <w:r w:rsidRPr="004B77D6">
        <w:rPr>
          <w:rFonts w:ascii="Calibri" w:hAnsi="Calibri"/>
          <w:szCs w:val="24"/>
        </w:rPr>
        <w:t>powiązań z innymi podmiotami, które znajdą się w polu oddziaływania projektu,</w:t>
      </w:r>
    </w:p>
    <w:p w14:paraId="54D6C3AD" w14:textId="77777777" w:rsidR="004A44B0" w:rsidRPr="004B77D6" w:rsidRDefault="004A44B0" w:rsidP="009815C7">
      <w:pPr>
        <w:pStyle w:val="Tekstpodstawowy22"/>
        <w:numPr>
          <w:ilvl w:val="0"/>
          <w:numId w:val="84"/>
        </w:numPr>
        <w:tabs>
          <w:tab w:val="left" w:pos="360"/>
        </w:tabs>
        <w:suppressAutoHyphens w:val="0"/>
        <w:spacing w:line="276" w:lineRule="auto"/>
        <w:ind w:left="714" w:hanging="357"/>
        <w:jc w:val="left"/>
        <w:rPr>
          <w:rFonts w:ascii="Calibri" w:hAnsi="Calibri"/>
          <w:szCs w:val="24"/>
        </w:rPr>
      </w:pPr>
      <w:r w:rsidRPr="004B77D6">
        <w:rPr>
          <w:rFonts w:ascii="Calibri" w:hAnsi="Calibri"/>
          <w:szCs w:val="24"/>
        </w:rPr>
        <w:t>właściciela inwestycji po jej zakończeniu,</w:t>
      </w:r>
    </w:p>
    <w:p w14:paraId="4E1DA1E2" w14:textId="77777777" w:rsidR="004A44B0" w:rsidRPr="004B77D6" w:rsidRDefault="004A44B0" w:rsidP="009815C7">
      <w:pPr>
        <w:pStyle w:val="Tekstpodstawowy22"/>
        <w:numPr>
          <w:ilvl w:val="0"/>
          <w:numId w:val="84"/>
        </w:numPr>
        <w:tabs>
          <w:tab w:val="left" w:pos="360"/>
        </w:tabs>
        <w:suppressAutoHyphens w:val="0"/>
        <w:spacing w:line="276" w:lineRule="auto"/>
        <w:ind w:left="714" w:hanging="357"/>
        <w:jc w:val="left"/>
        <w:rPr>
          <w:rFonts w:ascii="Calibri" w:hAnsi="Calibri"/>
          <w:szCs w:val="24"/>
        </w:rPr>
      </w:pPr>
      <w:r w:rsidRPr="004B77D6">
        <w:rPr>
          <w:rFonts w:ascii="Calibri" w:hAnsi="Calibri"/>
          <w:szCs w:val="24"/>
        </w:rPr>
        <w:t>rozwiązań związanych z udostępnieniem przedmiotowej infrastruktury podmiotom trzecim.</w:t>
      </w:r>
    </w:p>
    <w:p w14:paraId="61D8335E" w14:textId="77777777" w:rsidR="004A44B0" w:rsidRPr="004B77D6" w:rsidRDefault="004A44B0" w:rsidP="00A21818">
      <w:pPr>
        <w:pStyle w:val="Tekstpodstawowy22"/>
        <w:spacing w:before="120" w:after="120" w:line="276" w:lineRule="auto"/>
        <w:ind w:left="360"/>
        <w:jc w:val="left"/>
        <w:rPr>
          <w:rFonts w:ascii="Calibri" w:hAnsi="Calibri"/>
          <w:szCs w:val="24"/>
        </w:rPr>
      </w:pPr>
      <w:r w:rsidRPr="004B77D6">
        <w:rPr>
          <w:rFonts w:ascii="Calibri" w:hAnsi="Calibri"/>
          <w:szCs w:val="24"/>
        </w:rPr>
        <w:t xml:space="preserve">W punkcie tym należy udowodnić, że beneficjent </w:t>
      </w:r>
      <w:r w:rsidRPr="004B77D6">
        <w:rPr>
          <w:rFonts w:ascii="Calibri" w:hAnsi="Calibri"/>
          <w:iCs/>
          <w:szCs w:val="24"/>
        </w:rPr>
        <w:t xml:space="preserve">posiada zdolność organizacyjną </w:t>
      </w:r>
      <w:r w:rsidRPr="004B77D6">
        <w:rPr>
          <w:rFonts w:ascii="Calibri" w:hAnsi="Calibri"/>
          <w:iCs/>
          <w:szCs w:val="24"/>
        </w:rPr>
        <w:br/>
        <w:t xml:space="preserve">i finansową do wdrożenia projektu (opisując dokładnie proces wdrażania wraz </w:t>
      </w:r>
      <w:r w:rsidRPr="004B77D6">
        <w:rPr>
          <w:rFonts w:ascii="Calibri" w:hAnsi="Calibri"/>
          <w:iCs/>
          <w:szCs w:val="24"/>
        </w:rPr>
        <w:br/>
        <w:t xml:space="preserve">z towarzyszącymi mu procedurami, </w:t>
      </w:r>
      <w:r w:rsidRPr="004B77D6">
        <w:rPr>
          <w:rFonts w:ascii="Calibri" w:hAnsi="Calibri"/>
          <w:szCs w:val="24"/>
        </w:rPr>
        <w:t xml:space="preserve">harmonogramem pozyskiwania odpowiednich zezwoleń, prac przygotowawczych, przetargów oraz realizacji projektu); jak również wskazać instytucję odpowiedzialną za zarządzanie projektem w okresie, co najmniej </w:t>
      </w:r>
      <w:r w:rsidRPr="004B77D6">
        <w:rPr>
          <w:rFonts w:ascii="Calibri" w:hAnsi="Calibri"/>
          <w:szCs w:val="24"/>
        </w:rPr>
        <w:br/>
        <w:t xml:space="preserve">5 lat od chwili zakończenia jego realizacji (określając sposób finansowania kosztów </w:t>
      </w:r>
      <w:r w:rsidRPr="004B77D6">
        <w:rPr>
          <w:rFonts w:ascii="Calibri" w:hAnsi="Calibri"/>
          <w:szCs w:val="24"/>
        </w:rPr>
        <w:lastRenderedPageBreak/>
        <w:t xml:space="preserve">związanych z utrzymaniem i eksploatacją inwestycji), zgodnie z art. 65 Rozporządzenia Parlamentu Europejskiego i Rady (UE) nr 2021/1060 z dn. 24 czerwca 2021 r. </w:t>
      </w:r>
    </w:p>
    <w:p w14:paraId="5240CAA6" w14:textId="3A933BA6" w:rsidR="00A851E0" w:rsidRPr="00A851E0" w:rsidRDefault="004A44B0" w:rsidP="004D0859">
      <w:pPr>
        <w:pStyle w:val="Tekstpodstawowy22"/>
        <w:numPr>
          <w:ilvl w:val="3"/>
          <w:numId w:val="71"/>
        </w:numPr>
        <w:spacing w:before="120" w:after="120" w:line="276" w:lineRule="auto"/>
        <w:ind w:left="360" w:hanging="76"/>
        <w:jc w:val="left"/>
        <w:rPr>
          <w:rFonts w:ascii="Calibri" w:hAnsi="Calibri"/>
          <w:szCs w:val="24"/>
        </w:rPr>
      </w:pPr>
      <w:r w:rsidRPr="004B77D6">
        <w:rPr>
          <w:rFonts w:ascii="Calibri" w:hAnsi="Calibri"/>
          <w:b/>
          <w:bCs/>
          <w:szCs w:val="24"/>
        </w:rPr>
        <w:t>Analiza prawnej wykonalności projektu</w:t>
      </w:r>
      <w:r w:rsidRPr="004B77D6">
        <w:rPr>
          <w:rFonts w:ascii="Calibri" w:hAnsi="Calibri"/>
          <w:szCs w:val="24"/>
        </w:rPr>
        <w:t xml:space="preserve"> - opisuje</w:t>
      </w:r>
      <w:r w:rsidRPr="004B77D6">
        <w:rPr>
          <w:rFonts w:ascii="Calibri" w:eastAsia="TimesNewRoman" w:hAnsi="Calibri"/>
          <w:szCs w:val="24"/>
        </w:rPr>
        <w:t xml:space="preserve"> </w:t>
      </w:r>
      <w:r w:rsidRPr="004B77D6">
        <w:rPr>
          <w:rFonts w:ascii="Calibri" w:hAnsi="Calibri"/>
          <w:szCs w:val="24"/>
        </w:rPr>
        <w:t>kwestie prawne zwi</w:t>
      </w:r>
      <w:r w:rsidRPr="004B77D6">
        <w:rPr>
          <w:rFonts w:ascii="Calibri" w:eastAsia="TimesNewRoman" w:hAnsi="Calibri"/>
          <w:szCs w:val="24"/>
        </w:rPr>
        <w:t>ą</w:t>
      </w:r>
      <w:r w:rsidRPr="004B77D6">
        <w:rPr>
          <w:rFonts w:ascii="Calibri" w:hAnsi="Calibri"/>
          <w:szCs w:val="24"/>
        </w:rPr>
        <w:t>zane z realizacj</w:t>
      </w:r>
      <w:r w:rsidRPr="004B77D6">
        <w:rPr>
          <w:rFonts w:ascii="Calibri" w:eastAsia="TimesNewRoman" w:hAnsi="Calibri"/>
          <w:szCs w:val="24"/>
        </w:rPr>
        <w:t xml:space="preserve">ą </w:t>
      </w:r>
      <w:r w:rsidRPr="004B77D6">
        <w:rPr>
          <w:rFonts w:ascii="Calibri" w:hAnsi="Calibri"/>
          <w:szCs w:val="24"/>
        </w:rPr>
        <w:t>projektu, w tym stan formalno-prawny nieruchomo</w:t>
      </w:r>
      <w:r w:rsidRPr="004B77D6">
        <w:rPr>
          <w:rFonts w:ascii="Calibri" w:eastAsia="TimesNewRoman" w:hAnsi="Calibri"/>
          <w:szCs w:val="24"/>
        </w:rPr>
        <w:t>ś</w:t>
      </w:r>
      <w:r w:rsidRPr="004B77D6">
        <w:rPr>
          <w:rFonts w:ascii="Calibri" w:hAnsi="Calibri"/>
          <w:szCs w:val="24"/>
        </w:rPr>
        <w:t>ci, gruntów. W punkcie tym należy wymienić wszystkie dokumenty warunkuj</w:t>
      </w:r>
      <w:r w:rsidRPr="004B77D6">
        <w:rPr>
          <w:rFonts w:ascii="Calibri" w:eastAsia="TimesNewRoman" w:hAnsi="Calibri"/>
          <w:szCs w:val="24"/>
        </w:rPr>
        <w:t>ą</w:t>
      </w:r>
      <w:r w:rsidRPr="004B77D6">
        <w:rPr>
          <w:rFonts w:ascii="Calibri" w:hAnsi="Calibri"/>
          <w:szCs w:val="24"/>
        </w:rPr>
        <w:t xml:space="preserve">ce wykonanie inwestycji </w:t>
      </w:r>
      <w:r w:rsidRPr="004B77D6">
        <w:rPr>
          <w:rFonts w:ascii="Calibri" w:hAnsi="Calibri"/>
          <w:szCs w:val="24"/>
        </w:rPr>
        <w:br/>
        <w:t>np. pozwolenie na budow</w:t>
      </w:r>
      <w:r w:rsidRPr="004B77D6">
        <w:rPr>
          <w:rFonts w:ascii="Calibri" w:eastAsia="TimesNewRoman" w:hAnsi="Calibri"/>
          <w:szCs w:val="24"/>
        </w:rPr>
        <w:t xml:space="preserve">ę, </w:t>
      </w:r>
      <w:r w:rsidRPr="004B77D6">
        <w:rPr>
          <w:rFonts w:ascii="Calibri" w:hAnsi="Calibri"/>
          <w:szCs w:val="24"/>
        </w:rPr>
        <w:t xml:space="preserve">pozwolenie Wojewódzkiego Konserwatora Zabytków, </w:t>
      </w:r>
      <w:r w:rsidRPr="004B77D6">
        <w:rPr>
          <w:rFonts w:ascii="Calibri" w:hAnsi="Calibri" w:cs="Arial"/>
          <w:szCs w:val="24"/>
        </w:rPr>
        <w:t>decyzję o środowiskowych uwarunkowaniach zgody na realizację przedsięwzięcia, umowę na świadczenie usług publicznych, dokument potwierdzający kwalifikowalność podatku VAT oraz wszelkie inne dokumenty warunkujące prawidłową realizację projektu</w:t>
      </w:r>
      <w:r w:rsidRPr="004B77D6">
        <w:rPr>
          <w:rFonts w:ascii="Calibri" w:hAnsi="Calibri"/>
          <w:szCs w:val="24"/>
        </w:rPr>
        <w:t xml:space="preserve">. Jeżeli realizacja projektu wymaga uzyskania dodatkowych pozwoleń/decyzji/innych dokumentów, należy podać informację o terminie uzyskania (lub przypuszczalnym terminie uzyskania danego dokumentu). </w:t>
      </w:r>
    </w:p>
    <w:p w14:paraId="0CEE43F3" w14:textId="77777777" w:rsidR="00A851E0" w:rsidRDefault="00A851E0" w:rsidP="004D0859">
      <w:pPr>
        <w:pStyle w:val="Nagwek1"/>
        <w:numPr>
          <w:ilvl w:val="2"/>
          <w:numId w:val="71"/>
        </w:numPr>
        <w:tabs>
          <w:tab w:val="num" w:pos="1277"/>
        </w:tabs>
        <w:spacing w:after="120" w:line="276" w:lineRule="auto"/>
        <w:ind w:left="851" w:hanging="851"/>
        <w:rPr>
          <w:rFonts w:ascii="Calibri" w:hAnsi="Calibri"/>
          <w:sz w:val="24"/>
          <w:szCs w:val="24"/>
        </w:rPr>
      </w:pPr>
      <w:bookmarkStart w:id="685" w:name="_Toc235714297"/>
      <w:bookmarkStart w:id="686" w:name="_Toc241839718"/>
      <w:r>
        <w:rPr>
          <w:rFonts w:ascii="Calibri" w:hAnsi="Calibri"/>
          <w:sz w:val="24"/>
          <w:szCs w:val="24"/>
        </w:rPr>
        <w:t>ANALIZA OPCJI</w:t>
      </w:r>
      <w:bookmarkEnd w:id="685"/>
      <w:bookmarkEnd w:id="686"/>
    </w:p>
    <w:p w14:paraId="2BB1682B" w14:textId="77777777" w:rsidR="00A851E0" w:rsidRDefault="00A851E0" w:rsidP="00A851E0">
      <w:pPr>
        <w:spacing w:line="276" w:lineRule="auto"/>
        <w:rPr>
          <w:rFonts w:ascii="Calibri" w:hAnsi="Calibri"/>
          <w:szCs w:val="24"/>
        </w:rPr>
      </w:pPr>
      <w:r w:rsidRPr="006B0994">
        <w:rPr>
          <w:rFonts w:ascii="Calibri" w:hAnsi="Calibri"/>
          <w:szCs w:val="24"/>
        </w:rPr>
        <w:t xml:space="preserve">Analiza opcji to systematyczne porównanie alternatywnych sposobów realizacji projektu </w:t>
      </w:r>
      <w:r>
        <w:rPr>
          <w:rFonts w:ascii="Calibri" w:hAnsi="Calibri"/>
          <w:szCs w:val="24"/>
        </w:rPr>
        <w:br/>
      </w:r>
      <w:r w:rsidRPr="006B0994">
        <w:rPr>
          <w:rFonts w:ascii="Calibri" w:hAnsi="Calibri"/>
          <w:szCs w:val="24"/>
        </w:rPr>
        <w:t>w celu wybrania rozwiązania </w:t>
      </w:r>
      <w:proofErr w:type="gramStart"/>
      <w:r w:rsidRPr="006B0994">
        <w:rPr>
          <w:rFonts w:ascii="Calibri" w:hAnsi="Calibri"/>
          <w:szCs w:val="24"/>
        </w:rPr>
        <w:t>najbardziej optymalnego</w:t>
      </w:r>
      <w:proofErr w:type="gramEnd"/>
      <w:r w:rsidRPr="006B0994">
        <w:rPr>
          <w:rFonts w:ascii="Calibri" w:hAnsi="Calibri"/>
          <w:szCs w:val="24"/>
        </w:rPr>
        <w:t>. Jej głównym celem jest udowodnienie, że wybrany wariant najlepiej realizuje założone cele inwestycji przy racjonalnym poziomie kosztów. </w:t>
      </w:r>
    </w:p>
    <w:p w14:paraId="4FF5F783" w14:textId="77777777" w:rsidR="00A851E0" w:rsidRDefault="00A851E0" w:rsidP="00A851E0">
      <w:pPr>
        <w:spacing w:line="276" w:lineRule="auto"/>
        <w:rPr>
          <w:rFonts w:ascii="Calibri" w:hAnsi="Calibri"/>
          <w:szCs w:val="24"/>
        </w:rPr>
      </w:pPr>
    </w:p>
    <w:p w14:paraId="2A2537C7" w14:textId="77777777" w:rsidR="00A851E0" w:rsidRDefault="00A851E0" w:rsidP="00A851E0">
      <w:pPr>
        <w:spacing w:line="276" w:lineRule="auto"/>
        <w:rPr>
          <w:rFonts w:ascii="Calibri" w:hAnsi="Calibri"/>
          <w:szCs w:val="24"/>
        </w:rPr>
      </w:pPr>
      <w:r w:rsidRPr="006B0994">
        <w:rPr>
          <w:rFonts w:ascii="Calibri" w:hAnsi="Calibri"/>
          <w:szCs w:val="24"/>
        </w:rPr>
        <w:t xml:space="preserve">W punkcie </w:t>
      </w:r>
      <w:r>
        <w:rPr>
          <w:rFonts w:ascii="Calibri" w:hAnsi="Calibri"/>
          <w:szCs w:val="24"/>
        </w:rPr>
        <w:t>D</w:t>
      </w:r>
      <w:r w:rsidRPr="006B0994">
        <w:rPr>
          <w:rFonts w:ascii="Calibri" w:hAnsi="Calibri"/>
          <w:szCs w:val="24"/>
        </w:rPr>
        <w:t xml:space="preserve"> należy przeprowadzić analizę opcji, która powinna koncentrować się na przedstawieniu podstawowych rozwiązań o charakterze strategicznym (np. powinna odpowiadać na pytanie, czy bardziej korzystna będzie modernizacja już funkcjonującej infrastruktury, czy też budowa nowej). Etap ten przyjmuje formę analizy wielokryterialnej </w:t>
      </w:r>
      <w:r>
        <w:rPr>
          <w:rFonts w:ascii="Calibri" w:hAnsi="Calibri"/>
          <w:szCs w:val="24"/>
        </w:rPr>
        <w:br/>
      </w:r>
      <w:r w:rsidRPr="006B0994">
        <w:rPr>
          <w:rFonts w:ascii="Calibri" w:hAnsi="Calibri"/>
          <w:szCs w:val="24"/>
        </w:rPr>
        <w:t>i opiera się na kryteriach jakościowych.</w:t>
      </w:r>
    </w:p>
    <w:p w14:paraId="70D9A94D" w14:textId="77777777" w:rsidR="00A851E0" w:rsidRDefault="00A851E0" w:rsidP="00A851E0">
      <w:pPr>
        <w:spacing w:line="276" w:lineRule="auto"/>
        <w:rPr>
          <w:rFonts w:ascii="Calibri" w:hAnsi="Calibri"/>
          <w:szCs w:val="24"/>
        </w:rPr>
      </w:pPr>
    </w:p>
    <w:p w14:paraId="0546BADA" w14:textId="4E8DEE1C" w:rsidR="00A851E0" w:rsidRPr="00A851E0" w:rsidRDefault="00A851E0" w:rsidP="00A851E0">
      <w:pPr>
        <w:spacing w:line="276" w:lineRule="auto"/>
        <w:rPr>
          <w:rFonts w:ascii="Calibri" w:hAnsi="Calibri" w:cs="Arial"/>
          <w:szCs w:val="24"/>
        </w:rPr>
      </w:pPr>
      <w:r w:rsidRPr="006B0994">
        <w:rPr>
          <w:rFonts w:ascii="Calibri" w:hAnsi="Calibri" w:cs="Arial"/>
          <w:szCs w:val="24"/>
        </w:rPr>
        <w:t>Przyjęte rozwiązanie - jako podsumowanie analizy wykonalności (pkt C.2) oraz opcji, należy przedstawić dokonany wybór przyjętego do zastosowania rozwiązania wraz ze stosownym uzasadnieniem.</w:t>
      </w:r>
    </w:p>
    <w:p w14:paraId="70B45B64" w14:textId="77777777" w:rsidR="004A44B0" w:rsidRDefault="004A44B0" w:rsidP="004D0859">
      <w:pPr>
        <w:pStyle w:val="Nagwek1"/>
        <w:numPr>
          <w:ilvl w:val="2"/>
          <w:numId w:val="71"/>
        </w:numPr>
        <w:tabs>
          <w:tab w:val="num" w:pos="1277"/>
        </w:tabs>
        <w:spacing w:after="120" w:line="276" w:lineRule="auto"/>
        <w:ind w:left="851" w:hanging="851"/>
        <w:rPr>
          <w:rFonts w:ascii="Calibri" w:hAnsi="Calibri"/>
          <w:sz w:val="24"/>
          <w:szCs w:val="24"/>
        </w:rPr>
      </w:pPr>
      <w:bookmarkStart w:id="687" w:name="_Toc241839719"/>
      <w:r>
        <w:rPr>
          <w:rFonts w:ascii="Calibri" w:hAnsi="Calibri"/>
          <w:sz w:val="24"/>
          <w:szCs w:val="24"/>
        </w:rPr>
        <w:t>FINANSOWA TRWAŁOŚĆ PROJEKTU</w:t>
      </w:r>
      <w:bookmarkEnd w:id="687"/>
    </w:p>
    <w:p w14:paraId="5222F80C" w14:textId="2A275F21" w:rsidR="004A44B0" w:rsidRPr="009174CA" w:rsidRDefault="004A44B0" w:rsidP="004A44B0">
      <w:pPr>
        <w:spacing w:after="120" w:line="276" w:lineRule="auto"/>
        <w:rPr>
          <w:rFonts w:asciiTheme="minorHAnsi" w:eastAsiaTheme="minorHAnsi" w:hAnsiTheme="minorHAnsi" w:cstheme="minorHAnsi"/>
          <w:szCs w:val="24"/>
          <w:lang w:eastAsia="en-US"/>
        </w:rPr>
      </w:pPr>
      <w:r w:rsidRPr="009174CA">
        <w:rPr>
          <w:rFonts w:asciiTheme="minorHAnsi" w:eastAsiaTheme="minorHAnsi" w:hAnsiTheme="minorHAnsi" w:cstheme="minorHAnsi"/>
          <w:szCs w:val="24"/>
          <w:lang w:eastAsia="en-US"/>
        </w:rPr>
        <w:t xml:space="preserve">Zgodnie z Rozporządzeniem UE nr 2021/1060 </w:t>
      </w:r>
      <w:r w:rsidR="00F850B4">
        <w:rPr>
          <w:rFonts w:asciiTheme="minorHAnsi" w:eastAsiaTheme="minorHAnsi" w:hAnsiTheme="minorHAnsi" w:cstheme="minorHAnsi"/>
          <w:szCs w:val="24"/>
          <w:lang w:eastAsia="en-US"/>
        </w:rPr>
        <w:t>W</w:t>
      </w:r>
      <w:r w:rsidRPr="009174CA">
        <w:rPr>
          <w:rFonts w:asciiTheme="minorHAnsi" w:eastAsiaTheme="minorHAnsi" w:hAnsiTheme="minorHAnsi" w:cstheme="minorHAnsi"/>
          <w:szCs w:val="24"/>
          <w:lang w:eastAsia="en-US"/>
        </w:rPr>
        <w:t>nioskodawca/</w:t>
      </w:r>
      <w:proofErr w:type="spellStart"/>
      <w:r w:rsidRPr="009174CA">
        <w:rPr>
          <w:rFonts w:asciiTheme="minorHAnsi" w:eastAsiaTheme="minorHAnsi" w:hAnsiTheme="minorHAnsi" w:cstheme="minorHAnsi"/>
          <w:szCs w:val="24"/>
          <w:lang w:eastAsia="en-US"/>
        </w:rPr>
        <w:t>artner</w:t>
      </w:r>
      <w:proofErr w:type="spellEnd"/>
      <w:r w:rsidRPr="009174CA">
        <w:rPr>
          <w:rFonts w:asciiTheme="minorHAnsi" w:eastAsiaTheme="minorHAnsi" w:hAnsiTheme="minorHAnsi" w:cstheme="minorHAnsi"/>
          <w:szCs w:val="24"/>
          <w:lang w:eastAsia="en-US"/>
        </w:rPr>
        <w:t xml:space="preserve"> musi wykazać, </w:t>
      </w:r>
      <w:r w:rsidR="00BA5C81">
        <w:rPr>
          <w:rFonts w:asciiTheme="minorHAnsi" w:eastAsiaTheme="minorHAnsi" w:hAnsiTheme="minorHAnsi" w:cstheme="minorHAnsi"/>
          <w:szCs w:val="24"/>
          <w:lang w:eastAsia="en-US"/>
        </w:rPr>
        <w:br/>
      </w:r>
      <w:r w:rsidRPr="009174CA">
        <w:rPr>
          <w:rFonts w:asciiTheme="minorHAnsi" w:eastAsiaTheme="minorHAnsi" w:hAnsiTheme="minorHAnsi" w:cstheme="minorHAnsi"/>
          <w:szCs w:val="24"/>
          <w:lang w:eastAsia="en-US"/>
        </w:rPr>
        <w:t xml:space="preserve">że ma niezbędne zasoby i mechanizmy finansowe, aby pokryć koszty eksploatacji </w:t>
      </w:r>
      <w:r w:rsidR="00BA5C81">
        <w:rPr>
          <w:rFonts w:asciiTheme="minorHAnsi" w:eastAsiaTheme="minorHAnsi" w:hAnsiTheme="minorHAnsi" w:cstheme="minorHAnsi"/>
          <w:szCs w:val="24"/>
          <w:lang w:eastAsia="en-US"/>
        </w:rPr>
        <w:br/>
      </w:r>
      <w:r w:rsidRPr="009174CA">
        <w:rPr>
          <w:rFonts w:asciiTheme="minorHAnsi" w:eastAsiaTheme="minorHAnsi" w:hAnsiTheme="minorHAnsi" w:cstheme="minorHAnsi"/>
          <w:szCs w:val="24"/>
          <w:lang w:eastAsia="en-US"/>
        </w:rPr>
        <w:t>i utrzymania projektu, tak by zapewnić stabilność ich finansowania.</w:t>
      </w:r>
    </w:p>
    <w:p w14:paraId="2292D3C8" w14:textId="77777777" w:rsidR="004A44B0" w:rsidRPr="009174CA" w:rsidRDefault="004A44B0" w:rsidP="004A44B0">
      <w:pPr>
        <w:spacing w:line="276" w:lineRule="auto"/>
        <w:rPr>
          <w:rFonts w:asciiTheme="minorHAnsi" w:eastAsiaTheme="minorHAnsi" w:hAnsiTheme="minorHAnsi" w:cstheme="minorHAnsi"/>
          <w:szCs w:val="24"/>
          <w:lang w:eastAsia="en-US"/>
        </w:rPr>
      </w:pPr>
      <w:r>
        <w:rPr>
          <w:rFonts w:asciiTheme="minorHAnsi" w:eastAsiaTheme="minorHAnsi" w:hAnsiTheme="minorHAnsi" w:cstheme="minorHAnsi"/>
          <w:szCs w:val="24"/>
          <w:lang w:eastAsia="en-US"/>
        </w:rPr>
        <w:t>W punkcie E</w:t>
      </w:r>
      <w:r w:rsidRPr="009174CA">
        <w:rPr>
          <w:rFonts w:asciiTheme="minorHAnsi" w:eastAsiaTheme="minorHAnsi" w:hAnsiTheme="minorHAnsi" w:cstheme="minorHAnsi"/>
          <w:szCs w:val="24"/>
          <w:lang w:eastAsia="en-US"/>
        </w:rPr>
        <w:t xml:space="preserve"> należy podać informacje dotyczące:</w:t>
      </w:r>
    </w:p>
    <w:p w14:paraId="75D356F3" w14:textId="77777777" w:rsidR="004A44B0" w:rsidRPr="009174CA" w:rsidRDefault="004A44B0" w:rsidP="004D0859">
      <w:pPr>
        <w:numPr>
          <w:ilvl w:val="0"/>
          <w:numId w:val="69"/>
        </w:numPr>
        <w:suppressAutoHyphens w:val="0"/>
        <w:spacing w:line="276" w:lineRule="auto"/>
        <w:rPr>
          <w:rFonts w:asciiTheme="minorHAnsi" w:eastAsiaTheme="minorHAnsi" w:hAnsiTheme="minorHAnsi" w:cstheme="minorHAnsi"/>
          <w:szCs w:val="24"/>
          <w:lang w:eastAsia="en-US"/>
        </w:rPr>
      </w:pPr>
      <w:r w:rsidRPr="009174CA">
        <w:rPr>
          <w:rFonts w:asciiTheme="minorHAnsi" w:eastAsiaTheme="minorHAnsi" w:hAnsiTheme="minorHAnsi" w:cstheme="minorHAnsi"/>
          <w:szCs w:val="24"/>
          <w:lang w:eastAsia="en-US"/>
        </w:rPr>
        <w:t>dotychczasowych oraz planowanych po realizacji projektu kosztów eksploatacji, pozostałych kosztów oraz kosztów finansowych (związanych z projektem),</w:t>
      </w:r>
    </w:p>
    <w:p w14:paraId="47BBAA6D" w14:textId="77777777" w:rsidR="004A44B0" w:rsidRPr="009174CA" w:rsidRDefault="004A44B0" w:rsidP="004D0859">
      <w:pPr>
        <w:numPr>
          <w:ilvl w:val="0"/>
          <w:numId w:val="69"/>
        </w:numPr>
        <w:suppressAutoHyphens w:val="0"/>
        <w:spacing w:line="276" w:lineRule="auto"/>
        <w:rPr>
          <w:rFonts w:asciiTheme="minorHAnsi" w:eastAsiaTheme="minorHAnsi" w:hAnsiTheme="minorHAnsi" w:cstheme="minorHAnsi"/>
          <w:szCs w:val="24"/>
          <w:lang w:eastAsia="en-US"/>
        </w:rPr>
      </w:pPr>
      <w:r w:rsidRPr="009174CA">
        <w:rPr>
          <w:rFonts w:asciiTheme="minorHAnsi" w:eastAsiaTheme="minorHAnsi" w:hAnsiTheme="minorHAnsi" w:cstheme="minorHAnsi"/>
          <w:szCs w:val="24"/>
          <w:lang w:eastAsia="en-US"/>
        </w:rPr>
        <w:t xml:space="preserve">dotychczasowych oraz planowanych po realizacji projektu przychodów operacyjnych, pozostałych przychodów (w tym dotacji), przychodów finansowych (związanych </w:t>
      </w:r>
      <w:r w:rsidRPr="009174CA">
        <w:rPr>
          <w:rFonts w:asciiTheme="minorHAnsi" w:eastAsiaTheme="minorHAnsi" w:hAnsiTheme="minorHAnsi" w:cstheme="minorHAnsi"/>
          <w:szCs w:val="24"/>
          <w:lang w:eastAsia="en-US"/>
        </w:rPr>
        <w:br/>
        <w:t>z projektem),</w:t>
      </w:r>
    </w:p>
    <w:p w14:paraId="05860512" w14:textId="77777777" w:rsidR="004A44B0" w:rsidRPr="009174CA" w:rsidRDefault="004A44B0" w:rsidP="004D0859">
      <w:pPr>
        <w:numPr>
          <w:ilvl w:val="0"/>
          <w:numId w:val="69"/>
        </w:numPr>
        <w:suppressAutoHyphens w:val="0"/>
        <w:spacing w:line="276" w:lineRule="auto"/>
        <w:rPr>
          <w:rFonts w:asciiTheme="minorHAnsi" w:eastAsiaTheme="minorHAnsi" w:hAnsiTheme="minorHAnsi" w:cstheme="minorHAnsi"/>
          <w:szCs w:val="24"/>
          <w:lang w:eastAsia="en-US"/>
        </w:rPr>
      </w:pPr>
      <w:r w:rsidRPr="009174CA">
        <w:rPr>
          <w:rFonts w:asciiTheme="minorHAnsi" w:eastAsiaTheme="minorHAnsi" w:hAnsiTheme="minorHAnsi" w:cstheme="minorHAnsi"/>
          <w:szCs w:val="24"/>
          <w:lang w:eastAsia="en-US"/>
        </w:rPr>
        <w:t>oszczędności kosztów operacyjnych – jeśli dotyczy,</w:t>
      </w:r>
    </w:p>
    <w:p w14:paraId="017D457B" w14:textId="77777777" w:rsidR="004A44B0" w:rsidRPr="009174CA" w:rsidRDefault="004A44B0" w:rsidP="004D0859">
      <w:pPr>
        <w:numPr>
          <w:ilvl w:val="0"/>
          <w:numId w:val="69"/>
        </w:numPr>
        <w:suppressAutoHyphens w:val="0"/>
        <w:spacing w:line="276" w:lineRule="auto"/>
        <w:rPr>
          <w:rFonts w:asciiTheme="minorHAnsi" w:eastAsiaTheme="minorHAnsi" w:hAnsiTheme="minorHAnsi" w:cstheme="minorHAnsi"/>
          <w:szCs w:val="24"/>
          <w:lang w:eastAsia="en-US"/>
        </w:rPr>
      </w:pPr>
      <w:r w:rsidRPr="009174CA">
        <w:rPr>
          <w:rFonts w:asciiTheme="minorHAnsi" w:eastAsiaTheme="minorHAnsi" w:hAnsiTheme="minorHAnsi" w:cstheme="minorHAnsi"/>
          <w:szCs w:val="24"/>
          <w:lang w:eastAsia="en-US"/>
        </w:rPr>
        <w:lastRenderedPageBreak/>
        <w:t>należności i zobowiązań, w szczególności istotnego krótko i długoterminowego zadłużenia, którego obsługa może wpłynąć na stabilność finansową projektu,</w:t>
      </w:r>
    </w:p>
    <w:p w14:paraId="3DDF2D2A" w14:textId="77777777" w:rsidR="004A44B0" w:rsidRDefault="004A44B0" w:rsidP="004D0859">
      <w:pPr>
        <w:numPr>
          <w:ilvl w:val="0"/>
          <w:numId w:val="69"/>
        </w:numPr>
        <w:suppressAutoHyphens w:val="0"/>
        <w:spacing w:line="276" w:lineRule="auto"/>
        <w:rPr>
          <w:rFonts w:asciiTheme="minorHAnsi" w:eastAsiaTheme="minorHAnsi" w:hAnsiTheme="minorHAnsi" w:cstheme="minorHAnsi"/>
          <w:szCs w:val="24"/>
          <w:lang w:eastAsia="en-US"/>
        </w:rPr>
      </w:pPr>
      <w:r w:rsidRPr="009174CA">
        <w:rPr>
          <w:rFonts w:asciiTheme="minorHAnsi" w:eastAsiaTheme="minorHAnsi" w:hAnsiTheme="minorHAnsi" w:cstheme="minorHAnsi"/>
          <w:szCs w:val="24"/>
          <w:lang w:eastAsia="en-US"/>
        </w:rPr>
        <w:t>innych istotnych informacji i warunków, które mogą wpłynąć na stabilność finansową projektu (np. zmiany cen rynkowych, zmiany przepisów),</w:t>
      </w:r>
    </w:p>
    <w:p w14:paraId="7C2AFF64" w14:textId="6C3C6AFC" w:rsidR="004A44B0" w:rsidRPr="004A44B0" w:rsidRDefault="004A44B0" w:rsidP="004D0859">
      <w:pPr>
        <w:numPr>
          <w:ilvl w:val="0"/>
          <w:numId w:val="69"/>
        </w:numPr>
        <w:suppressAutoHyphens w:val="0"/>
        <w:spacing w:line="276" w:lineRule="auto"/>
        <w:rPr>
          <w:rFonts w:asciiTheme="minorHAnsi" w:eastAsiaTheme="minorHAnsi" w:hAnsiTheme="minorHAnsi" w:cstheme="minorHAnsi"/>
          <w:szCs w:val="24"/>
          <w:lang w:eastAsia="en-US"/>
        </w:rPr>
      </w:pPr>
      <w:r w:rsidRPr="009174CA">
        <w:rPr>
          <w:rFonts w:asciiTheme="minorHAnsi" w:eastAsiaTheme="minorHAnsi" w:hAnsiTheme="minorHAnsi" w:cstheme="minorHAnsi"/>
          <w:szCs w:val="24"/>
          <w:lang w:eastAsia="en-US"/>
        </w:rPr>
        <w:t>uzasadnienia, że minimum w okresie trwałości projektu</w:t>
      </w:r>
      <w:r>
        <w:rPr>
          <w:rFonts w:asciiTheme="minorHAnsi" w:eastAsiaTheme="minorHAnsi" w:hAnsiTheme="minorHAnsi" w:cstheme="minorHAnsi"/>
          <w:szCs w:val="24"/>
          <w:lang w:eastAsia="en-US"/>
        </w:rPr>
        <w:t xml:space="preserve"> (5 lat lub 3 lata w przypadku MŚP)</w:t>
      </w:r>
      <w:r w:rsidRPr="009174CA">
        <w:rPr>
          <w:rFonts w:asciiTheme="minorHAnsi" w:eastAsiaTheme="minorHAnsi" w:hAnsiTheme="minorHAnsi" w:cstheme="minorHAnsi"/>
          <w:szCs w:val="24"/>
          <w:lang w:eastAsia="en-US"/>
        </w:rPr>
        <w:t xml:space="preserve"> określonego zgodnie z art. 65 Rozporządzenia UE nr 2021/1060 </w:t>
      </w:r>
      <w:r w:rsidR="00F850B4">
        <w:rPr>
          <w:rFonts w:asciiTheme="minorHAnsi" w:eastAsiaTheme="minorHAnsi" w:hAnsiTheme="minorHAnsi" w:cstheme="minorHAnsi"/>
          <w:szCs w:val="24"/>
          <w:lang w:eastAsia="en-US"/>
        </w:rPr>
        <w:t>W</w:t>
      </w:r>
      <w:r w:rsidRPr="009174CA">
        <w:rPr>
          <w:rFonts w:asciiTheme="minorHAnsi" w:eastAsiaTheme="minorHAnsi" w:hAnsiTheme="minorHAnsi" w:cstheme="minorHAnsi"/>
          <w:szCs w:val="24"/>
          <w:lang w:eastAsia="en-US"/>
        </w:rPr>
        <w:t>nioskodawca/</w:t>
      </w:r>
      <w:r w:rsidR="00D50F8F">
        <w:rPr>
          <w:rFonts w:asciiTheme="minorHAnsi" w:eastAsiaTheme="minorHAnsi" w:hAnsiTheme="minorHAnsi" w:cstheme="minorHAnsi"/>
          <w:szCs w:val="24"/>
          <w:lang w:eastAsia="en-US"/>
        </w:rPr>
        <w:t>P</w:t>
      </w:r>
      <w:r w:rsidRPr="009174CA">
        <w:rPr>
          <w:rFonts w:asciiTheme="minorHAnsi" w:eastAsiaTheme="minorHAnsi" w:hAnsiTheme="minorHAnsi" w:cstheme="minorHAnsi"/>
          <w:szCs w:val="24"/>
          <w:lang w:eastAsia="en-US"/>
        </w:rPr>
        <w:t>artner będzie w stanie pokryć koszty utrzymania i eksploatacji produktów projektu.</w:t>
      </w:r>
    </w:p>
    <w:p w14:paraId="18948DED" w14:textId="77777777" w:rsidR="004A44B0" w:rsidRDefault="004A44B0" w:rsidP="004D0859">
      <w:pPr>
        <w:pStyle w:val="Nagwek1"/>
        <w:numPr>
          <w:ilvl w:val="2"/>
          <w:numId w:val="71"/>
        </w:numPr>
        <w:spacing w:after="120" w:line="276" w:lineRule="auto"/>
        <w:ind w:left="709"/>
        <w:rPr>
          <w:rFonts w:ascii="Calibri" w:hAnsi="Calibri"/>
          <w:sz w:val="24"/>
          <w:szCs w:val="24"/>
        </w:rPr>
      </w:pPr>
      <w:bookmarkStart w:id="688" w:name="_Toc241839720"/>
      <w:r>
        <w:rPr>
          <w:rFonts w:ascii="Calibri" w:hAnsi="Calibri"/>
          <w:sz w:val="24"/>
          <w:szCs w:val="24"/>
        </w:rPr>
        <w:t>ZGODNOŚĆ Z POLITYKĄ KONKURENCJI (POMOC PUBLICZNA)</w:t>
      </w:r>
      <w:bookmarkEnd w:id="688"/>
    </w:p>
    <w:p w14:paraId="16157479" w14:textId="2756E9F9" w:rsidR="004A44B0" w:rsidRPr="004B77D6" w:rsidRDefault="004A44B0" w:rsidP="004A44B0">
      <w:pPr>
        <w:pStyle w:val="Tekstpodstawowy22"/>
        <w:spacing w:before="120" w:after="120" w:line="276" w:lineRule="auto"/>
        <w:jc w:val="left"/>
        <w:rPr>
          <w:rFonts w:ascii="Calibri" w:hAnsi="Calibri"/>
          <w:szCs w:val="24"/>
        </w:rPr>
      </w:pPr>
      <w:r>
        <w:rPr>
          <w:rFonts w:ascii="Calibri" w:hAnsi="Calibri"/>
          <w:szCs w:val="24"/>
        </w:rPr>
        <w:t>U</w:t>
      </w:r>
      <w:r w:rsidRPr="004B77D6">
        <w:rPr>
          <w:rFonts w:ascii="Calibri" w:hAnsi="Calibri"/>
          <w:szCs w:val="24"/>
        </w:rPr>
        <w:t>dzielanie pomocy w ramach programu wymaga stosowania zasad pomocy publicznej. Oznacza to, że w przypadku składania wniosków przez beneficjentów prowadzących działalność gospodarczą, przez którą należy rozumieć - zgodnie z orzecznictwem</w:t>
      </w:r>
      <w:r w:rsidR="00DD52F6">
        <w:rPr>
          <w:rFonts w:ascii="Calibri" w:hAnsi="Calibri"/>
          <w:szCs w:val="24"/>
        </w:rPr>
        <w:t xml:space="preserve"> </w:t>
      </w:r>
      <w:r w:rsidRPr="004B77D6">
        <w:rPr>
          <w:rFonts w:ascii="Calibri" w:hAnsi="Calibri"/>
          <w:szCs w:val="24"/>
        </w:rPr>
        <w:t xml:space="preserve">Europejskiego Trybunału Sprawiedliwości - </w:t>
      </w:r>
      <w:r w:rsidRPr="004B77D6">
        <w:rPr>
          <w:rFonts w:ascii="Calibri" w:hAnsi="Calibri"/>
          <w:i/>
          <w:szCs w:val="24"/>
        </w:rPr>
        <w:t xml:space="preserve">oferowanie towarów i usług na rynku także przez podmioty publiczne, </w:t>
      </w:r>
      <w:r w:rsidRPr="004B77D6">
        <w:rPr>
          <w:rFonts w:ascii="Calibri" w:hAnsi="Calibri"/>
          <w:iCs/>
          <w:szCs w:val="24"/>
        </w:rPr>
        <w:t>udzielanie wsparcia musi następować z uwzględnieniem warunków dopuszczalności pomocy publicznej.</w:t>
      </w:r>
      <w:r w:rsidRPr="004B77D6">
        <w:rPr>
          <w:rFonts w:ascii="Calibri" w:hAnsi="Calibri"/>
          <w:i/>
          <w:szCs w:val="24"/>
        </w:rPr>
        <w:t xml:space="preserve"> </w:t>
      </w:r>
      <w:r w:rsidRPr="004B77D6">
        <w:rPr>
          <w:rFonts w:ascii="Calibri" w:hAnsi="Calibri"/>
          <w:szCs w:val="24"/>
        </w:rPr>
        <w:t xml:space="preserve">Decydujące znaczenie dla określenia czy dana działalność jest działalnością gospodarczą, jest stwierdzenie czy mogłaby być, </w:t>
      </w:r>
      <w:r w:rsidRPr="004B77D6">
        <w:rPr>
          <w:rFonts w:ascii="Calibri" w:hAnsi="Calibri"/>
          <w:szCs w:val="24"/>
        </w:rPr>
        <w:br/>
        <w:t xml:space="preserve">co do zasady prowadzona przez podmiot prywatny w celu osiągnięcia zysku. </w:t>
      </w:r>
    </w:p>
    <w:p w14:paraId="794E2343" w14:textId="77777777" w:rsidR="004F4C0C" w:rsidRPr="004B77D6" w:rsidRDefault="004F4C0C" w:rsidP="004F4C0C">
      <w:pPr>
        <w:spacing w:before="120" w:after="120" w:line="276" w:lineRule="auto"/>
        <w:rPr>
          <w:rFonts w:ascii="Calibri" w:hAnsi="Calibri"/>
          <w:szCs w:val="24"/>
        </w:rPr>
      </w:pPr>
      <w:r w:rsidRPr="004B77D6">
        <w:rPr>
          <w:rFonts w:ascii="Calibri" w:hAnsi="Calibri"/>
          <w:szCs w:val="24"/>
        </w:rPr>
        <w:t xml:space="preserve">W punkcie tym należy zamieścić następujące informacje: </w:t>
      </w:r>
    </w:p>
    <w:p w14:paraId="45ABB6C1" w14:textId="77777777" w:rsidR="004F4C0C" w:rsidRDefault="004F4C0C" w:rsidP="007217B6">
      <w:pPr>
        <w:pStyle w:val="Tekstpodstawowy"/>
        <w:numPr>
          <w:ilvl w:val="0"/>
          <w:numId w:val="79"/>
        </w:numPr>
        <w:spacing w:before="120" w:line="276" w:lineRule="auto"/>
        <w:rPr>
          <w:rFonts w:ascii="Calibri" w:hAnsi="Calibri"/>
        </w:rPr>
      </w:pPr>
      <w:r w:rsidRPr="004B77D6">
        <w:rPr>
          <w:rFonts w:ascii="Calibri" w:hAnsi="Calibri"/>
        </w:rPr>
        <w:t>czy beneficjent prowadzi/będzie prowadził działalność gospodarczą i jaki jest/będzie jej zakres?</w:t>
      </w:r>
    </w:p>
    <w:p w14:paraId="6BA37C72" w14:textId="44355BC1" w:rsidR="007217B6" w:rsidRPr="007217B6" w:rsidRDefault="007217B6" w:rsidP="007217B6">
      <w:pPr>
        <w:pStyle w:val="Tekstpodstawowy"/>
        <w:numPr>
          <w:ilvl w:val="0"/>
          <w:numId w:val="79"/>
        </w:numPr>
        <w:spacing w:before="120" w:line="276" w:lineRule="auto"/>
        <w:rPr>
          <w:rFonts w:ascii="Calibri" w:hAnsi="Calibri"/>
        </w:rPr>
      </w:pPr>
      <w:r>
        <w:rPr>
          <w:rFonts w:ascii="Calibri" w:hAnsi="Calibri"/>
        </w:rPr>
        <w:t xml:space="preserve">czy </w:t>
      </w:r>
      <w:r w:rsidRPr="00492FC1">
        <w:rPr>
          <w:rFonts w:ascii="Calibri" w:hAnsi="Calibri"/>
        </w:rPr>
        <w:t>zadanie, którego dotyczy dofinansowanie wiąże się z oferowaniem na rynku towarów lub usług</w:t>
      </w:r>
      <w:r>
        <w:rPr>
          <w:rFonts w:ascii="Calibri" w:hAnsi="Calibri"/>
        </w:rPr>
        <w:t>?</w:t>
      </w:r>
    </w:p>
    <w:p w14:paraId="6DAF71A0" w14:textId="77777777" w:rsidR="004F4C0C" w:rsidRPr="004B77D6" w:rsidRDefault="004F4C0C" w:rsidP="007217B6">
      <w:pPr>
        <w:pStyle w:val="Tekstpodstawowy"/>
        <w:numPr>
          <w:ilvl w:val="0"/>
          <w:numId w:val="79"/>
        </w:numPr>
        <w:spacing w:before="120" w:line="276" w:lineRule="auto"/>
        <w:rPr>
          <w:rFonts w:ascii="Calibri" w:hAnsi="Calibri"/>
        </w:rPr>
      </w:pPr>
      <w:r w:rsidRPr="004B77D6">
        <w:rPr>
          <w:rFonts w:ascii="Calibri" w:hAnsi="Calibri"/>
        </w:rPr>
        <w:t>na jaki cel beneficjent przeznacza/będzie przekazywał środki uzyskane z prowadzonej działalności gospodarczej?</w:t>
      </w:r>
    </w:p>
    <w:p w14:paraId="7EA6E801" w14:textId="410E5E35" w:rsidR="004F4C0C" w:rsidRPr="004B77D6" w:rsidRDefault="004F4C0C" w:rsidP="007217B6">
      <w:pPr>
        <w:pStyle w:val="Tekstpodstawowy"/>
        <w:spacing w:before="120" w:line="276" w:lineRule="auto"/>
        <w:ind w:left="360"/>
        <w:rPr>
          <w:rFonts w:ascii="Calibri" w:hAnsi="Calibri"/>
          <w:u w:val="single"/>
        </w:rPr>
      </w:pPr>
      <w:r w:rsidRPr="004B77D6">
        <w:rPr>
          <w:rFonts w:ascii="Calibri" w:hAnsi="Calibri"/>
          <w:u w:val="single"/>
        </w:rPr>
        <w:t>oraz przeprowadzić test pomocy publicznej</w:t>
      </w:r>
      <w:r w:rsidR="007217B6">
        <w:rPr>
          <w:rFonts w:ascii="Calibri" w:hAnsi="Calibri"/>
          <w:u w:val="single"/>
        </w:rPr>
        <w:t xml:space="preserve"> </w:t>
      </w:r>
      <w:r w:rsidR="007217B6" w:rsidRPr="00492FC1">
        <w:rPr>
          <w:rFonts w:ascii="Calibri" w:hAnsi="Calibri"/>
          <w:b/>
          <w:bCs/>
          <w:u w:val="single"/>
        </w:rPr>
        <w:t xml:space="preserve">odnosząc się </w:t>
      </w:r>
      <w:r w:rsidR="002B20C3">
        <w:rPr>
          <w:rFonts w:ascii="Calibri" w:hAnsi="Calibri"/>
          <w:b/>
          <w:bCs/>
          <w:u w:val="single"/>
        </w:rPr>
        <w:t xml:space="preserve">odrębnie </w:t>
      </w:r>
      <w:r w:rsidR="007217B6" w:rsidRPr="00492FC1">
        <w:rPr>
          <w:rFonts w:ascii="Calibri" w:hAnsi="Calibri"/>
          <w:b/>
          <w:bCs/>
          <w:u w:val="single"/>
        </w:rPr>
        <w:t>do poszczególnych przedsięwzięć</w:t>
      </w:r>
      <w:r w:rsidR="007217B6" w:rsidRPr="00492FC1">
        <w:rPr>
          <w:rFonts w:ascii="Calibri" w:hAnsi="Calibri"/>
          <w:u w:val="single"/>
        </w:rPr>
        <w:t xml:space="preserve"> planowanych do realizacji przez Wnioskodawcę i Partnerów (jeśli dotyczy)</w:t>
      </w:r>
      <w:r w:rsidR="007217B6">
        <w:rPr>
          <w:rFonts w:ascii="Calibri" w:hAnsi="Calibri"/>
          <w:u w:val="single"/>
        </w:rPr>
        <w:t xml:space="preserve"> oraz</w:t>
      </w:r>
      <w:r w:rsidR="007217B6" w:rsidRPr="004B77D6">
        <w:rPr>
          <w:rFonts w:ascii="Calibri" w:hAnsi="Calibri"/>
          <w:u w:val="single"/>
        </w:rPr>
        <w:t xml:space="preserve"> do poniższych warunków:</w:t>
      </w:r>
    </w:p>
    <w:p w14:paraId="641F6952" w14:textId="77777777" w:rsidR="004F4C0C" w:rsidRPr="004B77D6" w:rsidRDefault="004F4C0C" w:rsidP="007217B6">
      <w:pPr>
        <w:numPr>
          <w:ilvl w:val="1"/>
          <w:numId w:val="79"/>
        </w:numPr>
        <w:tabs>
          <w:tab w:val="left" w:pos="900"/>
        </w:tabs>
        <w:spacing w:after="120" w:line="276" w:lineRule="auto"/>
        <w:ind w:left="714" w:hanging="357"/>
        <w:rPr>
          <w:rFonts w:ascii="Calibri" w:hAnsi="Calibri"/>
          <w:szCs w:val="24"/>
        </w:rPr>
      </w:pPr>
      <w:r w:rsidRPr="004B77D6">
        <w:rPr>
          <w:rFonts w:ascii="Calibri" w:hAnsi="Calibri"/>
          <w:i/>
          <w:szCs w:val="24"/>
        </w:rPr>
        <w:t xml:space="preserve">transfer środków publicznych – </w:t>
      </w:r>
      <w:r w:rsidRPr="004B77D6">
        <w:rPr>
          <w:rFonts w:ascii="Calibri" w:hAnsi="Calibri"/>
          <w:szCs w:val="24"/>
        </w:rPr>
        <w:t>wsparcie</w:t>
      </w:r>
      <w:r w:rsidRPr="004B77D6">
        <w:rPr>
          <w:rFonts w:ascii="Calibri" w:hAnsi="Calibri"/>
          <w:i/>
          <w:szCs w:val="24"/>
        </w:rPr>
        <w:t xml:space="preserve"> </w:t>
      </w:r>
      <w:r w:rsidRPr="004B77D6">
        <w:rPr>
          <w:rFonts w:ascii="Calibri" w:hAnsi="Calibri"/>
          <w:szCs w:val="24"/>
        </w:rPr>
        <w:t>przekazywane jest przez państwo lub przy wykorzystaniu zasobów państwowych</w:t>
      </w:r>
      <w:r>
        <w:rPr>
          <w:rFonts w:ascii="Calibri" w:hAnsi="Calibri"/>
          <w:szCs w:val="24"/>
        </w:rPr>
        <w:t>;</w:t>
      </w:r>
    </w:p>
    <w:p w14:paraId="24184B7A" w14:textId="77777777" w:rsidR="004F4C0C" w:rsidRPr="004B77D6" w:rsidRDefault="004F4C0C" w:rsidP="007217B6">
      <w:pPr>
        <w:numPr>
          <w:ilvl w:val="1"/>
          <w:numId w:val="79"/>
        </w:numPr>
        <w:spacing w:after="120" w:line="276" w:lineRule="auto"/>
        <w:ind w:left="714" w:hanging="357"/>
        <w:rPr>
          <w:rFonts w:ascii="Calibri" w:hAnsi="Calibri"/>
          <w:szCs w:val="24"/>
        </w:rPr>
      </w:pPr>
      <w:r w:rsidRPr="004B77D6">
        <w:rPr>
          <w:rFonts w:ascii="Calibri" w:hAnsi="Calibri"/>
          <w:i/>
          <w:szCs w:val="24"/>
        </w:rPr>
        <w:t xml:space="preserve">korzyść ekonomiczna – </w:t>
      </w:r>
      <w:r w:rsidRPr="00633984">
        <w:rPr>
          <w:rFonts w:ascii="Calibri" w:hAnsi="Calibri"/>
          <w:iCs/>
          <w:szCs w:val="24"/>
        </w:rPr>
        <w:t xml:space="preserve">występuje wtedy, gdy przekazywane jest wsparcie </w:t>
      </w:r>
      <w:r w:rsidRPr="00633984">
        <w:rPr>
          <w:rFonts w:ascii="Calibri" w:hAnsi="Calibri"/>
          <w:iCs/>
          <w:szCs w:val="24"/>
        </w:rPr>
        <w:br/>
        <w:t>o charakterze bezzwrotnym, udzielane są pożyczki/kredyty z oprocentowaniem poniżej stopy rynkowej (stopy referencyjnej KE), dokonuje się odroczenia/rozłożenia na raty płatności po stopie niższej od stopy rynkowej</w:t>
      </w:r>
      <w:r>
        <w:rPr>
          <w:rFonts w:ascii="Calibri" w:hAnsi="Calibri"/>
          <w:iCs/>
          <w:szCs w:val="24"/>
        </w:rPr>
        <w:t>;</w:t>
      </w:r>
    </w:p>
    <w:p w14:paraId="5314553F" w14:textId="77777777" w:rsidR="004F4C0C" w:rsidRPr="00492FC1" w:rsidRDefault="004F4C0C" w:rsidP="007217B6">
      <w:pPr>
        <w:numPr>
          <w:ilvl w:val="1"/>
          <w:numId w:val="79"/>
        </w:numPr>
        <w:spacing w:after="120" w:line="276" w:lineRule="auto"/>
        <w:ind w:left="714" w:hanging="357"/>
        <w:rPr>
          <w:rFonts w:ascii="Calibri" w:hAnsi="Calibri"/>
          <w:iCs/>
          <w:szCs w:val="24"/>
        </w:rPr>
      </w:pPr>
      <w:r w:rsidRPr="004B77D6">
        <w:rPr>
          <w:rFonts w:ascii="Calibri" w:hAnsi="Calibri"/>
          <w:i/>
          <w:szCs w:val="24"/>
        </w:rPr>
        <w:t xml:space="preserve">selektywność – </w:t>
      </w:r>
      <w:r w:rsidRPr="00492FC1">
        <w:rPr>
          <w:rFonts w:ascii="Calibri" w:hAnsi="Calibri"/>
          <w:iCs/>
          <w:szCs w:val="24"/>
        </w:rPr>
        <w:t>wsparcie uprzywilejowuje konkretne przedsiębiorstwa lub grupy przedsiębiorstw, bądź produkcję określonych towarów</w:t>
      </w:r>
      <w:r>
        <w:rPr>
          <w:rFonts w:ascii="Calibri" w:hAnsi="Calibri"/>
          <w:iCs/>
          <w:szCs w:val="24"/>
        </w:rPr>
        <w:t>;</w:t>
      </w:r>
    </w:p>
    <w:p w14:paraId="4E172821" w14:textId="77777777" w:rsidR="004F4C0C" w:rsidRPr="00492FC1" w:rsidRDefault="004F4C0C" w:rsidP="007217B6">
      <w:pPr>
        <w:numPr>
          <w:ilvl w:val="1"/>
          <w:numId w:val="79"/>
        </w:numPr>
        <w:spacing w:after="120" w:line="276" w:lineRule="auto"/>
        <w:ind w:left="714" w:hanging="357"/>
        <w:rPr>
          <w:rFonts w:ascii="Calibri" w:hAnsi="Calibri"/>
          <w:iCs/>
          <w:szCs w:val="24"/>
        </w:rPr>
      </w:pPr>
      <w:r w:rsidRPr="004B77D6">
        <w:rPr>
          <w:rFonts w:ascii="Calibri" w:hAnsi="Calibri"/>
          <w:i/>
          <w:szCs w:val="24"/>
        </w:rPr>
        <w:t xml:space="preserve">wpływ na konkurencję – </w:t>
      </w:r>
      <w:r w:rsidRPr="00492FC1">
        <w:rPr>
          <w:rFonts w:ascii="Calibri" w:hAnsi="Calibri"/>
          <w:iCs/>
          <w:szCs w:val="24"/>
        </w:rPr>
        <w:t>wsparcie zakłóca lub grozi zakłóceniem konkurencji</w:t>
      </w:r>
      <w:r>
        <w:rPr>
          <w:rFonts w:ascii="Calibri" w:hAnsi="Calibri"/>
          <w:iCs/>
          <w:szCs w:val="24"/>
        </w:rPr>
        <w:t>;</w:t>
      </w:r>
    </w:p>
    <w:p w14:paraId="696B5673" w14:textId="77777777" w:rsidR="004F4C0C" w:rsidRPr="004B77D6" w:rsidRDefault="004F4C0C" w:rsidP="007217B6">
      <w:pPr>
        <w:numPr>
          <w:ilvl w:val="1"/>
          <w:numId w:val="79"/>
        </w:numPr>
        <w:spacing w:after="120" w:line="276" w:lineRule="auto"/>
        <w:ind w:left="714" w:hanging="357"/>
        <w:rPr>
          <w:rFonts w:ascii="Calibri" w:hAnsi="Calibri"/>
          <w:szCs w:val="24"/>
        </w:rPr>
      </w:pPr>
      <w:r w:rsidRPr="004B77D6">
        <w:rPr>
          <w:rFonts w:ascii="Calibri" w:hAnsi="Calibri"/>
          <w:i/>
          <w:szCs w:val="24"/>
        </w:rPr>
        <w:lastRenderedPageBreak/>
        <w:t xml:space="preserve">wpływ na wymianę handlową – </w:t>
      </w:r>
      <w:r w:rsidRPr="004B77D6">
        <w:rPr>
          <w:rFonts w:ascii="Calibri" w:hAnsi="Calibri"/>
          <w:szCs w:val="24"/>
        </w:rPr>
        <w:t xml:space="preserve">zgodnie z Traktatem WE każda pomoc, która wpływa na wymianę handlową między państwami członkowskimi jest uznawana za niezgodną </w:t>
      </w:r>
      <w:r w:rsidRPr="004B77D6">
        <w:rPr>
          <w:rFonts w:ascii="Calibri" w:hAnsi="Calibri"/>
          <w:szCs w:val="24"/>
        </w:rPr>
        <w:br/>
        <w:t xml:space="preserve">ze wspólnym rynkiem. </w:t>
      </w:r>
    </w:p>
    <w:p w14:paraId="55E05929" w14:textId="77777777" w:rsidR="004F4C0C" w:rsidRDefault="004F4C0C" w:rsidP="004F4C0C">
      <w:pPr>
        <w:spacing w:before="120" w:after="120" w:line="276" w:lineRule="auto"/>
        <w:rPr>
          <w:rFonts w:ascii="Calibri" w:hAnsi="Calibri"/>
          <w:szCs w:val="24"/>
        </w:rPr>
      </w:pPr>
      <w:r w:rsidRPr="004B77D6">
        <w:rPr>
          <w:rFonts w:ascii="Calibri" w:hAnsi="Calibri"/>
          <w:szCs w:val="24"/>
        </w:rPr>
        <w:t xml:space="preserve">Przepisom o pomocy publicznej podlegają wszystkie kategorie podmiotów, które prowadzą działalność gospodarczą, niezależnie od formy prawnej i źródeł finansowania oraz tego </w:t>
      </w:r>
      <w:r w:rsidRPr="004B77D6">
        <w:rPr>
          <w:rFonts w:ascii="Calibri" w:hAnsi="Calibri"/>
          <w:szCs w:val="24"/>
        </w:rPr>
        <w:br/>
        <w:t>czy są nastawione na zysk.</w:t>
      </w:r>
    </w:p>
    <w:p w14:paraId="2EF4CFD1" w14:textId="77777777" w:rsidR="007217B6" w:rsidRPr="00271940" w:rsidRDefault="007217B6" w:rsidP="007217B6">
      <w:pPr>
        <w:spacing w:before="120" w:after="120" w:line="276" w:lineRule="auto"/>
        <w:rPr>
          <w:rFonts w:ascii="Calibri" w:hAnsi="Calibri"/>
        </w:rPr>
      </w:pPr>
      <w:r w:rsidRPr="00271940">
        <w:rPr>
          <w:rFonts w:ascii="Calibri" w:eastAsia="Calibri" w:hAnsi="Calibri" w:cs="Calibri"/>
        </w:rPr>
        <w:t xml:space="preserve">W ramach działań związanych z gospodarką odpadami oraz gospodarką o obiegu zamkniętym, usługi świadczone przez przedsiębiorstwa na rzecz lub w imieniu jednostek samorządu terytorialnego mogą zostać zakwalifikowane jako </w:t>
      </w:r>
      <w:r w:rsidRPr="00271940">
        <w:rPr>
          <w:rFonts w:ascii="Calibri" w:eastAsia="Calibri" w:hAnsi="Calibri" w:cs="Calibri"/>
          <w:b/>
          <w:bCs/>
        </w:rPr>
        <w:t>usługi świadczone w ogólnym interesie gospodarczym (UOIG)</w:t>
      </w:r>
      <w:r w:rsidRPr="00271940">
        <w:rPr>
          <w:rFonts w:ascii="Calibri" w:eastAsia="Calibri" w:hAnsi="Calibri" w:cs="Calibri"/>
        </w:rPr>
        <w:t xml:space="preserve"> w rozumieniu art. 106 ust. 2 Traktatu o funkcjonowaniu Unii Europejskiej (TFUE).</w:t>
      </w:r>
    </w:p>
    <w:p w14:paraId="00D5496A" w14:textId="3E4EECCC" w:rsidR="007217B6" w:rsidRPr="00271940" w:rsidRDefault="007217B6" w:rsidP="007217B6">
      <w:pPr>
        <w:spacing w:after="120" w:line="288" w:lineRule="auto"/>
        <w:contextualSpacing/>
        <w:rPr>
          <w:rFonts w:ascii="Calibri" w:eastAsia="Calibri" w:hAnsi="Calibri" w:cs="Calibri"/>
        </w:rPr>
      </w:pPr>
      <w:r w:rsidRPr="00271940">
        <w:rPr>
          <w:rFonts w:ascii="Calibri" w:eastAsia="Calibri" w:hAnsi="Calibri" w:cs="Calibri"/>
        </w:rPr>
        <w:t xml:space="preserve">Usługi w obszarze odpadów i </w:t>
      </w:r>
      <w:r w:rsidR="00DD52F6">
        <w:rPr>
          <w:rFonts w:ascii="Calibri" w:eastAsia="Calibri" w:hAnsi="Calibri" w:cs="Calibri"/>
        </w:rPr>
        <w:t>gospodarki o obiegu zamkniętym</w:t>
      </w:r>
      <w:r w:rsidRPr="00271940">
        <w:rPr>
          <w:rFonts w:ascii="Calibri" w:eastAsia="Calibri" w:hAnsi="Calibri" w:cs="Calibri"/>
        </w:rPr>
        <w:t xml:space="preserve"> uzyskują status UOIG, jeżeli łącznie spełniają następujące kryteria:</w:t>
      </w:r>
    </w:p>
    <w:p w14:paraId="116E1BBC" w14:textId="1A4F759C" w:rsidR="007217B6" w:rsidRPr="00271940" w:rsidRDefault="007217B6" w:rsidP="00B3702A">
      <w:pPr>
        <w:numPr>
          <w:ilvl w:val="0"/>
          <w:numId w:val="82"/>
        </w:numPr>
        <w:spacing w:after="120" w:line="276" w:lineRule="auto"/>
        <w:contextualSpacing/>
        <w:rPr>
          <w:rFonts w:ascii="Calibri" w:eastAsia="Calibri" w:hAnsi="Calibri" w:cs="Calibri"/>
          <w:lang w:val="x-none"/>
        </w:rPr>
      </w:pPr>
      <w:r w:rsidRPr="00271940">
        <w:rPr>
          <w:rFonts w:ascii="Calibri" w:eastAsia="Calibri" w:hAnsi="Calibri" w:cs="Calibri"/>
          <w:lang w:val="x-none"/>
        </w:rPr>
        <w:t>Przedsiębiorstwo (np. spółka komunalna lub podmiot zewnętrzny) został</w:t>
      </w:r>
      <w:r w:rsidR="008310F6">
        <w:rPr>
          <w:rFonts w:ascii="Calibri" w:eastAsia="Calibri" w:hAnsi="Calibri" w:cs="Calibri"/>
          <w:lang w:val="x-none"/>
        </w:rPr>
        <w:t>o</w:t>
      </w:r>
      <w:r w:rsidRPr="00271940">
        <w:rPr>
          <w:rFonts w:ascii="Calibri" w:eastAsia="Calibri" w:hAnsi="Calibri" w:cs="Calibri"/>
          <w:lang w:val="x-none"/>
        </w:rPr>
        <w:t xml:space="preserve"> zobowiązan</w:t>
      </w:r>
      <w:r w:rsidR="008310F6">
        <w:rPr>
          <w:rFonts w:ascii="Calibri" w:eastAsia="Calibri" w:hAnsi="Calibri" w:cs="Calibri"/>
          <w:lang w:val="x-none"/>
        </w:rPr>
        <w:t>e</w:t>
      </w:r>
      <w:r w:rsidRPr="00271940">
        <w:rPr>
          <w:rFonts w:ascii="Calibri" w:eastAsia="Calibri" w:hAnsi="Calibri" w:cs="Calibri"/>
          <w:lang w:val="x-none"/>
        </w:rPr>
        <w:t xml:space="preserve"> do świadczenia usług publicznych na podstawie formalnego, wiążącego aktu powierzenia (np. umowy koncesji, umowy w trybie zamówień publicznych, decyzji administracyjnej lub uchwały organu stanowiącego JST).</w:t>
      </w:r>
    </w:p>
    <w:p w14:paraId="482AC5ED" w14:textId="77777777" w:rsidR="007217B6" w:rsidRPr="00271940" w:rsidRDefault="007217B6" w:rsidP="00B3702A">
      <w:pPr>
        <w:numPr>
          <w:ilvl w:val="0"/>
          <w:numId w:val="82"/>
        </w:numPr>
        <w:spacing w:after="120" w:line="276" w:lineRule="auto"/>
        <w:contextualSpacing/>
        <w:rPr>
          <w:rFonts w:ascii="Calibri" w:eastAsia="Calibri" w:hAnsi="Calibri" w:cs="Calibri"/>
          <w:lang w:val="x-none"/>
        </w:rPr>
      </w:pPr>
      <w:r w:rsidRPr="00271940">
        <w:rPr>
          <w:rFonts w:ascii="Calibri" w:eastAsia="Calibri" w:hAnsi="Calibri" w:cs="Calibri"/>
          <w:lang w:val="x-none"/>
        </w:rPr>
        <w:t>Akt powierzenia określa w sposób obiektywny i przejrzysty parametry, na podstawie których obliczona jest rekompensata, w tym co najmniej:</w:t>
      </w:r>
    </w:p>
    <w:p w14:paraId="2BF7F725" w14:textId="77777777" w:rsidR="007217B6" w:rsidRPr="00271940" w:rsidRDefault="007217B6" w:rsidP="007217B6">
      <w:pPr>
        <w:numPr>
          <w:ilvl w:val="0"/>
          <w:numId w:val="77"/>
        </w:numPr>
        <w:spacing w:after="120" w:line="276" w:lineRule="auto"/>
        <w:contextualSpacing/>
        <w:rPr>
          <w:rFonts w:ascii="Calibri" w:eastAsia="Calibri" w:hAnsi="Calibri" w:cs="Calibri"/>
          <w:lang w:val="x-none"/>
        </w:rPr>
      </w:pPr>
      <w:r w:rsidRPr="00271940">
        <w:rPr>
          <w:rFonts w:ascii="Calibri" w:eastAsia="Calibri" w:hAnsi="Calibri" w:cs="Calibri"/>
          <w:lang w:val="x-none"/>
        </w:rPr>
        <w:t>treść i czas trwania zobowiązania z tytułu świadczenia usług publicznych,</w:t>
      </w:r>
    </w:p>
    <w:p w14:paraId="62D100BC" w14:textId="77777777" w:rsidR="007217B6" w:rsidRPr="00271940" w:rsidRDefault="007217B6" w:rsidP="007217B6">
      <w:pPr>
        <w:numPr>
          <w:ilvl w:val="0"/>
          <w:numId w:val="77"/>
        </w:numPr>
        <w:spacing w:after="120" w:line="276" w:lineRule="auto"/>
        <w:contextualSpacing/>
        <w:rPr>
          <w:rFonts w:ascii="Calibri" w:eastAsia="Calibri" w:hAnsi="Calibri" w:cs="Calibri"/>
          <w:lang w:val="x-none"/>
        </w:rPr>
      </w:pPr>
      <w:r w:rsidRPr="00271940">
        <w:rPr>
          <w:rFonts w:ascii="Calibri" w:eastAsia="Calibri" w:hAnsi="Calibri" w:cs="Calibri"/>
          <w:lang w:val="x-none"/>
        </w:rPr>
        <w:t>przedsiębiorstwo i w stosownych przypadkach odnośne terytorium,</w:t>
      </w:r>
    </w:p>
    <w:p w14:paraId="07161247" w14:textId="77777777" w:rsidR="007217B6" w:rsidRPr="00271940" w:rsidRDefault="007217B6" w:rsidP="007217B6">
      <w:pPr>
        <w:numPr>
          <w:ilvl w:val="0"/>
          <w:numId w:val="77"/>
        </w:numPr>
        <w:spacing w:after="120" w:line="276" w:lineRule="auto"/>
        <w:contextualSpacing/>
        <w:rPr>
          <w:rFonts w:ascii="Calibri" w:eastAsia="Calibri" w:hAnsi="Calibri" w:cs="Calibri"/>
          <w:lang w:val="x-none"/>
        </w:rPr>
      </w:pPr>
      <w:r w:rsidRPr="00271940">
        <w:rPr>
          <w:rFonts w:ascii="Calibri" w:eastAsia="Calibri" w:hAnsi="Calibri" w:cs="Calibri"/>
          <w:lang w:val="x-none"/>
        </w:rPr>
        <w:t>charakter wszelkich praw wyłącznych lub specjalnych przyznanych przedsiębiorstwu przez odnośny organ,</w:t>
      </w:r>
    </w:p>
    <w:p w14:paraId="74C7E96F" w14:textId="77777777" w:rsidR="007217B6" w:rsidRPr="00271940" w:rsidRDefault="007217B6" w:rsidP="007217B6">
      <w:pPr>
        <w:numPr>
          <w:ilvl w:val="0"/>
          <w:numId w:val="77"/>
        </w:numPr>
        <w:spacing w:after="120" w:line="276" w:lineRule="auto"/>
        <w:contextualSpacing/>
        <w:rPr>
          <w:rFonts w:ascii="Calibri" w:eastAsia="Calibri" w:hAnsi="Calibri" w:cs="Calibri"/>
          <w:lang w:val="x-none"/>
        </w:rPr>
      </w:pPr>
      <w:r w:rsidRPr="00271940">
        <w:rPr>
          <w:rFonts w:ascii="Calibri" w:eastAsia="Calibri" w:hAnsi="Calibri" w:cs="Calibri"/>
          <w:lang w:val="x-none"/>
        </w:rPr>
        <w:t>parametry służące do obliczania, kontrolowania i przeglądu kwot rekompensaty,</w:t>
      </w:r>
    </w:p>
    <w:p w14:paraId="345337A5" w14:textId="77777777" w:rsidR="007217B6" w:rsidRPr="00271940" w:rsidRDefault="007217B6" w:rsidP="007217B6">
      <w:pPr>
        <w:numPr>
          <w:ilvl w:val="0"/>
          <w:numId w:val="77"/>
        </w:numPr>
        <w:spacing w:after="120" w:line="276" w:lineRule="auto"/>
        <w:contextualSpacing/>
        <w:rPr>
          <w:rFonts w:ascii="Calibri" w:eastAsia="Calibri" w:hAnsi="Calibri" w:cs="Calibri"/>
          <w:lang w:val="x-none"/>
        </w:rPr>
      </w:pPr>
      <w:r w:rsidRPr="00271940">
        <w:rPr>
          <w:rFonts w:ascii="Calibri" w:eastAsia="Calibri" w:hAnsi="Calibri" w:cs="Calibri"/>
          <w:lang w:val="x-none"/>
        </w:rPr>
        <w:t>ustalenia dotyczące unikania nadwyżki rekompensaty i jej zwrotu.</w:t>
      </w:r>
    </w:p>
    <w:p w14:paraId="778A7334" w14:textId="77777777" w:rsidR="007217B6" w:rsidRPr="00271940" w:rsidRDefault="007217B6" w:rsidP="007217B6">
      <w:pPr>
        <w:spacing w:after="120"/>
        <w:ind w:left="360"/>
        <w:contextualSpacing/>
        <w:rPr>
          <w:rFonts w:ascii="Calibri" w:hAnsi="Calibri" w:cs="Calibri"/>
        </w:rPr>
      </w:pPr>
      <w:r w:rsidRPr="00271940">
        <w:rPr>
          <w:rFonts w:ascii="Calibri" w:hAnsi="Calibri" w:cs="Calibri"/>
        </w:rPr>
        <w:t xml:space="preserve">Parametry służące jako podstawa do obliczenia rekompensaty </w:t>
      </w:r>
      <w:r w:rsidRPr="00271940">
        <w:rPr>
          <w:rFonts w:ascii="Calibri" w:hAnsi="Calibri" w:cs="Calibri"/>
          <w:u w:val="single"/>
        </w:rPr>
        <w:t>muszą być określone z wyprzedzeniem</w:t>
      </w:r>
      <w:r w:rsidRPr="00271940">
        <w:rPr>
          <w:rFonts w:ascii="Calibri" w:hAnsi="Calibri" w:cs="Calibri"/>
        </w:rPr>
        <w:t>.</w:t>
      </w:r>
    </w:p>
    <w:p w14:paraId="15728FEC" w14:textId="77777777" w:rsidR="007217B6" w:rsidRPr="00271940" w:rsidRDefault="007217B6" w:rsidP="00B3702A">
      <w:pPr>
        <w:numPr>
          <w:ilvl w:val="0"/>
          <w:numId w:val="82"/>
        </w:numPr>
        <w:spacing w:after="120" w:line="276" w:lineRule="auto"/>
        <w:contextualSpacing/>
        <w:rPr>
          <w:rFonts w:ascii="Calibri" w:eastAsia="Calibri" w:hAnsi="Calibri" w:cs="Calibri"/>
          <w:lang w:val="x-none"/>
        </w:rPr>
      </w:pPr>
      <w:r w:rsidRPr="00271940">
        <w:rPr>
          <w:rFonts w:ascii="Calibri" w:eastAsia="Calibri" w:hAnsi="Calibri" w:cs="Calibri"/>
          <w:lang w:val="x-none"/>
        </w:rPr>
        <w:t xml:space="preserve">Rekompensata nie przekracza kwoty niezbędnej do pokrycia całości lub części kosztów poniesionych w celu realizacji usługi w ogólnym interesie gospodarczym, przy uwzględnieniu przychodów oraz rozsądnego zysku. </w:t>
      </w:r>
    </w:p>
    <w:p w14:paraId="6708184A" w14:textId="77777777" w:rsidR="007217B6" w:rsidRPr="00271940" w:rsidRDefault="007217B6" w:rsidP="00B3702A">
      <w:pPr>
        <w:numPr>
          <w:ilvl w:val="0"/>
          <w:numId w:val="82"/>
        </w:numPr>
        <w:spacing w:after="120" w:line="276" w:lineRule="auto"/>
        <w:contextualSpacing/>
        <w:rPr>
          <w:rFonts w:ascii="Calibri" w:eastAsia="Calibri" w:hAnsi="Calibri" w:cs="Calibri"/>
          <w:lang w:val="x-none"/>
        </w:rPr>
      </w:pPr>
      <w:r w:rsidRPr="00271940">
        <w:rPr>
          <w:rFonts w:ascii="Calibri" w:eastAsia="Calibri" w:hAnsi="Calibri" w:cs="Calibri"/>
          <w:lang w:val="x-none"/>
        </w:rPr>
        <w:t xml:space="preserve">Jeżeli wybór przedsiębiorstwa nie został dokonany w ramach procedury udzielania zamówień publicznych, poziom rekompensaty powinien zostać ustalony na podstawie analizy kosztów, jakie przeciętne, prawidłowo zarządzane i odpowiednio wyposażone przedsiębiorstwo poniosłoby na wykonanie usługi, przy uwzględnieniu przychodów oraz rozsądnego zysku.  </w:t>
      </w:r>
    </w:p>
    <w:p w14:paraId="3C98BAA1" w14:textId="77777777" w:rsidR="007217B6" w:rsidRPr="00271940" w:rsidRDefault="007217B6" w:rsidP="007217B6">
      <w:pPr>
        <w:spacing w:after="120" w:line="276" w:lineRule="auto"/>
        <w:contextualSpacing/>
        <w:rPr>
          <w:rFonts w:ascii="Calibri" w:eastAsia="Calibri" w:hAnsi="Calibri" w:cs="Calibri"/>
        </w:rPr>
      </w:pPr>
      <w:r w:rsidRPr="00271940">
        <w:rPr>
          <w:rFonts w:ascii="Calibri" w:eastAsia="Calibri" w:hAnsi="Calibri" w:cs="Calibri"/>
        </w:rPr>
        <w:t xml:space="preserve">Środki przeznaczone na realizację projektów w ramach działania </w:t>
      </w:r>
      <w:r w:rsidRPr="00271940">
        <w:rPr>
          <w:rFonts w:ascii="Calibri" w:eastAsia="Calibri" w:hAnsi="Calibri" w:cs="Calibri"/>
          <w:i/>
          <w:iCs/>
        </w:rPr>
        <w:t>2.5 Odpady i gospodarka o obiegu zamkniętym</w:t>
      </w:r>
      <w:r w:rsidRPr="00271940">
        <w:rPr>
          <w:rFonts w:ascii="Calibri" w:eastAsia="Calibri" w:hAnsi="Calibri" w:cs="Calibri"/>
        </w:rPr>
        <w:t>, przekazywane na rzecz przedsiębiorstw realizujących wyżej opisane usługi w ogólnym interesie gospodarczym, mogą stanowić pomoc publiczną w rozumieniu art. 107 ust. 1 Traktatu o funkcjonowaniu Unii Europejskiej (TFUE).</w:t>
      </w:r>
    </w:p>
    <w:p w14:paraId="4A3C93F8" w14:textId="77777777" w:rsidR="007217B6" w:rsidRPr="00271940" w:rsidRDefault="007217B6" w:rsidP="007217B6">
      <w:pPr>
        <w:spacing w:after="120" w:line="276" w:lineRule="auto"/>
        <w:contextualSpacing/>
        <w:rPr>
          <w:rFonts w:ascii="Calibri" w:eastAsia="Calibri" w:hAnsi="Calibri" w:cs="Calibri"/>
        </w:rPr>
      </w:pPr>
    </w:p>
    <w:p w14:paraId="11057700" w14:textId="77777777" w:rsidR="007217B6" w:rsidRPr="00271940" w:rsidRDefault="007217B6" w:rsidP="007217B6">
      <w:pPr>
        <w:spacing w:after="120" w:line="276" w:lineRule="auto"/>
        <w:contextualSpacing/>
        <w:rPr>
          <w:rFonts w:ascii="Calibri" w:eastAsia="Calibri" w:hAnsi="Calibri" w:cs="Calibri"/>
        </w:rPr>
      </w:pPr>
      <w:r w:rsidRPr="00271940">
        <w:rPr>
          <w:rFonts w:ascii="Calibri" w:eastAsia="Calibri" w:hAnsi="Calibri" w:cs="Calibri"/>
        </w:rPr>
        <w:lastRenderedPageBreak/>
        <w:t>Wsparcie to kwalifikuje się jako pomoc publiczna, jeśli beneficjent (spółka komunalna lub podmiot zewnętrzny realizujący zadanie na rzecz JST) uzyskuje korzyść ekonomiczną selektywną, która zakłóca lub grozi zakłóceniem konkurencji oraz wpływa na wymianę handlową między państwami członkowskimi UE.</w:t>
      </w:r>
    </w:p>
    <w:p w14:paraId="19B2EFAD" w14:textId="77777777" w:rsidR="007217B6" w:rsidRPr="00271940" w:rsidRDefault="007217B6" w:rsidP="007217B6">
      <w:pPr>
        <w:spacing w:after="120" w:line="276" w:lineRule="auto"/>
        <w:contextualSpacing/>
        <w:rPr>
          <w:rFonts w:ascii="Calibri" w:eastAsia="Calibri" w:hAnsi="Calibri" w:cs="Calibri"/>
        </w:rPr>
      </w:pPr>
      <w:r w:rsidRPr="00271940">
        <w:rPr>
          <w:rFonts w:ascii="Calibri" w:eastAsia="Calibri" w:hAnsi="Calibri" w:cs="Calibri"/>
        </w:rPr>
        <w:tab/>
      </w:r>
    </w:p>
    <w:p w14:paraId="00A18DED" w14:textId="77777777" w:rsidR="007217B6" w:rsidRPr="00271940" w:rsidRDefault="007217B6" w:rsidP="007217B6">
      <w:pPr>
        <w:spacing w:after="120" w:line="276" w:lineRule="auto"/>
        <w:contextualSpacing/>
        <w:rPr>
          <w:rFonts w:ascii="Calibri" w:eastAsia="Calibri" w:hAnsi="Calibri" w:cs="Calibri"/>
        </w:rPr>
      </w:pPr>
      <w:r w:rsidRPr="00271940">
        <w:rPr>
          <w:rFonts w:ascii="Calibri" w:eastAsia="Calibri" w:hAnsi="Calibri" w:cs="Calibri"/>
        </w:rPr>
        <w:t xml:space="preserve">Jeżeli mechanizm dofinansowania projektu spełnia kryteria pomocy publicznej, a wsparcie nie jest traktowane jako skompensowana rekompensata wolna od pomocy (zgodnie z orzecznictwem w sprawie </w:t>
      </w:r>
      <w:proofErr w:type="spellStart"/>
      <w:r w:rsidRPr="00271940">
        <w:rPr>
          <w:rFonts w:ascii="Calibri" w:eastAsia="Calibri" w:hAnsi="Calibri" w:cs="Calibri"/>
          <w:i/>
          <w:iCs/>
        </w:rPr>
        <w:t>Altmark</w:t>
      </w:r>
      <w:proofErr w:type="spellEnd"/>
      <w:r w:rsidRPr="00271940">
        <w:rPr>
          <w:rFonts w:ascii="Calibri" w:eastAsia="Calibri" w:hAnsi="Calibri" w:cs="Calibri"/>
          <w:i/>
          <w:iCs/>
        </w:rPr>
        <w:t xml:space="preserve"> Trans</w:t>
      </w:r>
      <w:r w:rsidRPr="00271940">
        <w:rPr>
          <w:rFonts w:ascii="Calibri" w:eastAsia="Calibri" w:hAnsi="Calibri" w:cs="Calibri"/>
        </w:rPr>
        <w:t xml:space="preserve">), zastosowanie znajduje Rozporządzenie Komisji (UE) 2023/2832 z dnia 13 grudnia 2023 r. w sprawie stosowania art. 107 i 108 Traktatu o funkcjonowaniu Unii Europejskiej do pomocy </w:t>
      </w:r>
      <w:r w:rsidRPr="00271940">
        <w:rPr>
          <w:rFonts w:ascii="Calibri" w:eastAsia="Calibri" w:hAnsi="Calibri" w:cs="Calibri"/>
          <w:i/>
          <w:iCs/>
        </w:rPr>
        <w:t xml:space="preserve">de </w:t>
      </w:r>
      <w:proofErr w:type="spellStart"/>
      <w:r w:rsidRPr="00271940">
        <w:rPr>
          <w:rFonts w:ascii="Calibri" w:eastAsia="Calibri" w:hAnsi="Calibri" w:cs="Calibri"/>
          <w:i/>
          <w:iCs/>
        </w:rPr>
        <w:t>minimis</w:t>
      </w:r>
      <w:proofErr w:type="spellEnd"/>
      <w:r w:rsidRPr="00271940">
        <w:rPr>
          <w:rFonts w:ascii="Calibri" w:eastAsia="Calibri" w:hAnsi="Calibri" w:cs="Calibri"/>
        </w:rPr>
        <w:t xml:space="preserve"> przyznawanej przedsiębiorstwom wykonującym usługi świadczone w ogólnym interesie gospodarczym.</w:t>
      </w:r>
    </w:p>
    <w:p w14:paraId="28001473" w14:textId="1E49A90A" w:rsidR="004A44B0" w:rsidRPr="004B77D6" w:rsidRDefault="004A44B0" w:rsidP="004A44B0">
      <w:pPr>
        <w:spacing w:before="120" w:after="120" w:line="276" w:lineRule="auto"/>
        <w:rPr>
          <w:rFonts w:ascii="Calibri" w:hAnsi="Calibri"/>
          <w:szCs w:val="24"/>
        </w:rPr>
      </w:pPr>
    </w:p>
    <w:p w14:paraId="16806629" w14:textId="1FC93B0F" w:rsidR="009251AB" w:rsidRDefault="004A44B0" w:rsidP="004D0859">
      <w:pPr>
        <w:pStyle w:val="Nagwek1"/>
        <w:numPr>
          <w:ilvl w:val="2"/>
          <w:numId w:val="71"/>
        </w:numPr>
        <w:tabs>
          <w:tab w:val="num" w:pos="1277"/>
        </w:tabs>
        <w:spacing w:before="120" w:after="120" w:line="276" w:lineRule="auto"/>
        <w:ind w:left="709" w:hanging="709"/>
        <w:rPr>
          <w:rFonts w:ascii="Calibri" w:hAnsi="Calibri"/>
          <w:sz w:val="24"/>
          <w:szCs w:val="24"/>
        </w:rPr>
      </w:pPr>
      <w:bookmarkStart w:id="689" w:name="_Toc241839721"/>
      <w:r w:rsidRPr="004B77D6">
        <w:rPr>
          <w:rFonts w:ascii="Calibri" w:hAnsi="Calibri"/>
          <w:sz w:val="24"/>
          <w:szCs w:val="24"/>
        </w:rPr>
        <w:t>ZASTOSOWANE UPROSZCZONE METODY ROZLICZANIA WYDATKÓW</w:t>
      </w:r>
      <w:bookmarkEnd w:id="689"/>
    </w:p>
    <w:p w14:paraId="6144A97F" w14:textId="77777777" w:rsidR="00704C3D" w:rsidRDefault="00704C3D" w:rsidP="00A21818">
      <w:pPr>
        <w:spacing w:line="276" w:lineRule="auto"/>
        <w:rPr>
          <w:rFonts w:ascii="Calibri" w:hAnsi="Calibri"/>
          <w:szCs w:val="24"/>
        </w:rPr>
      </w:pPr>
      <w:r w:rsidRPr="007D0ACD">
        <w:rPr>
          <w:rFonts w:ascii="Calibri" w:hAnsi="Calibri"/>
          <w:szCs w:val="24"/>
        </w:rPr>
        <w:t>W przypadku gdy w projekcie występują wydatki rozliczane na podstawie uproszczonych metod rozliczania wydatków należy w tabeli F.1 wskazać ich wartość. Zwraca się uwagę na zachowanie zgodności z zapisami zawartymi w Regulaminie wyboru projektów. W punkcie F.2 należy przedstawić wykaz kosztów pośrednich występujących w projekcie.</w:t>
      </w:r>
    </w:p>
    <w:p w14:paraId="037F8A0B" w14:textId="77777777" w:rsidR="009251AB" w:rsidRPr="009251AB" w:rsidRDefault="009251AB" w:rsidP="009251AB">
      <w:pPr>
        <w:rPr>
          <w:lang w:val="x-none"/>
        </w:rPr>
      </w:pPr>
    </w:p>
    <w:p w14:paraId="3F2057BA" w14:textId="6EEC4C59" w:rsidR="004A44B0" w:rsidRPr="009251AB" w:rsidRDefault="009251AB" w:rsidP="009251AB">
      <w:pPr>
        <w:pStyle w:val="Nagwek1"/>
        <w:numPr>
          <w:ilvl w:val="0"/>
          <w:numId w:val="0"/>
        </w:numPr>
        <w:tabs>
          <w:tab w:val="num" w:pos="1277"/>
        </w:tabs>
        <w:spacing w:before="120" w:after="120" w:line="276" w:lineRule="auto"/>
        <w:ind w:left="709" w:hanging="709"/>
        <w:rPr>
          <w:rFonts w:ascii="Calibri" w:hAnsi="Calibri"/>
          <w:sz w:val="24"/>
          <w:szCs w:val="24"/>
        </w:rPr>
      </w:pPr>
      <w:bookmarkStart w:id="690" w:name="_Toc241839722"/>
      <w:r w:rsidRPr="009251AB">
        <w:rPr>
          <w:rFonts w:ascii="Calibri" w:hAnsi="Calibri"/>
          <w:sz w:val="24"/>
          <w:szCs w:val="24"/>
        </w:rPr>
        <w:t xml:space="preserve">1.2.9. </w:t>
      </w:r>
      <w:r w:rsidR="004A44B0" w:rsidRPr="009251AB">
        <w:rPr>
          <w:rFonts w:ascii="Calibri" w:hAnsi="Calibri"/>
          <w:sz w:val="24"/>
          <w:szCs w:val="24"/>
        </w:rPr>
        <w:t>SPECYFICZNE ANALIZY DLA DANEGO RODZAJU PROJEKTU/SEKTORA</w:t>
      </w:r>
      <w:bookmarkEnd w:id="690"/>
    </w:p>
    <w:p w14:paraId="5EE0D98B" w14:textId="4561D29D" w:rsidR="00704C3D" w:rsidRPr="00406F0F" w:rsidRDefault="00406F0F" w:rsidP="00A21818">
      <w:pPr>
        <w:spacing w:line="276" w:lineRule="auto"/>
        <w:rPr>
          <w:rFonts w:ascii="Calibri" w:hAnsi="Calibri"/>
          <w:bCs/>
          <w:szCs w:val="24"/>
        </w:rPr>
      </w:pPr>
      <w:r w:rsidRPr="00593DAA">
        <w:rPr>
          <w:rFonts w:ascii="Calibri" w:hAnsi="Calibri"/>
          <w:bCs/>
          <w:szCs w:val="24"/>
        </w:rPr>
        <w:t>W przypadku realizacji projektów, w których dofinansowanie (lub jego część) będzie stanowiło element rekompensaty przyznawanej na świadczenie usług w ogólnym interesie gospodarczym w zakresie gospodarowania odpadami</w:t>
      </w:r>
      <w:r w:rsidR="00DD52F6">
        <w:rPr>
          <w:rFonts w:ascii="Calibri" w:hAnsi="Calibri"/>
          <w:bCs/>
          <w:szCs w:val="24"/>
        </w:rPr>
        <w:t xml:space="preserve"> i gospodarki o obiegu zamkniętym</w:t>
      </w:r>
      <w:r w:rsidRPr="00593DAA">
        <w:rPr>
          <w:rFonts w:ascii="Calibri" w:hAnsi="Calibri"/>
          <w:bCs/>
          <w:szCs w:val="24"/>
        </w:rPr>
        <w:t>, w punkcie tym należy odnieść się do instrukcji wskazanej w SWI.</w:t>
      </w:r>
    </w:p>
    <w:p w14:paraId="5E590DAD" w14:textId="1EC72F57" w:rsidR="004A44B0" w:rsidRPr="004B77D6" w:rsidRDefault="004A44B0" w:rsidP="004A44B0">
      <w:pPr>
        <w:pStyle w:val="Nagwek1"/>
        <w:numPr>
          <w:ilvl w:val="0"/>
          <w:numId w:val="0"/>
        </w:numPr>
        <w:spacing w:after="240"/>
        <w:ind w:left="567" w:hanging="567"/>
        <w:rPr>
          <w:rFonts w:asciiTheme="minorHAnsi" w:hAnsiTheme="minorHAnsi" w:cstheme="minorHAnsi"/>
          <w:b w:val="0"/>
          <w:sz w:val="24"/>
          <w:szCs w:val="24"/>
        </w:rPr>
      </w:pPr>
      <w:bookmarkStart w:id="691" w:name="_Toc241839723"/>
      <w:r w:rsidRPr="004B77D6">
        <w:rPr>
          <w:rFonts w:asciiTheme="minorHAnsi" w:hAnsiTheme="minorHAnsi" w:cstheme="minorHAnsi"/>
          <w:sz w:val="24"/>
          <w:szCs w:val="24"/>
        </w:rPr>
        <w:t>1.</w:t>
      </w:r>
      <w:r w:rsidR="009251AB">
        <w:rPr>
          <w:rFonts w:asciiTheme="minorHAnsi" w:hAnsiTheme="minorHAnsi" w:cstheme="minorHAnsi"/>
          <w:sz w:val="24"/>
          <w:szCs w:val="24"/>
        </w:rPr>
        <w:t>2</w:t>
      </w:r>
      <w:r w:rsidRPr="004B77D6">
        <w:rPr>
          <w:rFonts w:asciiTheme="minorHAnsi" w:hAnsiTheme="minorHAnsi" w:cstheme="minorHAnsi"/>
          <w:sz w:val="24"/>
          <w:szCs w:val="24"/>
        </w:rPr>
        <w:t>.1</w:t>
      </w:r>
      <w:r>
        <w:rPr>
          <w:rFonts w:asciiTheme="minorHAnsi" w:hAnsiTheme="minorHAnsi" w:cstheme="minorHAnsi"/>
          <w:sz w:val="24"/>
          <w:szCs w:val="24"/>
        </w:rPr>
        <w:t>0</w:t>
      </w:r>
      <w:r w:rsidRPr="004B77D6">
        <w:rPr>
          <w:rFonts w:asciiTheme="minorHAnsi" w:hAnsiTheme="minorHAnsi" w:cstheme="minorHAnsi"/>
          <w:sz w:val="24"/>
          <w:szCs w:val="24"/>
        </w:rPr>
        <w:t xml:space="preserve">. ODNIESIENIE DO KRYTERIÓW </w:t>
      </w:r>
      <w:r w:rsidRPr="004B77D6">
        <w:rPr>
          <w:rFonts w:asciiTheme="minorHAnsi" w:hAnsiTheme="minorHAnsi" w:cstheme="minorHAnsi"/>
          <w:sz w:val="24"/>
          <w:szCs w:val="24"/>
          <w:lang w:val="pl-PL"/>
        </w:rPr>
        <w:t>WYBORU</w:t>
      </w:r>
      <w:r w:rsidRPr="004B77D6">
        <w:rPr>
          <w:rFonts w:asciiTheme="minorHAnsi" w:hAnsiTheme="minorHAnsi" w:cstheme="minorHAnsi"/>
          <w:sz w:val="24"/>
          <w:szCs w:val="24"/>
        </w:rPr>
        <w:t xml:space="preserve"> PROJEKTU</w:t>
      </w:r>
      <w:bookmarkEnd w:id="691"/>
    </w:p>
    <w:p w14:paraId="196E94D2" w14:textId="0D0DBF36" w:rsidR="004A44B0" w:rsidRPr="004B77D6" w:rsidRDefault="004A44B0" w:rsidP="00A21818">
      <w:pPr>
        <w:spacing w:after="120" w:line="276" w:lineRule="auto"/>
        <w:rPr>
          <w:rFonts w:asciiTheme="minorHAnsi" w:hAnsiTheme="minorHAnsi" w:cs="Arial"/>
          <w:szCs w:val="24"/>
        </w:rPr>
      </w:pPr>
      <w:r w:rsidRPr="004B77D6">
        <w:rPr>
          <w:rFonts w:asciiTheme="minorHAnsi" w:hAnsiTheme="minorHAnsi" w:cs="Arial"/>
          <w:szCs w:val="24"/>
        </w:rPr>
        <w:t xml:space="preserve">W niniejszym rozdziale należy odnieść się do kryteriów merytorycznych oceny projektu określonych dla działania </w:t>
      </w:r>
      <w:r w:rsidR="002961A3">
        <w:rPr>
          <w:rFonts w:asciiTheme="minorHAnsi" w:hAnsiTheme="minorHAnsi" w:cstheme="minorHAnsi"/>
          <w:iCs/>
          <w:szCs w:val="24"/>
        </w:rPr>
        <w:t>2</w:t>
      </w:r>
      <w:r>
        <w:rPr>
          <w:rFonts w:asciiTheme="minorHAnsi" w:hAnsiTheme="minorHAnsi" w:cstheme="minorHAnsi"/>
          <w:iCs/>
          <w:szCs w:val="24"/>
        </w:rPr>
        <w:t>.</w:t>
      </w:r>
      <w:r w:rsidR="002961A3">
        <w:rPr>
          <w:rFonts w:asciiTheme="minorHAnsi" w:hAnsiTheme="minorHAnsi" w:cstheme="minorHAnsi"/>
          <w:iCs/>
          <w:szCs w:val="24"/>
        </w:rPr>
        <w:t>5</w:t>
      </w:r>
      <w:r>
        <w:rPr>
          <w:rFonts w:asciiTheme="minorHAnsi" w:hAnsiTheme="minorHAnsi" w:cstheme="minorHAnsi"/>
          <w:iCs/>
          <w:szCs w:val="24"/>
        </w:rPr>
        <w:t xml:space="preserve"> </w:t>
      </w:r>
      <w:r w:rsidR="002961A3" w:rsidRPr="002961A3">
        <w:rPr>
          <w:rFonts w:asciiTheme="minorHAnsi" w:hAnsiTheme="minorHAnsi" w:cstheme="minorHAnsi"/>
          <w:i/>
          <w:szCs w:val="24"/>
        </w:rPr>
        <w:t>Odpady i gospodarka o obiegu zamkniętym</w:t>
      </w:r>
      <w:r w:rsidRPr="008E4558">
        <w:rPr>
          <w:rFonts w:asciiTheme="minorHAnsi" w:hAnsiTheme="minorHAnsi" w:cstheme="minorHAnsi"/>
          <w:i/>
          <w:szCs w:val="24"/>
        </w:rPr>
        <w:t xml:space="preserve"> </w:t>
      </w:r>
      <w:r w:rsidRPr="00187F1C">
        <w:rPr>
          <w:rFonts w:asciiTheme="minorHAnsi" w:hAnsiTheme="minorHAnsi" w:cstheme="minorHAnsi"/>
          <w:i/>
          <w:szCs w:val="24"/>
        </w:rPr>
        <w:t>FEO 2021</w:t>
      </w:r>
      <w:r>
        <w:rPr>
          <w:rFonts w:asciiTheme="minorHAnsi" w:hAnsiTheme="minorHAnsi" w:cstheme="minorHAnsi"/>
          <w:i/>
          <w:szCs w:val="24"/>
        </w:rPr>
        <w:t>-</w:t>
      </w:r>
      <w:r w:rsidRPr="00187F1C">
        <w:rPr>
          <w:rFonts w:asciiTheme="minorHAnsi" w:hAnsiTheme="minorHAnsi" w:cstheme="minorHAnsi"/>
          <w:i/>
          <w:szCs w:val="24"/>
        </w:rPr>
        <w:t xml:space="preserve"> 2027</w:t>
      </w:r>
      <w:r w:rsidRPr="004B77D6">
        <w:rPr>
          <w:rFonts w:asciiTheme="minorHAnsi" w:hAnsiTheme="minorHAnsi" w:cs="Arial"/>
          <w:i/>
          <w:szCs w:val="24"/>
        </w:rPr>
        <w:t xml:space="preserve">, </w:t>
      </w:r>
      <w:r w:rsidRPr="004B77D6">
        <w:rPr>
          <w:rFonts w:asciiTheme="minorHAnsi" w:hAnsiTheme="minorHAnsi" w:cs="Arial"/>
          <w:szCs w:val="24"/>
        </w:rPr>
        <w:t>stanowiących</w:t>
      </w:r>
      <w:r w:rsidRPr="004B77D6">
        <w:rPr>
          <w:rFonts w:asciiTheme="minorHAnsi" w:hAnsiTheme="minorHAnsi" w:cs="Arial"/>
          <w:i/>
          <w:szCs w:val="24"/>
        </w:rPr>
        <w:t xml:space="preserve"> z</w:t>
      </w:r>
      <w:r>
        <w:rPr>
          <w:rFonts w:asciiTheme="minorHAnsi" w:hAnsiTheme="minorHAnsi" w:cs="Arial"/>
          <w:szCs w:val="24"/>
        </w:rPr>
        <w:t>ałącznik nr 8</w:t>
      </w:r>
      <w:r w:rsidRPr="004B77D6">
        <w:rPr>
          <w:rFonts w:asciiTheme="minorHAnsi" w:hAnsiTheme="minorHAnsi" w:cs="Arial"/>
          <w:szCs w:val="24"/>
        </w:rPr>
        <w:t xml:space="preserve"> do </w:t>
      </w:r>
      <w:r w:rsidRPr="004B77D6">
        <w:rPr>
          <w:rFonts w:asciiTheme="minorHAnsi" w:hAnsiTheme="minorHAnsi"/>
          <w:i/>
          <w:color w:val="000000"/>
          <w:szCs w:val="24"/>
        </w:rPr>
        <w:t xml:space="preserve">Regulaminu </w:t>
      </w:r>
      <w:r w:rsidRPr="004B77D6">
        <w:rPr>
          <w:rFonts w:ascii="Calibri" w:hAnsi="Calibri"/>
          <w:i/>
          <w:szCs w:val="24"/>
        </w:rPr>
        <w:t>wyboru projektów</w:t>
      </w:r>
      <w:r w:rsidRPr="004B77D6">
        <w:rPr>
          <w:rFonts w:asciiTheme="minorHAnsi" w:hAnsiTheme="minorHAnsi"/>
          <w:i/>
          <w:color w:val="000000"/>
          <w:szCs w:val="24"/>
        </w:rPr>
        <w:t>.</w:t>
      </w:r>
      <w:r w:rsidRPr="004B77D6">
        <w:rPr>
          <w:rFonts w:asciiTheme="minorHAnsi" w:hAnsiTheme="minorHAnsi" w:cs="Arial"/>
          <w:szCs w:val="24"/>
        </w:rPr>
        <w:t xml:space="preserve"> W</w:t>
      </w:r>
      <w:r>
        <w:rPr>
          <w:rFonts w:asciiTheme="minorHAnsi" w:hAnsiTheme="minorHAnsi" w:cs="Arial"/>
          <w:szCs w:val="24"/>
        </w:rPr>
        <w:t> </w:t>
      </w:r>
      <w:r w:rsidRPr="004B77D6">
        <w:rPr>
          <w:rFonts w:asciiTheme="minorHAnsi" w:hAnsiTheme="minorHAnsi" w:cs="Arial"/>
          <w:szCs w:val="24"/>
        </w:rPr>
        <w:t>przypadku gdy kryteri</w:t>
      </w:r>
      <w:r>
        <w:rPr>
          <w:rFonts w:asciiTheme="minorHAnsi" w:hAnsiTheme="minorHAnsi" w:cs="Arial"/>
          <w:szCs w:val="24"/>
        </w:rPr>
        <w:t>a odnoszą się do wartości liczbowych i</w:t>
      </w:r>
      <w:r w:rsidRPr="004B77D6">
        <w:rPr>
          <w:rFonts w:asciiTheme="minorHAnsi" w:hAnsiTheme="minorHAnsi" w:cs="Arial"/>
          <w:szCs w:val="24"/>
        </w:rPr>
        <w:t xml:space="preserve"> wynikają z dokonanych obliczeń należy zaprezentować szczegółową </w:t>
      </w:r>
      <w:r w:rsidRPr="004B77D6">
        <w:rPr>
          <w:rFonts w:asciiTheme="minorHAnsi" w:hAnsiTheme="minorHAnsi" w:cs="Arial"/>
          <w:szCs w:val="24"/>
          <w:u w:val="single"/>
        </w:rPr>
        <w:t>metodologię</w:t>
      </w:r>
      <w:r w:rsidRPr="004B77D6">
        <w:rPr>
          <w:rFonts w:asciiTheme="minorHAnsi" w:hAnsiTheme="minorHAnsi" w:cs="Arial"/>
          <w:szCs w:val="24"/>
        </w:rPr>
        <w:t xml:space="preserve"> ich obliczenia.</w:t>
      </w:r>
    </w:p>
    <w:bookmarkEnd w:id="647"/>
    <w:p w14:paraId="6EDAD2AD" w14:textId="77777777" w:rsidR="009251AB" w:rsidRPr="004B77D6" w:rsidRDefault="009251AB" w:rsidP="00A767BD">
      <w:pPr>
        <w:spacing w:before="120" w:after="120" w:line="276" w:lineRule="auto"/>
        <w:rPr>
          <w:rFonts w:ascii="Calibri" w:hAnsi="Calibri"/>
          <w:szCs w:val="24"/>
        </w:rPr>
      </w:pPr>
    </w:p>
    <w:p w14:paraId="702B323D" w14:textId="3E7058E1" w:rsidR="000F3991" w:rsidRPr="004B77D6" w:rsidRDefault="000F3991" w:rsidP="004D0859">
      <w:pPr>
        <w:keepNext/>
        <w:numPr>
          <w:ilvl w:val="0"/>
          <w:numId w:val="5"/>
        </w:numPr>
        <w:suppressAutoHyphens w:val="0"/>
        <w:spacing w:after="120" w:line="276" w:lineRule="auto"/>
        <w:outlineLvl w:val="2"/>
        <w:rPr>
          <w:rFonts w:ascii="Calibri" w:hAnsi="Calibri"/>
          <w:b/>
          <w:bCs/>
          <w:sz w:val="28"/>
          <w:szCs w:val="28"/>
          <w:lang w:val="x-none"/>
        </w:rPr>
      </w:pPr>
      <w:bookmarkStart w:id="692" w:name="_Toc477857438"/>
      <w:bookmarkStart w:id="693" w:name="_Toc485203001"/>
      <w:bookmarkStart w:id="694" w:name="_Toc241839724"/>
      <w:r w:rsidRPr="004B77D6">
        <w:rPr>
          <w:rFonts w:ascii="Calibri" w:hAnsi="Calibri"/>
          <w:b/>
          <w:bCs/>
          <w:sz w:val="28"/>
          <w:szCs w:val="28"/>
          <w:lang w:val="x-none"/>
        </w:rPr>
        <w:t xml:space="preserve">FORMULARZ W ZAKRESIE </w:t>
      </w:r>
      <w:r w:rsidR="00A937B9">
        <w:rPr>
          <w:rFonts w:ascii="Calibri" w:hAnsi="Calibri"/>
          <w:b/>
          <w:bCs/>
          <w:sz w:val="28"/>
          <w:szCs w:val="28"/>
          <w:lang w:val="x-none"/>
        </w:rPr>
        <w:t>WPŁYWU PROJEKTU</w:t>
      </w:r>
      <w:r w:rsidRPr="004B77D6">
        <w:rPr>
          <w:rFonts w:ascii="Calibri" w:hAnsi="Calibri"/>
          <w:b/>
          <w:bCs/>
          <w:sz w:val="28"/>
          <w:szCs w:val="28"/>
          <w:lang w:val="x-none"/>
        </w:rPr>
        <w:t xml:space="preserve"> NA ŚRODOWISKO</w:t>
      </w:r>
      <w:bookmarkEnd w:id="692"/>
      <w:bookmarkEnd w:id="693"/>
      <w:bookmarkEnd w:id="694"/>
    </w:p>
    <w:p w14:paraId="1AE75F2C" w14:textId="4D2308A5" w:rsidR="009C07F8" w:rsidRPr="004B77D6" w:rsidRDefault="00361CC4" w:rsidP="00A21818">
      <w:pPr>
        <w:spacing w:before="120" w:after="120" w:line="276" w:lineRule="auto"/>
        <w:rPr>
          <w:rFonts w:asciiTheme="minorHAnsi" w:hAnsiTheme="minorHAnsi" w:cstheme="minorHAnsi"/>
          <w:szCs w:val="24"/>
        </w:rPr>
      </w:pPr>
      <w:bookmarkStart w:id="695" w:name="_Toc477857445"/>
      <w:r w:rsidRPr="004B77D6">
        <w:rPr>
          <w:rFonts w:asciiTheme="minorHAnsi" w:hAnsiTheme="minorHAnsi" w:cstheme="minorHAnsi"/>
          <w:szCs w:val="24"/>
        </w:rPr>
        <w:t xml:space="preserve">Ochrona środowiska stanowi jeden z głównych celów polityki unijnej. W związku z tym, Komisja Europejska przywiązuje dużą wagę do prawidłowego przeprowadzania postępowania w sprawie oceny oddziaływania na środowisko dla projektów współfinansowanych z EFRR. Istnieje zatem ryzyko </w:t>
      </w:r>
      <w:r w:rsidR="009C07F8" w:rsidRPr="004B77D6">
        <w:rPr>
          <w:rFonts w:asciiTheme="minorHAnsi" w:hAnsiTheme="minorHAnsi" w:cstheme="minorHAnsi"/>
          <w:szCs w:val="24"/>
        </w:rPr>
        <w:t>niezrealizowania</w:t>
      </w:r>
      <w:r w:rsidRPr="004B77D6">
        <w:rPr>
          <w:rFonts w:asciiTheme="minorHAnsi" w:hAnsiTheme="minorHAnsi" w:cstheme="minorHAnsi"/>
          <w:szCs w:val="24"/>
        </w:rPr>
        <w:t xml:space="preserve"> projektu ze środków FEO 2021</w:t>
      </w:r>
      <w:r w:rsidR="00D73598">
        <w:rPr>
          <w:rFonts w:asciiTheme="minorHAnsi" w:hAnsiTheme="minorHAnsi" w:cstheme="minorHAnsi"/>
          <w:szCs w:val="24"/>
        </w:rPr>
        <w:t>-</w:t>
      </w:r>
      <w:r w:rsidRPr="004B77D6">
        <w:rPr>
          <w:rFonts w:asciiTheme="minorHAnsi" w:hAnsiTheme="minorHAnsi" w:cstheme="minorHAnsi"/>
          <w:szCs w:val="24"/>
        </w:rPr>
        <w:t>2027 w momencie, gdy dostarczona dokumentacja z postępowania OOŚ zawiera uchybienia proceduralne, bądź wykaże negatywne oddziaływanie projektu na środowisko.</w:t>
      </w:r>
    </w:p>
    <w:tbl>
      <w:tblPr>
        <w:tblStyle w:val="Tabela-Siatka"/>
        <w:tblW w:w="0" w:type="auto"/>
        <w:tblInd w:w="-15" w:type="dxa"/>
        <w:tblBorders>
          <w:top w:val="single" w:sz="12" w:space="0" w:color="FF0000"/>
          <w:left w:val="single" w:sz="12" w:space="0" w:color="FF0000"/>
          <w:bottom w:val="single" w:sz="12" w:space="0" w:color="FF0000"/>
          <w:right w:val="single" w:sz="12" w:space="0" w:color="FF0000"/>
          <w:insideH w:val="single" w:sz="12" w:space="0" w:color="FF0000"/>
          <w:insideV w:val="single" w:sz="12" w:space="0" w:color="FF0000"/>
        </w:tblBorders>
        <w:tblLook w:val="04A0" w:firstRow="1" w:lastRow="0" w:firstColumn="1" w:lastColumn="0" w:noHBand="0" w:noVBand="1"/>
      </w:tblPr>
      <w:tblGrid>
        <w:gridCol w:w="9055"/>
      </w:tblGrid>
      <w:tr w:rsidR="001D7621" w:rsidRPr="004B77D6" w14:paraId="438990EB" w14:textId="77777777" w:rsidTr="001D7621">
        <w:tc>
          <w:tcPr>
            <w:tcW w:w="9055" w:type="dxa"/>
          </w:tcPr>
          <w:p w14:paraId="4CDC7C96" w14:textId="50A3D9FD" w:rsidR="001D7621" w:rsidRPr="004B77D6" w:rsidRDefault="001D7621" w:rsidP="001D7621">
            <w:pPr>
              <w:spacing w:before="120" w:after="120" w:line="276" w:lineRule="auto"/>
              <w:rPr>
                <w:rFonts w:asciiTheme="minorHAnsi" w:hAnsiTheme="minorHAnsi" w:cstheme="minorHAnsi"/>
                <w:b/>
                <w:szCs w:val="24"/>
              </w:rPr>
            </w:pPr>
            <w:r w:rsidRPr="004B77D6">
              <w:rPr>
                <w:rFonts w:asciiTheme="minorHAnsi" w:hAnsiTheme="minorHAnsi" w:cstheme="minorHAnsi"/>
                <w:b/>
                <w:szCs w:val="24"/>
              </w:rPr>
              <w:lastRenderedPageBreak/>
              <w:t>U</w:t>
            </w:r>
            <w:r w:rsidR="006C31C3">
              <w:rPr>
                <w:rFonts w:asciiTheme="minorHAnsi" w:hAnsiTheme="minorHAnsi" w:cstheme="minorHAnsi"/>
                <w:b/>
                <w:szCs w:val="24"/>
              </w:rPr>
              <w:t>WAGA</w:t>
            </w:r>
            <w:r w:rsidRPr="004B77D6">
              <w:rPr>
                <w:rFonts w:asciiTheme="minorHAnsi" w:hAnsiTheme="minorHAnsi" w:cstheme="minorHAnsi"/>
                <w:b/>
                <w:szCs w:val="24"/>
              </w:rPr>
              <w:t>!</w:t>
            </w:r>
          </w:p>
          <w:p w14:paraId="57BE888E" w14:textId="0B454C34" w:rsidR="001D7621" w:rsidRPr="004B77D6" w:rsidRDefault="001D7621" w:rsidP="001D7621">
            <w:pPr>
              <w:spacing w:before="120" w:after="120" w:line="276" w:lineRule="auto"/>
              <w:rPr>
                <w:rFonts w:cstheme="minorHAnsi"/>
                <w:szCs w:val="24"/>
              </w:rPr>
            </w:pPr>
            <w:r w:rsidRPr="004B77D6">
              <w:rPr>
                <w:rFonts w:asciiTheme="minorHAnsi" w:hAnsiTheme="minorHAnsi" w:cstheme="minorHAnsi"/>
                <w:szCs w:val="24"/>
              </w:rPr>
              <w:t xml:space="preserve">Projekt oceniany jest w zakresie wpływu na środowisko w ramach kryteriów </w:t>
            </w:r>
            <w:r w:rsidR="00A937B9">
              <w:rPr>
                <w:rFonts w:asciiTheme="minorHAnsi" w:hAnsiTheme="minorHAnsi" w:cstheme="minorHAnsi"/>
                <w:szCs w:val="24"/>
              </w:rPr>
              <w:t>merytorycznych</w:t>
            </w:r>
            <w:r w:rsidRPr="004B77D6">
              <w:rPr>
                <w:rFonts w:asciiTheme="minorHAnsi" w:hAnsiTheme="minorHAnsi" w:cstheme="minorHAnsi"/>
                <w:szCs w:val="24"/>
              </w:rPr>
              <w:t xml:space="preserve">. Projekty, które nie spełniają kryteriów, tj. wskazują znacząco negatywne oddziaływanie na środowisko, </w:t>
            </w:r>
            <w:r w:rsidRPr="004B77D6">
              <w:rPr>
                <w:rFonts w:asciiTheme="minorHAnsi" w:hAnsiTheme="minorHAnsi" w:cstheme="minorHAnsi"/>
                <w:b/>
                <w:szCs w:val="24"/>
              </w:rPr>
              <w:t>nie mogą być zrealizowane</w:t>
            </w:r>
            <w:r w:rsidRPr="004B77D6">
              <w:rPr>
                <w:rFonts w:asciiTheme="minorHAnsi" w:hAnsiTheme="minorHAnsi" w:cstheme="minorHAnsi"/>
                <w:szCs w:val="24"/>
              </w:rPr>
              <w:t xml:space="preserve"> ze środków FEO 2021-2027. </w:t>
            </w:r>
          </w:p>
        </w:tc>
      </w:tr>
    </w:tbl>
    <w:p w14:paraId="6BC3C8B9" w14:textId="73E43E22" w:rsidR="00361CC4" w:rsidRPr="004B77D6" w:rsidRDefault="00361CC4" w:rsidP="00361CC4">
      <w:pPr>
        <w:spacing w:before="120" w:after="120" w:line="276" w:lineRule="auto"/>
        <w:ind w:firstLine="709"/>
        <w:rPr>
          <w:rFonts w:asciiTheme="minorHAnsi" w:hAnsiTheme="minorHAnsi" w:cstheme="minorHAnsi"/>
          <w:szCs w:val="24"/>
        </w:rPr>
      </w:pPr>
      <w:r w:rsidRPr="004B77D6">
        <w:rPr>
          <w:rFonts w:asciiTheme="minorHAnsi" w:hAnsiTheme="minorHAnsi" w:cstheme="minorHAnsi"/>
          <w:szCs w:val="24"/>
        </w:rPr>
        <w:t xml:space="preserve">Podstawowym wymogiem, który Wnioskodawcy muszą uwzględnić w związku </w:t>
      </w:r>
      <w:r w:rsidR="009C07F8">
        <w:rPr>
          <w:rFonts w:asciiTheme="minorHAnsi" w:hAnsiTheme="minorHAnsi" w:cstheme="minorHAnsi"/>
          <w:szCs w:val="24"/>
        </w:rPr>
        <w:br/>
      </w:r>
      <w:r w:rsidRPr="004B77D6">
        <w:rPr>
          <w:rFonts w:asciiTheme="minorHAnsi" w:hAnsiTheme="minorHAnsi" w:cstheme="minorHAnsi"/>
          <w:szCs w:val="24"/>
        </w:rPr>
        <w:t xml:space="preserve">z finansowaniem inwestycji ze środków pochodzących z budżetu Wspólnoty Europejskiej, jest przeprowadzenie postępowania OOŚ (dla przedsięwzięć mogących zawsze znacząco oddziaływać na środowisko lub dla przedsięwzięć mogących potencjalnie znacząco oddziaływać na środowisko oraz dla przedsięwzięć mogących znacząco oddziaływać </w:t>
      </w:r>
      <w:r w:rsidR="009C07F8">
        <w:rPr>
          <w:rFonts w:asciiTheme="minorHAnsi" w:hAnsiTheme="minorHAnsi" w:cstheme="minorHAnsi"/>
          <w:szCs w:val="24"/>
        </w:rPr>
        <w:br/>
      </w:r>
      <w:r w:rsidRPr="004B77D6">
        <w:rPr>
          <w:rFonts w:asciiTheme="minorHAnsi" w:hAnsiTheme="minorHAnsi" w:cstheme="minorHAnsi"/>
          <w:szCs w:val="24"/>
        </w:rPr>
        <w:t>na obszary Natura 2000) przez właściwe organy.</w:t>
      </w:r>
    </w:p>
    <w:tbl>
      <w:tblPr>
        <w:tblStyle w:val="Tabela-Siatka"/>
        <w:tblW w:w="0" w:type="auto"/>
        <w:tblInd w:w="-15" w:type="dxa"/>
        <w:tblBorders>
          <w:top w:val="single" w:sz="12" w:space="0" w:color="FF0000"/>
          <w:left w:val="single" w:sz="12" w:space="0" w:color="FF0000"/>
          <w:bottom w:val="single" w:sz="12" w:space="0" w:color="FF0000"/>
          <w:right w:val="single" w:sz="12" w:space="0" w:color="FF0000"/>
          <w:insideH w:val="single" w:sz="12" w:space="0" w:color="FF0000"/>
          <w:insideV w:val="single" w:sz="12" w:space="0" w:color="FF0000"/>
        </w:tblBorders>
        <w:tblLook w:val="04A0" w:firstRow="1" w:lastRow="0" w:firstColumn="1" w:lastColumn="0" w:noHBand="0" w:noVBand="1"/>
      </w:tblPr>
      <w:tblGrid>
        <w:gridCol w:w="9055"/>
      </w:tblGrid>
      <w:tr w:rsidR="001D7621" w:rsidRPr="004B77D6" w14:paraId="185C924F" w14:textId="77777777" w:rsidTr="002743D4">
        <w:tc>
          <w:tcPr>
            <w:tcW w:w="9055" w:type="dxa"/>
          </w:tcPr>
          <w:p w14:paraId="3681F3B2" w14:textId="0FEC5CB6" w:rsidR="001D7621" w:rsidRPr="004B77D6" w:rsidRDefault="006C31C3" w:rsidP="001D7621">
            <w:pPr>
              <w:spacing w:before="120" w:after="120" w:line="276" w:lineRule="auto"/>
              <w:rPr>
                <w:rFonts w:asciiTheme="minorHAnsi" w:hAnsiTheme="minorHAnsi" w:cstheme="minorHAnsi"/>
                <w:b/>
                <w:szCs w:val="24"/>
              </w:rPr>
            </w:pPr>
            <w:r>
              <w:rPr>
                <w:rFonts w:asciiTheme="minorHAnsi" w:hAnsiTheme="minorHAnsi" w:cstheme="minorHAnsi"/>
                <w:b/>
                <w:szCs w:val="24"/>
              </w:rPr>
              <w:t>UWAGA!</w:t>
            </w:r>
          </w:p>
          <w:p w14:paraId="326EB6E0" w14:textId="77777777" w:rsidR="001D7621" w:rsidRPr="004B77D6" w:rsidRDefault="001D7621" w:rsidP="001D7621">
            <w:pPr>
              <w:spacing w:before="120" w:after="120" w:line="276" w:lineRule="auto"/>
              <w:rPr>
                <w:rFonts w:asciiTheme="minorHAnsi" w:hAnsiTheme="minorHAnsi" w:cstheme="minorHAnsi"/>
                <w:szCs w:val="24"/>
              </w:rPr>
            </w:pPr>
            <w:r w:rsidRPr="004B77D6">
              <w:rPr>
                <w:rFonts w:asciiTheme="minorHAnsi" w:hAnsiTheme="minorHAnsi" w:cstheme="minorHAnsi"/>
                <w:b/>
                <w:szCs w:val="24"/>
              </w:rPr>
              <w:t>Postępowanie w sprawie oceny oddziaływania na środowisko (OOŚ)</w:t>
            </w:r>
            <w:r w:rsidRPr="004B77D6">
              <w:rPr>
                <w:rFonts w:asciiTheme="minorHAnsi" w:hAnsiTheme="minorHAnsi" w:cstheme="minorHAnsi"/>
                <w:szCs w:val="24"/>
              </w:rPr>
              <w:t xml:space="preserve"> należy przeprowadzić w oparciu o następujące dokumenty: </w:t>
            </w:r>
          </w:p>
          <w:p w14:paraId="5C6A8697" w14:textId="1447CB89" w:rsidR="001D7621" w:rsidRPr="00826ECE" w:rsidRDefault="001D7621" w:rsidP="004D0859">
            <w:pPr>
              <w:pStyle w:val="Akapitzlist"/>
              <w:numPr>
                <w:ilvl w:val="0"/>
                <w:numId w:val="50"/>
              </w:numPr>
              <w:spacing w:before="120" w:after="120"/>
              <w:rPr>
                <w:rFonts w:asciiTheme="minorHAnsi" w:hAnsiTheme="minorHAnsi" w:cstheme="minorHAnsi"/>
                <w:sz w:val="24"/>
                <w:szCs w:val="24"/>
              </w:rPr>
            </w:pPr>
            <w:r w:rsidRPr="00826ECE">
              <w:rPr>
                <w:rFonts w:asciiTheme="minorHAnsi" w:hAnsiTheme="minorHAnsi" w:cstheme="minorHAnsi"/>
                <w:sz w:val="24"/>
                <w:szCs w:val="24"/>
              </w:rPr>
              <w:t xml:space="preserve">Ustawę z dnia 3 października 2008 r. o udostępnianiu informacji o środowisku </w:t>
            </w:r>
            <w:r w:rsidR="009C07F8">
              <w:rPr>
                <w:rFonts w:asciiTheme="minorHAnsi" w:hAnsiTheme="minorHAnsi" w:cstheme="minorHAnsi"/>
                <w:sz w:val="24"/>
                <w:szCs w:val="24"/>
              </w:rPr>
              <w:br/>
            </w:r>
            <w:r w:rsidRPr="00826ECE">
              <w:rPr>
                <w:rFonts w:asciiTheme="minorHAnsi" w:hAnsiTheme="minorHAnsi" w:cstheme="minorHAnsi"/>
                <w:sz w:val="24"/>
                <w:szCs w:val="24"/>
              </w:rPr>
              <w:t>i jego ochronie, udziale społeczeństwa w ochronie środowiska oraz o ocenach oddziaływania na środowisko (</w:t>
            </w:r>
            <w:proofErr w:type="spellStart"/>
            <w:r w:rsidRPr="00826ECE">
              <w:rPr>
                <w:rFonts w:asciiTheme="minorHAnsi" w:hAnsiTheme="minorHAnsi" w:cstheme="minorHAnsi"/>
                <w:sz w:val="24"/>
                <w:szCs w:val="24"/>
              </w:rPr>
              <w:t>t.j</w:t>
            </w:r>
            <w:proofErr w:type="spellEnd"/>
            <w:r w:rsidRPr="00826ECE">
              <w:rPr>
                <w:rFonts w:asciiTheme="minorHAnsi" w:hAnsiTheme="minorHAnsi" w:cstheme="minorHAnsi"/>
                <w:sz w:val="24"/>
                <w:szCs w:val="24"/>
              </w:rPr>
              <w:t>. Dz. U. z 202</w:t>
            </w:r>
            <w:r w:rsidR="007217B6">
              <w:rPr>
                <w:rFonts w:asciiTheme="minorHAnsi" w:hAnsiTheme="minorHAnsi" w:cstheme="minorHAnsi"/>
                <w:sz w:val="24"/>
                <w:szCs w:val="24"/>
              </w:rPr>
              <w:t>6</w:t>
            </w:r>
            <w:r w:rsidRPr="00826ECE">
              <w:rPr>
                <w:rFonts w:asciiTheme="minorHAnsi" w:hAnsiTheme="minorHAnsi" w:cstheme="minorHAnsi"/>
                <w:sz w:val="24"/>
                <w:szCs w:val="24"/>
              </w:rPr>
              <w:t xml:space="preserve"> r. poz. </w:t>
            </w:r>
            <w:r w:rsidR="007217B6">
              <w:rPr>
                <w:rFonts w:asciiTheme="minorHAnsi" w:hAnsiTheme="minorHAnsi" w:cstheme="minorHAnsi"/>
                <w:sz w:val="24"/>
                <w:szCs w:val="24"/>
              </w:rPr>
              <w:t>670, 875, 1097, 1157</w:t>
            </w:r>
            <w:r w:rsidR="00CF5A4B">
              <w:rPr>
                <w:rFonts w:asciiTheme="minorHAnsi" w:hAnsiTheme="minorHAnsi" w:cstheme="minorHAnsi"/>
                <w:sz w:val="24"/>
                <w:szCs w:val="24"/>
              </w:rPr>
              <w:t>)</w:t>
            </w:r>
            <w:r w:rsidRPr="00826ECE">
              <w:rPr>
                <w:rFonts w:asciiTheme="minorHAnsi" w:hAnsiTheme="minorHAnsi" w:cstheme="minorHAnsi"/>
                <w:sz w:val="24"/>
                <w:szCs w:val="24"/>
              </w:rPr>
              <w:t xml:space="preserve">. </w:t>
            </w:r>
          </w:p>
          <w:p w14:paraId="2351E8CC" w14:textId="2AE07B13" w:rsidR="001D7621" w:rsidRPr="004B77D6" w:rsidRDefault="001D7621" w:rsidP="004D0859">
            <w:pPr>
              <w:pStyle w:val="Akapitzlist"/>
              <w:numPr>
                <w:ilvl w:val="0"/>
                <w:numId w:val="50"/>
              </w:numPr>
              <w:spacing w:before="120" w:after="120"/>
              <w:rPr>
                <w:rFonts w:cstheme="minorHAnsi"/>
                <w:sz w:val="24"/>
                <w:szCs w:val="24"/>
              </w:rPr>
            </w:pPr>
            <w:r w:rsidRPr="00826ECE">
              <w:rPr>
                <w:rFonts w:asciiTheme="minorHAnsi" w:hAnsiTheme="minorHAnsi" w:cstheme="minorHAnsi"/>
                <w:sz w:val="24"/>
                <w:szCs w:val="24"/>
              </w:rPr>
              <w:t>Rozporządzenie Rady Ministrów z dnia 10 września 2019 r. w sprawie przedsięwzięć mogących znacząco oddziaływać na środowisko (D</w:t>
            </w:r>
            <w:r w:rsidR="00826ECE">
              <w:rPr>
                <w:rFonts w:asciiTheme="minorHAnsi" w:hAnsiTheme="minorHAnsi" w:cstheme="minorHAnsi"/>
                <w:sz w:val="24"/>
                <w:szCs w:val="24"/>
              </w:rPr>
              <w:t>z.</w:t>
            </w:r>
            <w:r w:rsidR="00672030">
              <w:rPr>
                <w:rFonts w:asciiTheme="minorHAnsi" w:hAnsiTheme="minorHAnsi" w:cstheme="minorHAnsi"/>
                <w:sz w:val="24"/>
                <w:szCs w:val="24"/>
                <w:lang w:val="pl-PL"/>
              </w:rPr>
              <w:t xml:space="preserve"> </w:t>
            </w:r>
            <w:r w:rsidR="00826ECE">
              <w:rPr>
                <w:rFonts w:asciiTheme="minorHAnsi" w:hAnsiTheme="minorHAnsi" w:cstheme="minorHAnsi"/>
                <w:sz w:val="24"/>
                <w:szCs w:val="24"/>
              </w:rPr>
              <w:t xml:space="preserve">U. </w:t>
            </w:r>
            <w:r w:rsidR="00845022">
              <w:rPr>
                <w:rFonts w:asciiTheme="minorHAnsi" w:hAnsiTheme="minorHAnsi" w:cstheme="minorHAnsi"/>
                <w:sz w:val="24"/>
                <w:szCs w:val="24"/>
                <w:lang w:val="pl-PL"/>
              </w:rPr>
              <w:t xml:space="preserve">z 2019 r. </w:t>
            </w:r>
            <w:r w:rsidR="00826ECE">
              <w:rPr>
                <w:rFonts w:asciiTheme="minorHAnsi" w:hAnsiTheme="minorHAnsi" w:cstheme="minorHAnsi"/>
                <w:sz w:val="24"/>
                <w:szCs w:val="24"/>
              </w:rPr>
              <w:t>poz. 1839 ze</w:t>
            </w:r>
            <w:r w:rsidRPr="00826ECE">
              <w:rPr>
                <w:rFonts w:asciiTheme="minorHAnsi" w:hAnsiTheme="minorHAnsi" w:cstheme="minorHAnsi"/>
                <w:sz w:val="24"/>
                <w:szCs w:val="24"/>
              </w:rPr>
              <w:t xml:space="preserve"> zm</w:t>
            </w:r>
            <w:r w:rsidR="00826ECE">
              <w:rPr>
                <w:rFonts w:asciiTheme="minorHAnsi" w:hAnsiTheme="minorHAnsi" w:cstheme="minorHAnsi"/>
                <w:sz w:val="24"/>
                <w:szCs w:val="24"/>
                <w:lang w:val="pl-PL"/>
              </w:rPr>
              <w:t>.</w:t>
            </w:r>
            <w:r w:rsidRPr="00826ECE">
              <w:rPr>
                <w:rFonts w:asciiTheme="minorHAnsi" w:hAnsiTheme="minorHAnsi" w:cstheme="minorHAnsi"/>
                <w:sz w:val="24"/>
                <w:szCs w:val="24"/>
              </w:rPr>
              <w:t>).</w:t>
            </w:r>
          </w:p>
        </w:tc>
      </w:tr>
    </w:tbl>
    <w:p w14:paraId="58348847" w14:textId="742054A6" w:rsidR="00361CC4" w:rsidRPr="004B77D6" w:rsidRDefault="00361CC4" w:rsidP="00A21818">
      <w:pPr>
        <w:spacing w:before="120" w:after="120" w:line="276" w:lineRule="auto"/>
        <w:rPr>
          <w:rFonts w:asciiTheme="minorHAnsi" w:hAnsiTheme="minorHAnsi" w:cstheme="minorHAnsi"/>
          <w:b/>
          <w:szCs w:val="24"/>
        </w:rPr>
      </w:pPr>
      <w:r w:rsidRPr="00F20DE9">
        <w:rPr>
          <w:rFonts w:asciiTheme="minorHAnsi" w:hAnsiTheme="minorHAnsi" w:cstheme="minorHAnsi"/>
          <w:szCs w:val="24"/>
        </w:rPr>
        <w:t xml:space="preserve">W celu zapewnienia transpozycji prawa wspólnotowego, 15 listopada 2008 r. weszła w życie ustawa z dnia 3 października 2008 r. </w:t>
      </w:r>
      <w:r w:rsidRPr="00F20DE9">
        <w:rPr>
          <w:rFonts w:asciiTheme="minorHAnsi" w:hAnsiTheme="minorHAnsi" w:cstheme="minorHAnsi"/>
          <w:i/>
          <w:szCs w:val="24"/>
        </w:rPr>
        <w:t>o udostępnianiu informacji o środowisku i jego ochronie, udziale społeczeństwa w ochronie środowiska oraz o ocenach oddziaływania na środowisko</w:t>
      </w:r>
      <w:r w:rsidRPr="00F20DE9">
        <w:rPr>
          <w:rFonts w:asciiTheme="minorHAnsi" w:hAnsiTheme="minorHAnsi" w:cstheme="minorHAnsi"/>
          <w:szCs w:val="24"/>
        </w:rPr>
        <w:t>.</w:t>
      </w:r>
      <w:r w:rsidRPr="004B77D6">
        <w:rPr>
          <w:rFonts w:asciiTheme="minorHAnsi" w:hAnsiTheme="minorHAnsi" w:cstheme="minorHAnsi"/>
          <w:szCs w:val="24"/>
        </w:rPr>
        <w:t xml:space="preserve"> </w:t>
      </w:r>
      <w:proofErr w:type="spellStart"/>
      <w:r w:rsidRPr="004B77D6">
        <w:rPr>
          <w:rFonts w:asciiTheme="minorHAnsi" w:hAnsiTheme="minorHAnsi" w:cstheme="minorHAnsi"/>
          <w:szCs w:val="24"/>
        </w:rPr>
        <w:t>Uooś</w:t>
      </w:r>
      <w:proofErr w:type="spellEnd"/>
      <w:r w:rsidRPr="004B77D6">
        <w:rPr>
          <w:rFonts w:asciiTheme="minorHAnsi" w:hAnsiTheme="minorHAnsi" w:cstheme="minorHAnsi"/>
          <w:szCs w:val="24"/>
        </w:rPr>
        <w:t xml:space="preserve"> dokonuje w zakresie swojej regulacji wdrożenia m.in. Dyrektyw</w:t>
      </w:r>
      <w:r w:rsidR="00A937B9">
        <w:rPr>
          <w:rFonts w:asciiTheme="minorHAnsi" w:hAnsiTheme="minorHAnsi" w:cstheme="minorHAnsi"/>
          <w:szCs w:val="24"/>
        </w:rPr>
        <w:t>y</w:t>
      </w:r>
      <w:r w:rsidRPr="004B77D6">
        <w:rPr>
          <w:rFonts w:asciiTheme="minorHAnsi" w:hAnsiTheme="minorHAnsi" w:cstheme="minorHAnsi"/>
          <w:szCs w:val="24"/>
        </w:rPr>
        <w:t xml:space="preserve"> Parlamentu Europejskiego i Rady 2011/92/UE z dnia 13 grudnia 2011 r. w sprawie oceny skutków wywieranych przez niektóre przedsięwzięcia publiczne i prywatne na środowisko</w:t>
      </w:r>
      <w:r w:rsidR="004306A7">
        <w:rPr>
          <w:rFonts w:asciiTheme="minorHAnsi" w:hAnsiTheme="minorHAnsi" w:cstheme="minorHAnsi"/>
          <w:szCs w:val="24"/>
        </w:rPr>
        <w:t xml:space="preserve"> (tekst jednolity)</w:t>
      </w:r>
      <w:r w:rsidRPr="004B77D6">
        <w:rPr>
          <w:rFonts w:asciiTheme="minorHAnsi" w:hAnsiTheme="minorHAnsi" w:cstheme="minorHAnsi"/>
          <w:szCs w:val="24"/>
        </w:rPr>
        <w:t xml:space="preserve"> (</w:t>
      </w:r>
      <w:r w:rsidRPr="004B77D6">
        <w:rPr>
          <w:rFonts w:ascii="Calibri" w:hAnsi="Calibri"/>
          <w:szCs w:val="16"/>
        </w:rPr>
        <w:t>Dz.</w:t>
      </w:r>
      <w:r w:rsidR="00672030">
        <w:rPr>
          <w:rFonts w:ascii="Calibri" w:hAnsi="Calibri"/>
          <w:szCs w:val="16"/>
        </w:rPr>
        <w:t xml:space="preserve"> </w:t>
      </w:r>
      <w:r w:rsidRPr="004B77D6">
        <w:rPr>
          <w:rFonts w:ascii="Calibri" w:hAnsi="Calibri"/>
          <w:szCs w:val="16"/>
        </w:rPr>
        <w:t>U.</w:t>
      </w:r>
      <w:r w:rsidR="00672030">
        <w:rPr>
          <w:rFonts w:ascii="Calibri" w:hAnsi="Calibri"/>
          <w:szCs w:val="16"/>
        </w:rPr>
        <w:t xml:space="preserve"> UE.</w:t>
      </w:r>
      <w:r w:rsidRPr="004B77D6">
        <w:rPr>
          <w:rFonts w:ascii="Calibri" w:hAnsi="Calibri"/>
          <w:szCs w:val="16"/>
        </w:rPr>
        <w:t xml:space="preserve"> L</w:t>
      </w:r>
      <w:r w:rsidR="00672030">
        <w:rPr>
          <w:rFonts w:ascii="Calibri" w:hAnsi="Calibri"/>
          <w:szCs w:val="16"/>
        </w:rPr>
        <w:t>.</w:t>
      </w:r>
      <w:r w:rsidRPr="004B77D6">
        <w:rPr>
          <w:rFonts w:ascii="Calibri" w:hAnsi="Calibri"/>
          <w:szCs w:val="16"/>
        </w:rPr>
        <w:t xml:space="preserve"> z 2012</w:t>
      </w:r>
      <w:r w:rsidR="00672030">
        <w:rPr>
          <w:rFonts w:ascii="Calibri" w:hAnsi="Calibri"/>
          <w:szCs w:val="16"/>
        </w:rPr>
        <w:t xml:space="preserve"> r.</w:t>
      </w:r>
      <w:r w:rsidR="004306A7">
        <w:rPr>
          <w:rFonts w:ascii="Calibri" w:hAnsi="Calibri"/>
          <w:szCs w:val="16"/>
        </w:rPr>
        <w:t xml:space="preserve"> Nr 26, </w:t>
      </w:r>
      <w:r w:rsidRPr="004B77D6">
        <w:rPr>
          <w:rFonts w:ascii="Calibri" w:hAnsi="Calibri"/>
          <w:szCs w:val="16"/>
        </w:rPr>
        <w:t>s</w:t>
      </w:r>
      <w:r w:rsidR="004306A7">
        <w:rPr>
          <w:rFonts w:ascii="Calibri" w:hAnsi="Calibri"/>
          <w:szCs w:val="16"/>
        </w:rPr>
        <w:t>tr</w:t>
      </w:r>
      <w:r w:rsidRPr="004B77D6">
        <w:rPr>
          <w:rFonts w:ascii="Calibri" w:hAnsi="Calibri"/>
          <w:szCs w:val="16"/>
        </w:rPr>
        <w:t>. 1, zmienionej przez dyrektywę 2014/52/UE z dnia 16 kwietnia 2014</w:t>
      </w:r>
      <w:r w:rsidR="004306A7">
        <w:rPr>
          <w:rFonts w:ascii="Calibri" w:hAnsi="Calibri"/>
          <w:szCs w:val="16"/>
        </w:rPr>
        <w:t xml:space="preserve"> r</w:t>
      </w:r>
      <w:r w:rsidRPr="004B77D6">
        <w:rPr>
          <w:rFonts w:asciiTheme="minorHAnsi" w:hAnsiTheme="minorHAnsi" w:cstheme="minorHAnsi"/>
          <w:szCs w:val="24"/>
        </w:rPr>
        <w:t>.).</w:t>
      </w:r>
    </w:p>
    <w:p w14:paraId="725CEE79" w14:textId="77777777" w:rsidR="00361CC4" w:rsidRPr="004B77D6" w:rsidRDefault="00361CC4" w:rsidP="00A21818">
      <w:pPr>
        <w:spacing w:before="120" w:after="120" w:line="276" w:lineRule="auto"/>
        <w:rPr>
          <w:rFonts w:asciiTheme="minorHAnsi" w:hAnsiTheme="minorHAnsi" w:cstheme="minorHAnsi"/>
          <w:szCs w:val="24"/>
        </w:rPr>
      </w:pPr>
      <w:proofErr w:type="spellStart"/>
      <w:r w:rsidRPr="004B77D6">
        <w:rPr>
          <w:rFonts w:asciiTheme="minorHAnsi" w:hAnsiTheme="minorHAnsi" w:cstheme="minorHAnsi"/>
          <w:szCs w:val="24"/>
        </w:rPr>
        <w:t>Uooś</w:t>
      </w:r>
      <w:proofErr w:type="spellEnd"/>
      <w:r w:rsidRPr="004B77D6">
        <w:rPr>
          <w:rFonts w:asciiTheme="minorHAnsi" w:hAnsiTheme="minorHAnsi" w:cstheme="minorHAnsi"/>
          <w:szCs w:val="24"/>
        </w:rPr>
        <w:t xml:space="preserve"> dzieli przedsięwzięcia mogące znacząco oddziaływać na środowisko na:</w:t>
      </w:r>
    </w:p>
    <w:p w14:paraId="72357A43" w14:textId="77777777" w:rsidR="00361CC4" w:rsidRPr="004B77D6" w:rsidRDefault="00361CC4" w:rsidP="004D0859">
      <w:pPr>
        <w:numPr>
          <w:ilvl w:val="0"/>
          <w:numId w:val="49"/>
        </w:numPr>
        <w:spacing w:before="120" w:after="120" w:line="276" w:lineRule="auto"/>
        <w:rPr>
          <w:rFonts w:asciiTheme="minorHAnsi" w:hAnsiTheme="minorHAnsi" w:cstheme="minorHAnsi"/>
          <w:szCs w:val="24"/>
        </w:rPr>
      </w:pPr>
      <w:r w:rsidRPr="004B77D6">
        <w:rPr>
          <w:rFonts w:asciiTheme="minorHAnsi" w:hAnsiTheme="minorHAnsi" w:cstheme="minorHAnsi"/>
          <w:szCs w:val="24"/>
        </w:rPr>
        <w:t xml:space="preserve">przedsięwzięcia mogące </w:t>
      </w:r>
      <w:r w:rsidRPr="004B77D6">
        <w:rPr>
          <w:rFonts w:asciiTheme="minorHAnsi" w:hAnsiTheme="minorHAnsi" w:cstheme="minorHAnsi"/>
          <w:b/>
          <w:szCs w:val="24"/>
        </w:rPr>
        <w:t>zawsze</w:t>
      </w:r>
      <w:r w:rsidRPr="004B77D6">
        <w:rPr>
          <w:rFonts w:asciiTheme="minorHAnsi" w:hAnsiTheme="minorHAnsi" w:cstheme="minorHAnsi"/>
          <w:szCs w:val="24"/>
        </w:rPr>
        <w:t xml:space="preserve"> znacząco oddziaływać na środowisko (tzw. przedsięwzięcia z</w:t>
      </w:r>
      <w:r w:rsidRPr="004B77D6">
        <w:rPr>
          <w:rFonts w:asciiTheme="minorHAnsi" w:hAnsiTheme="minorHAnsi" w:cstheme="minorHAnsi"/>
          <w:b/>
          <w:szCs w:val="24"/>
        </w:rPr>
        <w:t xml:space="preserve"> grupy I</w:t>
      </w:r>
      <w:r w:rsidRPr="004B77D6">
        <w:rPr>
          <w:rFonts w:asciiTheme="minorHAnsi" w:hAnsiTheme="minorHAnsi" w:cstheme="minorHAnsi"/>
          <w:szCs w:val="24"/>
        </w:rPr>
        <w:t>),</w:t>
      </w:r>
    </w:p>
    <w:p w14:paraId="08A0422C" w14:textId="77777777" w:rsidR="00361CC4" w:rsidRPr="004B77D6" w:rsidRDefault="00361CC4" w:rsidP="004D0859">
      <w:pPr>
        <w:numPr>
          <w:ilvl w:val="0"/>
          <w:numId w:val="49"/>
        </w:numPr>
        <w:spacing w:before="120" w:after="120" w:line="276" w:lineRule="auto"/>
        <w:rPr>
          <w:rFonts w:asciiTheme="minorHAnsi" w:hAnsiTheme="minorHAnsi" w:cstheme="minorHAnsi"/>
          <w:szCs w:val="24"/>
        </w:rPr>
      </w:pPr>
      <w:r w:rsidRPr="004B77D6">
        <w:rPr>
          <w:rFonts w:asciiTheme="minorHAnsi" w:hAnsiTheme="minorHAnsi" w:cstheme="minorHAnsi"/>
          <w:szCs w:val="24"/>
        </w:rPr>
        <w:t xml:space="preserve">przedsięwzięcia mogące </w:t>
      </w:r>
      <w:r w:rsidRPr="004B77D6">
        <w:rPr>
          <w:rFonts w:asciiTheme="minorHAnsi" w:hAnsiTheme="minorHAnsi" w:cstheme="minorHAnsi"/>
          <w:b/>
          <w:szCs w:val="24"/>
        </w:rPr>
        <w:t>potencjalnie</w:t>
      </w:r>
      <w:r w:rsidRPr="004B77D6">
        <w:rPr>
          <w:rFonts w:asciiTheme="minorHAnsi" w:hAnsiTheme="minorHAnsi" w:cstheme="minorHAnsi"/>
          <w:szCs w:val="24"/>
        </w:rPr>
        <w:t xml:space="preserve"> znacząco oddziaływać na środowisko (tzw. przedsięwzięcia z </w:t>
      </w:r>
      <w:r w:rsidRPr="004B77D6">
        <w:rPr>
          <w:rFonts w:asciiTheme="minorHAnsi" w:hAnsiTheme="minorHAnsi" w:cstheme="minorHAnsi"/>
          <w:b/>
          <w:szCs w:val="24"/>
        </w:rPr>
        <w:t>grupy II</w:t>
      </w:r>
      <w:r w:rsidRPr="004B77D6">
        <w:rPr>
          <w:rFonts w:asciiTheme="minorHAnsi" w:hAnsiTheme="minorHAnsi" w:cstheme="minorHAnsi"/>
          <w:szCs w:val="24"/>
        </w:rPr>
        <w:t>),</w:t>
      </w:r>
    </w:p>
    <w:p w14:paraId="07173FC5" w14:textId="77777777" w:rsidR="00361CC4" w:rsidRPr="004B77D6" w:rsidRDefault="00361CC4" w:rsidP="004D0859">
      <w:pPr>
        <w:numPr>
          <w:ilvl w:val="0"/>
          <w:numId w:val="49"/>
        </w:numPr>
        <w:spacing w:before="120" w:after="120" w:line="276" w:lineRule="auto"/>
        <w:rPr>
          <w:rFonts w:asciiTheme="minorHAnsi" w:hAnsiTheme="minorHAnsi" w:cstheme="minorHAnsi"/>
          <w:szCs w:val="24"/>
        </w:rPr>
      </w:pPr>
      <w:r w:rsidRPr="004B77D6">
        <w:rPr>
          <w:rFonts w:asciiTheme="minorHAnsi" w:hAnsiTheme="minorHAnsi" w:cstheme="minorHAnsi"/>
          <w:szCs w:val="24"/>
        </w:rPr>
        <w:t xml:space="preserve">przedsięwzięcia mogące znacząco oddziaływać na </w:t>
      </w:r>
      <w:r w:rsidRPr="004B77D6">
        <w:rPr>
          <w:rFonts w:asciiTheme="minorHAnsi" w:hAnsiTheme="minorHAnsi" w:cstheme="minorHAnsi"/>
          <w:b/>
          <w:szCs w:val="24"/>
        </w:rPr>
        <w:t>obszar Natura 2000</w:t>
      </w:r>
      <w:r w:rsidRPr="004B77D6">
        <w:rPr>
          <w:rFonts w:asciiTheme="minorHAnsi" w:hAnsiTheme="minorHAnsi" w:cstheme="minorHAnsi"/>
          <w:szCs w:val="24"/>
        </w:rPr>
        <w:t xml:space="preserve"> (tzw. przedsięwzięcia z </w:t>
      </w:r>
      <w:r w:rsidRPr="004B77D6">
        <w:rPr>
          <w:rFonts w:asciiTheme="minorHAnsi" w:hAnsiTheme="minorHAnsi" w:cstheme="minorHAnsi"/>
          <w:b/>
          <w:szCs w:val="24"/>
        </w:rPr>
        <w:t>grupy III</w:t>
      </w:r>
      <w:r w:rsidRPr="004B77D6">
        <w:rPr>
          <w:rFonts w:asciiTheme="minorHAnsi" w:hAnsiTheme="minorHAnsi" w:cstheme="minorHAnsi"/>
          <w:szCs w:val="24"/>
        </w:rPr>
        <w:t>).</w:t>
      </w:r>
    </w:p>
    <w:p w14:paraId="21F61B5F" w14:textId="4A510448" w:rsidR="00361CC4" w:rsidRPr="004B77D6" w:rsidRDefault="00361CC4" w:rsidP="00A21818">
      <w:pPr>
        <w:spacing w:before="120" w:after="120" w:line="276" w:lineRule="auto"/>
        <w:rPr>
          <w:rFonts w:asciiTheme="minorHAnsi" w:hAnsiTheme="minorHAnsi" w:cstheme="minorHAnsi"/>
          <w:szCs w:val="24"/>
          <w:u w:val="single"/>
        </w:rPr>
      </w:pPr>
      <w:r w:rsidRPr="004B77D6">
        <w:rPr>
          <w:rFonts w:asciiTheme="minorHAnsi" w:hAnsiTheme="minorHAnsi" w:cstheme="minorHAnsi"/>
          <w:szCs w:val="24"/>
          <w:u w:val="single"/>
        </w:rPr>
        <w:t xml:space="preserve">Rodzaje przedsięwzięć mogących zawsze lub potencjalnie znacząco oddziaływać na środowisko określa rozporządzenie Rady Ministrów z dnia 10 września 2019 r. </w:t>
      </w:r>
      <w:r w:rsidRPr="004B77D6">
        <w:rPr>
          <w:rFonts w:asciiTheme="minorHAnsi" w:hAnsiTheme="minorHAnsi" w:cstheme="minorHAnsi"/>
          <w:i/>
          <w:szCs w:val="24"/>
          <w:u w:val="single"/>
        </w:rPr>
        <w:t xml:space="preserve">w sprawie </w:t>
      </w:r>
      <w:r w:rsidRPr="004B77D6">
        <w:rPr>
          <w:rFonts w:asciiTheme="minorHAnsi" w:hAnsiTheme="minorHAnsi" w:cstheme="minorHAnsi"/>
          <w:i/>
          <w:szCs w:val="24"/>
          <w:u w:val="single"/>
        </w:rPr>
        <w:lastRenderedPageBreak/>
        <w:t>przedsięwzięć mogących znacząco oddziaływać na środowisko</w:t>
      </w:r>
      <w:r w:rsidRPr="004B77D6">
        <w:rPr>
          <w:rFonts w:asciiTheme="minorHAnsi" w:hAnsiTheme="minorHAnsi" w:cstheme="minorHAnsi"/>
          <w:szCs w:val="24"/>
          <w:u w:val="single"/>
        </w:rPr>
        <w:t xml:space="preserve"> (Dz</w:t>
      </w:r>
      <w:r w:rsidR="00F20DE9">
        <w:rPr>
          <w:rFonts w:asciiTheme="minorHAnsi" w:hAnsiTheme="minorHAnsi" w:cstheme="minorHAnsi"/>
          <w:szCs w:val="24"/>
          <w:u w:val="single"/>
        </w:rPr>
        <w:t>.</w:t>
      </w:r>
      <w:r w:rsidR="004306A7">
        <w:rPr>
          <w:rFonts w:asciiTheme="minorHAnsi" w:hAnsiTheme="minorHAnsi" w:cstheme="minorHAnsi"/>
          <w:szCs w:val="24"/>
          <w:u w:val="single"/>
        </w:rPr>
        <w:t xml:space="preserve"> </w:t>
      </w:r>
      <w:r w:rsidR="00F20DE9">
        <w:rPr>
          <w:rFonts w:asciiTheme="minorHAnsi" w:hAnsiTheme="minorHAnsi" w:cstheme="minorHAnsi"/>
          <w:szCs w:val="24"/>
          <w:u w:val="single"/>
        </w:rPr>
        <w:t xml:space="preserve">U. </w:t>
      </w:r>
      <w:r w:rsidR="00845022">
        <w:rPr>
          <w:rFonts w:asciiTheme="minorHAnsi" w:hAnsiTheme="minorHAnsi" w:cstheme="minorHAnsi"/>
          <w:szCs w:val="24"/>
          <w:u w:val="single"/>
        </w:rPr>
        <w:t xml:space="preserve">z 2019 r. </w:t>
      </w:r>
      <w:r w:rsidR="00F20DE9">
        <w:rPr>
          <w:rFonts w:asciiTheme="minorHAnsi" w:hAnsiTheme="minorHAnsi" w:cstheme="minorHAnsi"/>
          <w:szCs w:val="24"/>
          <w:u w:val="single"/>
        </w:rPr>
        <w:t xml:space="preserve">poz. 1839 </w:t>
      </w:r>
      <w:r w:rsidR="009C07F8">
        <w:rPr>
          <w:rFonts w:asciiTheme="minorHAnsi" w:hAnsiTheme="minorHAnsi" w:cstheme="minorHAnsi"/>
          <w:szCs w:val="24"/>
          <w:u w:val="single"/>
        </w:rPr>
        <w:br/>
      </w:r>
      <w:r w:rsidR="00F20DE9">
        <w:rPr>
          <w:rFonts w:asciiTheme="minorHAnsi" w:hAnsiTheme="minorHAnsi" w:cstheme="minorHAnsi"/>
          <w:szCs w:val="24"/>
          <w:u w:val="single"/>
        </w:rPr>
        <w:t>ze</w:t>
      </w:r>
      <w:r w:rsidRPr="004B77D6">
        <w:rPr>
          <w:rFonts w:asciiTheme="minorHAnsi" w:hAnsiTheme="minorHAnsi" w:cstheme="minorHAnsi"/>
          <w:szCs w:val="24"/>
          <w:u w:val="single"/>
        </w:rPr>
        <w:t xml:space="preserve"> zm.). </w:t>
      </w:r>
    </w:p>
    <w:p w14:paraId="7984C4D4" w14:textId="77777777" w:rsidR="00361CC4" w:rsidRPr="004B77D6" w:rsidRDefault="00361CC4" w:rsidP="00757490">
      <w:pPr>
        <w:autoSpaceDE w:val="0"/>
        <w:autoSpaceDN w:val="0"/>
        <w:adjustRightInd w:val="0"/>
        <w:spacing w:before="120" w:after="120" w:line="276" w:lineRule="auto"/>
        <w:rPr>
          <w:rFonts w:asciiTheme="minorHAnsi" w:hAnsiTheme="minorHAnsi" w:cstheme="minorHAnsi"/>
          <w:b/>
          <w:szCs w:val="24"/>
        </w:rPr>
      </w:pPr>
      <w:r w:rsidRPr="004B77D6">
        <w:rPr>
          <w:rFonts w:asciiTheme="minorHAnsi" w:hAnsiTheme="minorHAnsi" w:cstheme="minorHAnsi"/>
          <w:b/>
          <w:szCs w:val="24"/>
        </w:rPr>
        <w:t>W świetle przepisów realizacja planowanego przedsięwzięcia z I, II lub III grupy, jest dopuszczalna wyłącznie po uzyskaniu decyzji o środowiskowych uwarunkowaniach.</w:t>
      </w:r>
    </w:p>
    <w:p w14:paraId="757FF77E" w14:textId="26F5E91B" w:rsidR="00361CC4" w:rsidRPr="004B77D6" w:rsidRDefault="00361CC4" w:rsidP="00A21818">
      <w:pPr>
        <w:suppressAutoHyphens w:val="0"/>
        <w:autoSpaceDE w:val="0"/>
        <w:autoSpaceDN w:val="0"/>
        <w:adjustRightInd w:val="0"/>
        <w:spacing w:before="120" w:after="120" w:line="276" w:lineRule="auto"/>
        <w:rPr>
          <w:rFonts w:asciiTheme="minorHAnsi" w:hAnsiTheme="minorHAnsi" w:cstheme="minorHAnsi"/>
          <w:szCs w:val="24"/>
        </w:rPr>
      </w:pPr>
      <w:r w:rsidRPr="004B77D6">
        <w:rPr>
          <w:rFonts w:asciiTheme="minorHAnsi" w:hAnsiTheme="minorHAnsi" w:cstheme="minorHAnsi"/>
          <w:szCs w:val="24"/>
        </w:rPr>
        <w:t xml:space="preserve">Zaleca się </w:t>
      </w:r>
      <w:r w:rsidR="004E4EE7">
        <w:rPr>
          <w:rFonts w:asciiTheme="minorHAnsi" w:hAnsiTheme="minorHAnsi" w:cstheme="minorHAnsi"/>
          <w:szCs w:val="24"/>
        </w:rPr>
        <w:t>W</w:t>
      </w:r>
      <w:r w:rsidRPr="004B77D6">
        <w:rPr>
          <w:rFonts w:asciiTheme="minorHAnsi" w:hAnsiTheme="minorHAnsi" w:cstheme="minorHAnsi"/>
          <w:szCs w:val="24"/>
        </w:rPr>
        <w:t>nioskodawcom umieszczenie we wniosku o wydanie decyzji o środowiskowych uwarunkowaniach, w ramach opisu przedsięwzięcia, informacji, iż Wnioskodawca ubiega się o dofinansowanie przedsięwzięcia ze środków Unii Europejskiej w ramach właściwego Programu Operacyjnego.</w:t>
      </w:r>
    </w:p>
    <w:p w14:paraId="49468DFD" w14:textId="6A34BD41" w:rsidR="00361CC4" w:rsidRPr="004B77D6" w:rsidRDefault="00361CC4" w:rsidP="00A21818">
      <w:pPr>
        <w:spacing w:before="120" w:after="120" w:line="276" w:lineRule="auto"/>
        <w:rPr>
          <w:rFonts w:asciiTheme="minorHAnsi" w:hAnsiTheme="minorHAnsi" w:cstheme="minorHAnsi"/>
          <w:szCs w:val="24"/>
        </w:rPr>
      </w:pPr>
      <w:r w:rsidRPr="004B77D6">
        <w:rPr>
          <w:rFonts w:asciiTheme="minorHAnsi" w:hAnsiTheme="minorHAnsi" w:cstheme="minorHAnsi"/>
          <w:szCs w:val="24"/>
        </w:rPr>
        <w:t xml:space="preserve">Wszyscy </w:t>
      </w:r>
      <w:r w:rsidR="004E4EE7">
        <w:rPr>
          <w:rFonts w:asciiTheme="minorHAnsi" w:hAnsiTheme="minorHAnsi" w:cstheme="minorHAnsi"/>
          <w:szCs w:val="24"/>
        </w:rPr>
        <w:t>W</w:t>
      </w:r>
      <w:r w:rsidRPr="004B77D6">
        <w:rPr>
          <w:rFonts w:asciiTheme="minorHAnsi" w:hAnsiTheme="minorHAnsi" w:cstheme="minorHAnsi"/>
          <w:szCs w:val="24"/>
        </w:rPr>
        <w:t>nioskodawcy do wniosku o dofinansowanie projektu zobowiązani są dołączyć wypełniony załącznik nr 2 do wniosku tj. formularz w zakresie wpływu projektu</w:t>
      </w:r>
      <w:r w:rsidR="00F16CD4">
        <w:rPr>
          <w:rFonts w:asciiTheme="minorHAnsi" w:hAnsiTheme="minorHAnsi" w:cstheme="minorHAnsi"/>
          <w:szCs w:val="24"/>
        </w:rPr>
        <w:t xml:space="preserve"> </w:t>
      </w:r>
      <w:r w:rsidRPr="004B77D6">
        <w:rPr>
          <w:rFonts w:asciiTheme="minorHAnsi" w:hAnsiTheme="minorHAnsi" w:cstheme="minorHAnsi"/>
          <w:szCs w:val="24"/>
        </w:rPr>
        <w:t>na środowisko (wraz z wymaganymi dokumentami m.in decyzja o</w:t>
      </w:r>
      <w:r w:rsidR="00A21818">
        <w:rPr>
          <w:rFonts w:asciiTheme="minorHAnsi" w:hAnsiTheme="minorHAnsi" w:cstheme="minorHAnsi"/>
          <w:szCs w:val="24"/>
        </w:rPr>
        <w:t> </w:t>
      </w:r>
      <w:r w:rsidRPr="004B77D6">
        <w:rPr>
          <w:rFonts w:asciiTheme="minorHAnsi" w:hAnsiTheme="minorHAnsi" w:cstheme="minorHAnsi"/>
          <w:szCs w:val="24"/>
        </w:rPr>
        <w:t>środowiskowych uwarunkowaniach i/lub oświadczenie) oraz opisać wpływ projektu na zasad</w:t>
      </w:r>
      <w:r w:rsidR="00F20DE9">
        <w:rPr>
          <w:rFonts w:asciiTheme="minorHAnsi" w:hAnsiTheme="minorHAnsi" w:cstheme="minorHAnsi"/>
          <w:szCs w:val="24"/>
        </w:rPr>
        <w:t>ę</w:t>
      </w:r>
      <w:r w:rsidRPr="004B77D6">
        <w:rPr>
          <w:rFonts w:asciiTheme="minorHAnsi" w:hAnsiTheme="minorHAnsi" w:cstheme="minorHAnsi"/>
          <w:szCs w:val="24"/>
        </w:rPr>
        <w:t xml:space="preserve"> zrównoważonego rozwoju i </w:t>
      </w:r>
      <w:r w:rsidR="00F20DE9">
        <w:rPr>
          <w:rFonts w:asciiTheme="minorHAnsi" w:hAnsiTheme="minorHAnsi" w:cstheme="minorHAnsi"/>
          <w:szCs w:val="24"/>
        </w:rPr>
        <w:t>odporność na zmiany klimatu</w:t>
      </w:r>
      <w:r w:rsidRPr="004B77D6">
        <w:rPr>
          <w:rFonts w:asciiTheme="minorHAnsi" w:hAnsiTheme="minorHAnsi" w:cstheme="minorHAnsi"/>
          <w:szCs w:val="24"/>
        </w:rPr>
        <w:t xml:space="preserve"> wskazane </w:t>
      </w:r>
      <w:r w:rsidR="00F20DE9">
        <w:rPr>
          <w:rFonts w:asciiTheme="minorHAnsi" w:hAnsiTheme="minorHAnsi" w:cstheme="minorHAnsi"/>
          <w:szCs w:val="24"/>
        </w:rPr>
        <w:t xml:space="preserve">we wzorze </w:t>
      </w:r>
      <w:r w:rsidR="009C07F8">
        <w:rPr>
          <w:rFonts w:asciiTheme="minorHAnsi" w:hAnsiTheme="minorHAnsi" w:cstheme="minorHAnsi"/>
          <w:szCs w:val="24"/>
        </w:rPr>
        <w:t>załącznika nr</w:t>
      </w:r>
      <w:r w:rsidR="00F20DE9">
        <w:rPr>
          <w:rFonts w:asciiTheme="minorHAnsi" w:hAnsiTheme="minorHAnsi" w:cstheme="minorHAnsi"/>
          <w:szCs w:val="24"/>
        </w:rPr>
        <w:t> </w:t>
      </w:r>
      <w:r w:rsidRPr="004B77D6">
        <w:rPr>
          <w:rFonts w:asciiTheme="minorHAnsi" w:hAnsiTheme="minorHAnsi" w:cstheme="minorHAnsi"/>
          <w:szCs w:val="24"/>
        </w:rPr>
        <w:t>2</w:t>
      </w:r>
      <w:r w:rsidRPr="004B77D6">
        <w:rPr>
          <w:rFonts w:asciiTheme="minorHAnsi" w:hAnsiTheme="minorHAnsi" w:cstheme="minorHAnsi"/>
          <w:color w:val="000000"/>
          <w:szCs w:val="24"/>
        </w:rPr>
        <w:t>.</w:t>
      </w:r>
      <w:r w:rsidRPr="004B77D6">
        <w:rPr>
          <w:rFonts w:asciiTheme="minorHAnsi" w:hAnsiTheme="minorHAnsi" w:cstheme="minorHAnsi"/>
          <w:szCs w:val="24"/>
        </w:rPr>
        <w:t xml:space="preserve"> </w:t>
      </w:r>
    </w:p>
    <w:p w14:paraId="32C20E6F" w14:textId="36210EF9" w:rsidR="00361CC4" w:rsidRPr="004B77D6" w:rsidRDefault="00361CC4" w:rsidP="006A3CC3">
      <w:pPr>
        <w:spacing w:before="120" w:after="120" w:line="276" w:lineRule="auto"/>
        <w:rPr>
          <w:rFonts w:asciiTheme="minorHAnsi" w:hAnsiTheme="minorHAnsi" w:cstheme="minorHAnsi"/>
          <w:szCs w:val="24"/>
        </w:rPr>
      </w:pPr>
      <w:r w:rsidRPr="004B77D6">
        <w:rPr>
          <w:rFonts w:asciiTheme="minorHAnsi" w:hAnsiTheme="minorHAnsi" w:cstheme="minorHAnsi"/>
          <w:szCs w:val="24"/>
        </w:rPr>
        <w:t xml:space="preserve">W przypadku </w:t>
      </w:r>
      <w:r w:rsidRPr="004B77D6">
        <w:rPr>
          <w:rFonts w:asciiTheme="minorHAnsi" w:hAnsiTheme="minorHAnsi" w:cstheme="minorHAnsi"/>
          <w:b/>
          <w:szCs w:val="24"/>
        </w:rPr>
        <w:t>projektów inwestycyjnych wymagających przeprowadzenia postępowania w</w:t>
      </w:r>
      <w:r w:rsidR="006A3CC3">
        <w:rPr>
          <w:rFonts w:asciiTheme="minorHAnsi" w:hAnsiTheme="minorHAnsi" w:cstheme="minorHAnsi"/>
          <w:b/>
          <w:szCs w:val="24"/>
        </w:rPr>
        <w:t> </w:t>
      </w:r>
      <w:r w:rsidRPr="004B77D6">
        <w:rPr>
          <w:rFonts w:asciiTheme="minorHAnsi" w:hAnsiTheme="minorHAnsi" w:cstheme="minorHAnsi"/>
          <w:b/>
          <w:szCs w:val="24"/>
        </w:rPr>
        <w:t>sprawie OOŚ,</w:t>
      </w:r>
      <w:r w:rsidRPr="004B77D6">
        <w:rPr>
          <w:rFonts w:asciiTheme="minorHAnsi" w:hAnsiTheme="minorHAnsi" w:cstheme="minorHAnsi"/>
          <w:szCs w:val="24"/>
        </w:rPr>
        <w:t xml:space="preserve"> tj. projektów dotyczących przedsięwzięć wskazanych w ww. rozporządzeniach oraz Dyrektywie Parlamentu Europejskiego i Rady 2011/92/UE z dnia 13 grudnia 2011 r. w</w:t>
      </w:r>
      <w:r w:rsidR="006A3CC3">
        <w:rPr>
          <w:rFonts w:asciiTheme="minorHAnsi" w:hAnsiTheme="minorHAnsi" w:cstheme="minorHAnsi"/>
          <w:szCs w:val="24"/>
        </w:rPr>
        <w:t> </w:t>
      </w:r>
      <w:r w:rsidRPr="004B77D6">
        <w:rPr>
          <w:rFonts w:asciiTheme="minorHAnsi" w:hAnsiTheme="minorHAnsi" w:cstheme="minorHAnsi"/>
          <w:szCs w:val="24"/>
        </w:rPr>
        <w:t xml:space="preserve">sprawie oceny skutków wywieranych przez niektóre przedsięwzięcia publiczne i prywatne na środowisko </w:t>
      </w:r>
      <w:r w:rsidR="005353C4">
        <w:rPr>
          <w:rFonts w:asciiTheme="minorHAnsi" w:hAnsiTheme="minorHAnsi" w:cstheme="minorHAnsi"/>
          <w:szCs w:val="24"/>
        </w:rPr>
        <w:t>(tekst jednolity)</w:t>
      </w:r>
      <w:r w:rsidR="005353C4" w:rsidRPr="004B77D6">
        <w:rPr>
          <w:rFonts w:asciiTheme="minorHAnsi" w:hAnsiTheme="minorHAnsi" w:cstheme="minorHAnsi"/>
          <w:szCs w:val="24"/>
        </w:rPr>
        <w:t xml:space="preserve"> (</w:t>
      </w:r>
      <w:r w:rsidR="005353C4" w:rsidRPr="004B77D6">
        <w:rPr>
          <w:rFonts w:ascii="Calibri" w:hAnsi="Calibri"/>
          <w:szCs w:val="16"/>
        </w:rPr>
        <w:t>Dz.</w:t>
      </w:r>
      <w:r w:rsidR="005353C4">
        <w:rPr>
          <w:rFonts w:ascii="Calibri" w:hAnsi="Calibri"/>
          <w:szCs w:val="16"/>
        </w:rPr>
        <w:t xml:space="preserve"> </w:t>
      </w:r>
      <w:r w:rsidR="005353C4" w:rsidRPr="004B77D6">
        <w:rPr>
          <w:rFonts w:ascii="Calibri" w:hAnsi="Calibri"/>
          <w:szCs w:val="16"/>
        </w:rPr>
        <w:t>U.</w:t>
      </w:r>
      <w:r w:rsidR="005353C4">
        <w:rPr>
          <w:rFonts w:ascii="Calibri" w:hAnsi="Calibri"/>
          <w:szCs w:val="16"/>
        </w:rPr>
        <w:t xml:space="preserve"> UE.</w:t>
      </w:r>
      <w:r w:rsidR="005353C4" w:rsidRPr="004B77D6">
        <w:rPr>
          <w:rFonts w:ascii="Calibri" w:hAnsi="Calibri"/>
          <w:szCs w:val="16"/>
        </w:rPr>
        <w:t xml:space="preserve"> L</w:t>
      </w:r>
      <w:r w:rsidR="005353C4">
        <w:rPr>
          <w:rFonts w:ascii="Calibri" w:hAnsi="Calibri"/>
          <w:szCs w:val="16"/>
        </w:rPr>
        <w:t>.</w:t>
      </w:r>
      <w:r w:rsidR="005353C4" w:rsidRPr="004B77D6">
        <w:rPr>
          <w:rFonts w:ascii="Calibri" w:hAnsi="Calibri"/>
          <w:szCs w:val="16"/>
        </w:rPr>
        <w:t xml:space="preserve"> z 2012</w:t>
      </w:r>
      <w:r w:rsidR="005353C4">
        <w:rPr>
          <w:rFonts w:ascii="Calibri" w:hAnsi="Calibri"/>
          <w:szCs w:val="16"/>
        </w:rPr>
        <w:t xml:space="preserve"> r. Nr 26, </w:t>
      </w:r>
      <w:r w:rsidR="005353C4" w:rsidRPr="004B77D6">
        <w:rPr>
          <w:rFonts w:ascii="Calibri" w:hAnsi="Calibri"/>
          <w:szCs w:val="16"/>
        </w:rPr>
        <w:t>s</w:t>
      </w:r>
      <w:r w:rsidR="005353C4">
        <w:rPr>
          <w:rFonts w:ascii="Calibri" w:hAnsi="Calibri"/>
          <w:szCs w:val="16"/>
        </w:rPr>
        <w:t>tr</w:t>
      </w:r>
      <w:r w:rsidR="005353C4" w:rsidRPr="004B77D6">
        <w:rPr>
          <w:rFonts w:ascii="Calibri" w:hAnsi="Calibri"/>
          <w:szCs w:val="16"/>
        </w:rPr>
        <w:t>. 1</w:t>
      </w:r>
      <w:r w:rsidRPr="004B77D6">
        <w:rPr>
          <w:rFonts w:asciiTheme="minorHAnsi" w:hAnsiTheme="minorHAnsi" w:cstheme="minorHAnsi"/>
          <w:szCs w:val="24"/>
        </w:rPr>
        <w:t>, zmienionej przez dyrektywę 2014/52/UE z dnia 16 kwietnia 2014 r.</w:t>
      </w:r>
      <w:r w:rsidR="005353C4">
        <w:rPr>
          <w:rFonts w:asciiTheme="minorHAnsi" w:hAnsiTheme="minorHAnsi" w:cstheme="minorHAnsi"/>
          <w:szCs w:val="24"/>
        </w:rPr>
        <w:t>)</w:t>
      </w:r>
      <w:r w:rsidRPr="004B77D6">
        <w:rPr>
          <w:rFonts w:asciiTheme="minorHAnsi" w:hAnsiTheme="minorHAnsi" w:cstheme="minorHAnsi"/>
          <w:szCs w:val="24"/>
        </w:rPr>
        <w:t xml:space="preserve">, beneficjenci zobowiązani są dołączyć decyzję o środowiskowych uwarunkowaniach (zgodnie z procedurą określoną w art. 80-86 </w:t>
      </w:r>
      <w:proofErr w:type="spellStart"/>
      <w:r w:rsidRPr="004B77D6">
        <w:rPr>
          <w:rFonts w:asciiTheme="minorHAnsi" w:hAnsiTheme="minorHAnsi" w:cstheme="minorHAnsi"/>
          <w:szCs w:val="24"/>
        </w:rPr>
        <w:t>Uooś</w:t>
      </w:r>
      <w:proofErr w:type="spellEnd"/>
      <w:r w:rsidRPr="004B77D6">
        <w:rPr>
          <w:rFonts w:asciiTheme="minorHAnsi" w:hAnsiTheme="minorHAnsi" w:cstheme="minorHAnsi"/>
          <w:szCs w:val="24"/>
        </w:rPr>
        <w:t xml:space="preserve">). </w:t>
      </w:r>
    </w:p>
    <w:tbl>
      <w:tblPr>
        <w:tblStyle w:val="Tabela-Siatka"/>
        <w:tblW w:w="0" w:type="auto"/>
        <w:tblInd w:w="-15" w:type="dxa"/>
        <w:tblBorders>
          <w:top w:val="single" w:sz="12" w:space="0" w:color="FF0000"/>
          <w:left w:val="single" w:sz="12" w:space="0" w:color="FF0000"/>
          <w:bottom w:val="single" w:sz="12" w:space="0" w:color="FF0000"/>
          <w:right w:val="single" w:sz="12" w:space="0" w:color="FF0000"/>
          <w:insideH w:val="single" w:sz="12" w:space="0" w:color="FF0000"/>
          <w:insideV w:val="single" w:sz="12" w:space="0" w:color="FF0000"/>
        </w:tblBorders>
        <w:tblLook w:val="04A0" w:firstRow="1" w:lastRow="0" w:firstColumn="1" w:lastColumn="0" w:noHBand="0" w:noVBand="1"/>
      </w:tblPr>
      <w:tblGrid>
        <w:gridCol w:w="9055"/>
      </w:tblGrid>
      <w:tr w:rsidR="001D7621" w:rsidRPr="004B77D6" w14:paraId="24AEBCCB" w14:textId="77777777" w:rsidTr="002743D4">
        <w:tc>
          <w:tcPr>
            <w:tcW w:w="9055" w:type="dxa"/>
          </w:tcPr>
          <w:p w14:paraId="2D6B2317" w14:textId="2B321233" w:rsidR="001D7621" w:rsidRPr="004B77D6" w:rsidRDefault="001D7621" w:rsidP="001D7621">
            <w:pPr>
              <w:spacing w:before="120" w:after="120" w:line="276" w:lineRule="auto"/>
              <w:rPr>
                <w:rFonts w:asciiTheme="minorHAnsi" w:hAnsiTheme="minorHAnsi" w:cstheme="minorHAnsi"/>
                <w:szCs w:val="24"/>
              </w:rPr>
            </w:pPr>
            <w:r w:rsidRPr="004B77D6">
              <w:rPr>
                <w:rFonts w:asciiTheme="minorHAnsi" w:hAnsiTheme="minorHAnsi" w:cstheme="minorHAnsi"/>
                <w:b/>
                <w:szCs w:val="24"/>
              </w:rPr>
              <w:t>U</w:t>
            </w:r>
            <w:r w:rsidR="00D66998">
              <w:rPr>
                <w:rFonts w:asciiTheme="minorHAnsi" w:hAnsiTheme="minorHAnsi" w:cstheme="minorHAnsi"/>
                <w:b/>
                <w:szCs w:val="24"/>
              </w:rPr>
              <w:t>WAGA</w:t>
            </w:r>
            <w:r w:rsidRPr="004B77D6">
              <w:rPr>
                <w:rFonts w:asciiTheme="minorHAnsi" w:hAnsiTheme="minorHAnsi" w:cstheme="minorHAnsi"/>
                <w:b/>
                <w:szCs w:val="24"/>
              </w:rPr>
              <w:t>!</w:t>
            </w:r>
          </w:p>
          <w:p w14:paraId="242E70EB" w14:textId="6745B373" w:rsidR="001D7621" w:rsidRPr="004B77D6" w:rsidRDefault="001D7621" w:rsidP="001D7621">
            <w:pPr>
              <w:spacing w:before="120" w:after="120" w:line="276" w:lineRule="auto"/>
              <w:rPr>
                <w:rFonts w:cstheme="minorHAnsi"/>
                <w:szCs w:val="24"/>
              </w:rPr>
            </w:pPr>
            <w:r w:rsidRPr="004B77D6">
              <w:rPr>
                <w:rFonts w:asciiTheme="minorHAnsi" w:hAnsiTheme="minorHAnsi" w:cstheme="minorHAnsi"/>
                <w:szCs w:val="24"/>
              </w:rPr>
              <w:t>W przypadku braku decyzji środowiskowej, Wnioskodawca jest zobowiązany załączyć oświadczenie o braku konieczności przeprowadzenia postępowania w sprawie OOŚ</w:t>
            </w:r>
            <w:r w:rsidRPr="004B77D6">
              <w:rPr>
                <w:rFonts w:asciiTheme="minorHAnsi" w:hAnsiTheme="minorHAnsi" w:cstheme="minorHAnsi"/>
                <w:b/>
                <w:szCs w:val="24"/>
              </w:rPr>
              <w:t xml:space="preserve"> </w:t>
            </w:r>
            <w:r w:rsidR="009C07F8">
              <w:rPr>
                <w:rFonts w:asciiTheme="minorHAnsi" w:hAnsiTheme="minorHAnsi" w:cstheme="minorHAnsi"/>
                <w:b/>
                <w:szCs w:val="24"/>
              </w:rPr>
              <w:br/>
            </w:r>
            <w:r w:rsidRPr="004B77D6">
              <w:rPr>
                <w:rFonts w:asciiTheme="minorHAnsi" w:hAnsiTheme="minorHAnsi" w:cstheme="minorHAnsi"/>
                <w:szCs w:val="24"/>
              </w:rPr>
              <w:t>i wydania decyzji o środowiskowych uwarunkowaniach.</w:t>
            </w:r>
          </w:p>
        </w:tc>
      </w:tr>
    </w:tbl>
    <w:p w14:paraId="3E071B34" w14:textId="6E76D45E" w:rsidR="00361CC4" w:rsidRDefault="00361CC4" w:rsidP="006A3CC3">
      <w:pPr>
        <w:autoSpaceDE w:val="0"/>
        <w:autoSpaceDN w:val="0"/>
        <w:adjustRightInd w:val="0"/>
        <w:spacing w:before="120" w:after="120" w:line="276" w:lineRule="auto"/>
        <w:rPr>
          <w:rFonts w:asciiTheme="minorHAnsi" w:hAnsiTheme="minorHAnsi" w:cstheme="minorHAnsi"/>
          <w:szCs w:val="24"/>
        </w:rPr>
      </w:pPr>
      <w:r w:rsidRPr="004B77D6">
        <w:rPr>
          <w:rFonts w:asciiTheme="minorHAnsi" w:hAnsiTheme="minorHAnsi" w:cstheme="minorHAnsi"/>
          <w:szCs w:val="24"/>
        </w:rPr>
        <w:t xml:space="preserve">W przypadku projektów </w:t>
      </w:r>
      <w:r w:rsidR="009C07F8" w:rsidRPr="004B77D6">
        <w:rPr>
          <w:rFonts w:asciiTheme="minorHAnsi" w:hAnsiTheme="minorHAnsi" w:cstheme="minorHAnsi"/>
          <w:b/>
          <w:szCs w:val="24"/>
        </w:rPr>
        <w:t>n</w:t>
      </w:r>
      <w:r w:rsidR="009C07F8" w:rsidRPr="009C07F8">
        <w:rPr>
          <w:rFonts w:asciiTheme="minorHAnsi" w:hAnsiTheme="minorHAnsi" w:cstheme="minorHAnsi"/>
          <w:b/>
          <w:szCs w:val="24"/>
        </w:rPr>
        <w:t>iewymagających</w:t>
      </w:r>
      <w:r w:rsidRPr="004B77D6">
        <w:rPr>
          <w:rFonts w:asciiTheme="minorHAnsi" w:hAnsiTheme="minorHAnsi" w:cstheme="minorHAnsi"/>
          <w:b/>
          <w:szCs w:val="24"/>
        </w:rPr>
        <w:t xml:space="preserve"> przeprowadzenia postępowania</w:t>
      </w:r>
      <w:r w:rsidR="001D7621" w:rsidRPr="004B77D6">
        <w:rPr>
          <w:rFonts w:asciiTheme="minorHAnsi" w:hAnsiTheme="minorHAnsi" w:cstheme="minorHAnsi"/>
          <w:b/>
          <w:szCs w:val="24"/>
        </w:rPr>
        <w:t xml:space="preserve"> w </w:t>
      </w:r>
      <w:r w:rsidRPr="004B77D6">
        <w:rPr>
          <w:rFonts w:asciiTheme="minorHAnsi" w:hAnsiTheme="minorHAnsi" w:cstheme="minorHAnsi"/>
          <w:b/>
          <w:szCs w:val="24"/>
        </w:rPr>
        <w:t>sprawie OOŚ,</w:t>
      </w:r>
      <w:r w:rsidRPr="004B77D6">
        <w:rPr>
          <w:rFonts w:asciiTheme="minorHAnsi" w:hAnsiTheme="minorHAnsi" w:cstheme="minorHAnsi"/>
          <w:szCs w:val="24"/>
        </w:rPr>
        <w:t xml:space="preserve"> tj. przedsięwzięć nie ujętych w ww. rozporządzeniach oraz Dyrektywie Parlamentu Europejskiego i Rady 2011/92/UE z dnia 13 grudnia 2011 r. w sprawie oceny skutków wywieranych przez niektóre przedsięwzięcia publiczne i prywatne na środowisko </w:t>
      </w:r>
      <w:r w:rsidR="005353C4">
        <w:rPr>
          <w:rFonts w:asciiTheme="minorHAnsi" w:hAnsiTheme="minorHAnsi" w:cstheme="minorHAnsi"/>
          <w:szCs w:val="24"/>
        </w:rPr>
        <w:t>(tekst jednolity)</w:t>
      </w:r>
      <w:r w:rsidR="005353C4" w:rsidRPr="004B77D6">
        <w:rPr>
          <w:rFonts w:asciiTheme="minorHAnsi" w:hAnsiTheme="minorHAnsi" w:cstheme="minorHAnsi"/>
          <w:szCs w:val="24"/>
        </w:rPr>
        <w:t xml:space="preserve"> (</w:t>
      </w:r>
      <w:r w:rsidR="005353C4" w:rsidRPr="004B77D6">
        <w:rPr>
          <w:rFonts w:ascii="Calibri" w:hAnsi="Calibri"/>
          <w:szCs w:val="16"/>
        </w:rPr>
        <w:t>Dz.</w:t>
      </w:r>
      <w:r w:rsidR="005353C4">
        <w:rPr>
          <w:rFonts w:ascii="Calibri" w:hAnsi="Calibri"/>
          <w:szCs w:val="16"/>
        </w:rPr>
        <w:t xml:space="preserve"> </w:t>
      </w:r>
      <w:r w:rsidR="005353C4" w:rsidRPr="004B77D6">
        <w:rPr>
          <w:rFonts w:ascii="Calibri" w:hAnsi="Calibri"/>
          <w:szCs w:val="16"/>
        </w:rPr>
        <w:t>U.</w:t>
      </w:r>
      <w:r w:rsidR="005353C4">
        <w:rPr>
          <w:rFonts w:ascii="Calibri" w:hAnsi="Calibri"/>
          <w:szCs w:val="16"/>
        </w:rPr>
        <w:t xml:space="preserve"> UE.</w:t>
      </w:r>
      <w:r w:rsidR="005353C4" w:rsidRPr="004B77D6">
        <w:rPr>
          <w:rFonts w:ascii="Calibri" w:hAnsi="Calibri"/>
          <w:szCs w:val="16"/>
        </w:rPr>
        <w:t xml:space="preserve"> L</w:t>
      </w:r>
      <w:r w:rsidR="005353C4">
        <w:rPr>
          <w:rFonts w:ascii="Calibri" w:hAnsi="Calibri"/>
          <w:szCs w:val="16"/>
        </w:rPr>
        <w:t>.</w:t>
      </w:r>
      <w:r w:rsidR="005353C4" w:rsidRPr="004B77D6">
        <w:rPr>
          <w:rFonts w:ascii="Calibri" w:hAnsi="Calibri"/>
          <w:szCs w:val="16"/>
        </w:rPr>
        <w:t xml:space="preserve"> z 2012</w:t>
      </w:r>
      <w:r w:rsidR="005353C4">
        <w:rPr>
          <w:rFonts w:ascii="Calibri" w:hAnsi="Calibri"/>
          <w:szCs w:val="16"/>
        </w:rPr>
        <w:t xml:space="preserve"> r. Nr 26, </w:t>
      </w:r>
      <w:r w:rsidR="005353C4" w:rsidRPr="004B77D6">
        <w:rPr>
          <w:rFonts w:ascii="Calibri" w:hAnsi="Calibri"/>
          <w:szCs w:val="16"/>
        </w:rPr>
        <w:t>s</w:t>
      </w:r>
      <w:r w:rsidR="005353C4">
        <w:rPr>
          <w:rFonts w:ascii="Calibri" w:hAnsi="Calibri"/>
          <w:szCs w:val="16"/>
        </w:rPr>
        <w:t>tr</w:t>
      </w:r>
      <w:r w:rsidR="005353C4" w:rsidRPr="004B77D6">
        <w:rPr>
          <w:rFonts w:ascii="Calibri" w:hAnsi="Calibri"/>
          <w:szCs w:val="16"/>
        </w:rPr>
        <w:t>. 1</w:t>
      </w:r>
      <w:r w:rsidR="005353C4" w:rsidRPr="004B77D6">
        <w:rPr>
          <w:rFonts w:asciiTheme="minorHAnsi" w:hAnsiTheme="minorHAnsi" w:cstheme="minorHAnsi"/>
          <w:szCs w:val="24"/>
        </w:rPr>
        <w:t>, zmienionej przez dyrektywę 2014/52/UE z dnia 16 kwietnia 2014 r.</w:t>
      </w:r>
      <w:r w:rsidR="005353C4">
        <w:rPr>
          <w:rFonts w:asciiTheme="minorHAnsi" w:hAnsiTheme="minorHAnsi" w:cstheme="minorHAnsi"/>
          <w:szCs w:val="24"/>
        </w:rPr>
        <w:t>)</w:t>
      </w:r>
      <w:r w:rsidRPr="004B77D6">
        <w:rPr>
          <w:rFonts w:asciiTheme="minorHAnsi" w:hAnsiTheme="minorHAnsi" w:cstheme="minorHAnsi"/>
          <w:szCs w:val="24"/>
        </w:rPr>
        <w:t xml:space="preserve">, </w:t>
      </w:r>
      <w:r w:rsidR="004E4EE7">
        <w:rPr>
          <w:rFonts w:asciiTheme="minorHAnsi" w:hAnsiTheme="minorHAnsi" w:cstheme="minorHAnsi"/>
          <w:szCs w:val="24"/>
        </w:rPr>
        <w:t>W</w:t>
      </w:r>
      <w:r w:rsidRPr="004B77D6">
        <w:rPr>
          <w:rFonts w:asciiTheme="minorHAnsi" w:hAnsiTheme="minorHAnsi" w:cstheme="minorHAnsi"/>
          <w:szCs w:val="24"/>
        </w:rPr>
        <w:t>nioskodawcy zobowiązani są dołączyć odpowiednie oświadczenie (oświadczenie zawarte zostało w punkcie II w załączniku nr 2 do wniosku, którego wzór znajduje się w Załączniku nr 5 do Regulaminu).</w:t>
      </w:r>
    </w:p>
    <w:p w14:paraId="2499FDB3" w14:textId="77777777" w:rsidR="00F16CD4" w:rsidRDefault="00F16CD4" w:rsidP="006A3CC3">
      <w:pPr>
        <w:autoSpaceDE w:val="0"/>
        <w:autoSpaceDN w:val="0"/>
        <w:adjustRightInd w:val="0"/>
        <w:spacing w:before="120" w:after="120" w:line="276" w:lineRule="auto"/>
        <w:rPr>
          <w:rFonts w:asciiTheme="minorHAnsi" w:hAnsiTheme="minorHAnsi" w:cstheme="minorHAnsi"/>
          <w:szCs w:val="24"/>
        </w:rPr>
      </w:pPr>
    </w:p>
    <w:p w14:paraId="099FB08B" w14:textId="77777777" w:rsidR="00F16CD4" w:rsidRDefault="00F16CD4" w:rsidP="006A3CC3">
      <w:pPr>
        <w:autoSpaceDE w:val="0"/>
        <w:autoSpaceDN w:val="0"/>
        <w:adjustRightInd w:val="0"/>
        <w:spacing w:before="120" w:after="120" w:line="276" w:lineRule="auto"/>
        <w:rPr>
          <w:rFonts w:asciiTheme="minorHAnsi" w:hAnsiTheme="minorHAnsi" w:cstheme="minorHAnsi"/>
          <w:szCs w:val="24"/>
        </w:rPr>
      </w:pPr>
    </w:p>
    <w:tbl>
      <w:tblPr>
        <w:tblStyle w:val="Tabela-Siatka"/>
        <w:tblW w:w="0" w:type="auto"/>
        <w:tblInd w:w="-15" w:type="dxa"/>
        <w:tblBorders>
          <w:top w:val="single" w:sz="12" w:space="0" w:color="FF0000"/>
          <w:left w:val="single" w:sz="12" w:space="0" w:color="FF0000"/>
          <w:bottom w:val="single" w:sz="12" w:space="0" w:color="FF0000"/>
          <w:right w:val="single" w:sz="12" w:space="0" w:color="FF0000"/>
          <w:insideH w:val="single" w:sz="12" w:space="0" w:color="FF0000"/>
          <w:insideV w:val="single" w:sz="12" w:space="0" w:color="FF0000"/>
        </w:tblBorders>
        <w:tblLook w:val="04A0" w:firstRow="1" w:lastRow="0" w:firstColumn="1" w:lastColumn="0" w:noHBand="0" w:noVBand="1"/>
      </w:tblPr>
      <w:tblGrid>
        <w:gridCol w:w="9055"/>
      </w:tblGrid>
      <w:tr w:rsidR="001D7621" w:rsidRPr="004B77D6" w14:paraId="065684CF" w14:textId="77777777" w:rsidTr="002743D4">
        <w:tc>
          <w:tcPr>
            <w:tcW w:w="9055" w:type="dxa"/>
          </w:tcPr>
          <w:p w14:paraId="319CC091" w14:textId="55AB170B" w:rsidR="001D7621" w:rsidRPr="004B77D6" w:rsidRDefault="001D7621" w:rsidP="001D7621">
            <w:pPr>
              <w:autoSpaceDE w:val="0"/>
              <w:autoSpaceDN w:val="0"/>
              <w:adjustRightInd w:val="0"/>
              <w:spacing w:before="120" w:after="120" w:line="276" w:lineRule="auto"/>
              <w:rPr>
                <w:rFonts w:asciiTheme="minorHAnsi" w:hAnsiTheme="minorHAnsi" w:cstheme="minorHAnsi"/>
                <w:szCs w:val="24"/>
              </w:rPr>
            </w:pPr>
            <w:r w:rsidRPr="004B77D6">
              <w:rPr>
                <w:rFonts w:asciiTheme="minorHAnsi" w:hAnsiTheme="minorHAnsi" w:cstheme="minorHAnsi"/>
                <w:b/>
                <w:szCs w:val="24"/>
              </w:rPr>
              <w:lastRenderedPageBreak/>
              <w:t>U</w:t>
            </w:r>
            <w:r w:rsidR="00D66998">
              <w:rPr>
                <w:rFonts w:asciiTheme="minorHAnsi" w:hAnsiTheme="minorHAnsi" w:cstheme="minorHAnsi"/>
                <w:b/>
                <w:szCs w:val="24"/>
              </w:rPr>
              <w:t>WAGA</w:t>
            </w:r>
            <w:r w:rsidRPr="004B77D6">
              <w:rPr>
                <w:rFonts w:asciiTheme="minorHAnsi" w:hAnsiTheme="minorHAnsi" w:cstheme="minorHAnsi"/>
                <w:b/>
                <w:szCs w:val="24"/>
              </w:rPr>
              <w:t>!</w:t>
            </w:r>
          </w:p>
          <w:p w14:paraId="46F37EDB" w14:textId="5CAC20A3" w:rsidR="001D7621" w:rsidRPr="004B77D6" w:rsidRDefault="001D7621" w:rsidP="001D7621">
            <w:pPr>
              <w:autoSpaceDE w:val="0"/>
              <w:autoSpaceDN w:val="0"/>
              <w:adjustRightInd w:val="0"/>
              <w:spacing w:before="120" w:after="120" w:line="276" w:lineRule="auto"/>
              <w:rPr>
                <w:rFonts w:cstheme="minorHAnsi"/>
                <w:szCs w:val="24"/>
              </w:rPr>
            </w:pPr>
            <w:r w:rsidRPr="004B77D6">
              <w:rPr>
                <w:rFonts w:asciiTheme="minorHAnsi" w:hAnsiTheme="minorHAnsi" w:cstheme="minorHAnsi"/>
                <w:szCs w:val="24"/>
              </w:rPr>
              <w:t>IZ FEO 2021</w:t>
            </w:r>
            <w:r w:rsidR="005A0231">
              <w:rPr>
                <w:rFonts w:asciiTheme="minorHAnsi" w:hAnsiTheme="minorHAnsi" w:cstheme="minorHAnsi"/>
                <w:szCs w:val="24"/>
              </w:rPr>
              <w:t>-</w:t>
            </w:r>
            <w:r w:rsidRPr="004B77D6">
              <w:rPr>
                <w:rFonts w:asciiTheme="minorHAnsi" w:hAnsiTheme="minorHAnsi" w:cstheme="minorHAnsi"/>
                <w:szCs w:val="24"/>
              </w:rPr>
              <w:t>2027 może na każdym etapie procedury zażądać od Wnioskodawcy pełnej dokumentacji o przeprowadzonej ocenie oddziaływania na środowisko.</w:t>
            </w:r>
          </w:p>
        </w:tc>
      </w:tr>
    </w:tbl>
    <w:p w14:paraId="0501DB74" w14:textId="52F3CC68" w:rsidR="00361CC4" w:rsidRPr="004B77D6" w:rsidRDefault="009815C7" w:rsidP="00361CC4">
      <w:pPr>
        <w:autoSpaceDE w:val="0"/>
        <w:autoSpaceDN w:val="0"/>
        <w:adjustRightInd w:val="0"/>
        <w:spacing w:after="120" w:line="276" w:lineRule="auto"/>
        <w:ind w:firstLine="709"/>
        <w:rPr>
          <w:rFonts w:asciiTheme="minorHAnsi" w:hAnsiTheme="minorHAnsi" w:cstheme="minorHAnsi"/>
          <w:bCs/>
          <w:szCs w:val="24"/>
        </w:rPr>
      </w:pPr>
      <w:r>
        <w:rPr>
          <w:rFonts w:asciiTheme="minorHAnsi" w:hAnsiTheme="minorHAnsi" w:cstheme="minorHAnsi"/>
          <w:bCs/>
          <w:szCs w:val="24"/>
        </w:rPr>
        <w:br/>
      </w:r>
      <w:r w:rsidR="00361CC4" w:rsidRPr="004B77D6">
        <w:rPr>
          <w:rFonts w:asciiTheme="minorHAnsi" w:hAnsiTheme="minorHAnsi" w:cstheme="minorHAnsi"/>
          <w:bCs/>
          <w:szCs w:val="24"/>
        </w:rPr>
        <w:t>W razie wątpliwości Wnioskodawcy, co do klasyfikacji przedsięwzięcia dopuszcza się załączenie postanowienia organu o braku przesłanek do przeprowadzenia postępowania w przedmiocie wydania decyzji o środowiskowych uwarunkowaniach.</w:t>
      </w:r>
    </w:p>
    <w:p w14:paraId="334C9302" w14:textId="524800CA" w:rsidR="00361CC4" w:rsidRPr="004B77D6" w:rsidRDefault="00361CC4" w:rsidP="006A3CC3">
      <w:pPr>
        <w:spacing w:line="276" w:lineRule="auto"/>
        <w:rPr>
          <w:rFonts w:asciiTheme="minorHAnsi" w:hAnsiTheme="minorHAnsi" w:cstheme="minorHAnsi"/>
          <w:szCs w:val="24"/>
        </w:rPr>
      </w:pPr>
      <w:r w:rsidRPr="00757490">
        <w:rPr>
          <w:rFonts w:asciiTheme="minorHAnsi" w:hAnsiTheme="minorHAnsi" w:cstheme="minorHAnsi"/>
          <w:b/>
          <w:bCs/>
          <w:szCs w:val="24"/>
        </w:rPr>
        <w:t xml:space="preserve">W przypadku projektów </w:t>
      </w:r>
      <w:r w:rsidR="004F5888" w:rsidRPr="00757490">
        <w:rPr>
          <w:rFonts w:asciiTheme="minorHAnsi" w:hAnsiTheme="minorHAnsi" w:cstheme="minorHAnsi"/>
          <w:b/>
          <w:bCs/>
          <w:szCs w:val="24"/>
        </w:rPr>
        <w:t>realizowanych w formule zaprojektuj i wybuduj tj. na podstawie programu funkcjonalno-użytkowego</w:t>
      </w:r>
      <w:r w:rsidRPr="004B77D6">
        <w:rPr>
          <w:rFonts w:asciiTheme="minorHAnsi" w:hAnsiTheme="minorHAnsi" w:cstheme="minorHAnsi"/>
          <w:szCs w:val="24"/>
        </w:rPr>
        <w:t>, proces oceny dokumentacji z przeprowadzonej procedury oceny oddziaływania na środowisko przebiega dwustopniowo:</w:t>
      </w:r>
    </w:p>
    <w:p w14:paraId="1BB09177" w14:textId="644AA154" w:rsidR="00361CC4" w:rsidRPr="004B77D6" w:rsidRDefault="00361CC4" w:rsidP="00757490">
      <w:pPr>
        <w:pStyle w:val="Akapitzlist"/>
        <w:numPr>
          <w:ilvl w:val="0"/>
          <w:numId w:val="54"/>
        </w:numPr>
        <w:spacing w:before="120"/>
        <w:ind w:left="357" w:hanging="357"/>
        <w:rPr>
          <w:rFonts w:asciiTheme="minorHAnsi" w:hAnsiTheme="minorHAnsi" w:cstheme="minorHAnsi"/>
          <w:sz w:val="24"/>
          <w:szCs w:val="24"/>
        </w:rPr>
      </w:pPr>
      <w:r w:rsidRPr="004B77D6">
        <w:rPr>
          <w:rFonts w:asciiTheme="minorHAnsi" w:hAnsiTheme="minorHAnsi" w:cstheme="minorHAnsi"/>
          <w:sz w:val="24"/>
          <w:szCs w:val="24"/>
        </w:rPr>
        <w:t>Pierwszy etap obejmuje ocenę procedury oddziaływania na środowisko przeprowadzonej na etapie tworzenia koncepcji określonego przedsięwzięcia – Wnioskodawca w momencie składania wniosku o dofinansowanie zobowiązany jest dostarczyć dokumentację środowiskową dla planowanego przedsięwzięcia</w:t>
      </w:r>
      <w:r w:rsidR="00180835">
        <w:rPr>
          <w:rFonts w:asciiTheme="minorHAnsi" w:hAnsiTheme="minorHAnsi" w:cstheme="minorHAnsi"/>
          <w:sz w:val="24"/>
          <w:szCs w:val="24"/>
        </w:rPr>
        <w:t xml:space="preserve"> oraz wypełniony zgodnie z załączoną dokumentacją Formularz OOŚ. </w:t>
      </w:r>
      <w:r w:rsidRPr="004B77D6">
        <w:rPr>
          <w:rFonts w:asciiTheme="minorHAnsi" w:hAnsiTheme="minorHAnsi" w:cstheme="minorHAnsi"/>
          <w:sz w:val="24"/>
          <w:szCs w:val="24"/>
        </w:rPr>
        <w:t>.</w:t>
      </w:r>
    </w:p>
    <w:p w14:paraId="690BAFB6" w14:textId="6C0E56F3" w:rsidR="009815C7" w:rsidRDefault="00361CC4" w:rsidP="009815C7">
      <w:pPr>
        <w:pStyle w:val="Akapitzlist"/>
        <w:numPr>
          <w:ilvl w:val="0"/>
          <w:numId w:val="54"/>
        </w:numPr>
        <w:spacing w:after="120"/>
        <w:rPr>
          <w:sz w:val="24"/>
          <w:szCs w:val="24"/>
        </w:rPr>
      </w:pPr>
      <w:r w:rsidRPr="00757490">
        <w:rPr>
          <w:rFonts w:asciiTheme="minorHAnsi" w:hAnsiTheme="minorHAnsi" w:cstheme="minorHAnsi"/>
          <w:sz w:val="24"/>
          <w:szCs w:val="24"/>
        </w:rPr>
        <w:t xml:space="preserve">Drugi etap polega na stwierdzeniu zgodności dostarczonego przez Wnioskodawcę pozwolenia na budowę i projektu budowlanego z przedłożoną wcześniej dokumentacją projektową (w tym z programem funkcjonalno-użytkowym). </w:t>
      </w:r>
      <w:r w:rsidR="00180835" w:rsidRPr="00757490">
        <w:rPr>
          <w:rFonts w:asciiTheme="minorHAnsi" w:hAnsiTheme="minorHAnsi" w:cstheme="minorHAnsi"/>
          <w:sz w:val="24"/>
          <w:szCs w:val="24"/>
        </w:rPr>
        <w:t>Wnioskodawca, wraz z wyżej wskazaną dokumentacj</w:t>
      </w:r>
      <w:r w:rsidR="00356829">
        <w:rPr>
          <w:rFonts w:asciiTheme="minorHAnsi" w:hAnsiTheme="minorHAnsi" w:cstheme="minorHAnsi"/>
          <w:sz w:val="24"/>
          <w:szCs w:val="24"/>
        </w:rPr>
        <w:t>ą,</w:t>
      </w:r>
      <w:r w:rsidR="00180835" w:rsidRPr="00757490">
        <w:rPr>
          <w:rFonts w:asciiTheme="minorHAnsi" w:hAnsiTheme="minorHAnsi" w:cstheme="minorHAnsi"/>
          <w:sz w:val="24"/>
          <w:szCs w:val="24"/>
        </w:rPr>
        <w:t xml:space="preserve"> składa uaktualniony formularz OOŚ. </w:t>
      </w:r>
      <w:r w:rsidRPr="00757490">
        <w:rPr>
          <w:rFonts w:asciiTheme="minorHAnsi" w:hAnsiTheme="minorHAnsi" w:cstheme="minorHAnsi"/>
          <w:sz w:val="24"/>
          <w:szCs w:val="24"/>
        </w:rPr>
        <w:t>W</w:t>
      </w:r>
      <w:r w:rsidR="004F6B06" w:rsidRPr="00757490">
        <w:rPr>
          <w:rFonts w:asciiTheme="minorHAnsi" w:hAnsiTheme="minorHAnsi" w:cstheme="minorHAnsi"/>
          <w:sz w:val="24"/>
          <w:szCs w:val="24"/>
          <w:lang w:val="pl-PL"/>
        </w:rPr>
        <w:t> </w:t>
      </w:r>
      <w:r w:rsidRPr="00757490">
        <w:rPr>
          <w:rFonts w:asciiTheme="minorHAnsi" w:hAnsiTheme="minorHAnsi" w:cstheme="minorHAnsi"/>
          <w:sz w:val="24"/>
          <w:szCs w:val="24"/>
        </w:rPr>
        <w:t>sytuacji stwierdzenia pełnej zgodności ww. dokumentów nie jest wymagan</w:t>
      </w:r>
      <w:r w:rsidR="00A937B9" w:rsidRPr="00757490">
        <w:rPr>
          <w:rFonts w:asciiTheme="minorHAnsi" w:hAnsiTheme="minorHAnsi" w:cstheme="minorHAnsi"/>
          <w:sz w:val="24"/>
          <w:szCs w:val="24"/>
        </w:rPr>
        <w:t>a</w:t>
      </w:r>
      <w:r w:rsidRPr="00757490">
        <w:rPr>
          <w:rFonts w:asciiTheme="minorHAnsi" w:hAnsiTheme="minorHAnsi" w:cstheme="minorHAnsi"/>
          <w:sz w:val="24"/>
          <w:szCs w:val="24"/>
        </w:rPr>
        <w:t xml:space="preserve"> ponowna ocena dokumentacji z</w:t>
      </w:r>
      <w:r w:rsidR="006A3CC3" w:rsidRPr="00757490">
        <w:rPr>
          <w:rFonts w:asciiTheme="minorHAnsi" w:hAnsiTheme="minorHAnsi" w:cstheme="minorHAnsi"/>
          <w:sz w:val="24"/>
          <w:szCs w:val="24"/>
        </w:rPr>
        <w:t> </w:t>
      </w:r>
      <w:r w:rsidRPr="00757490">
        <w:rPr>
          <w:rFonts w:asciiTheme="minorHAnsi" w:hAnsiTheme="minorHAnsi" w:cstheme="minorHAnsi"/>
          <w:sz w:val="24"/>
          <w:szCs w:val="24"/>
        </w:rPr>
        <w:t>przeprowadzonej procedury oceny oddziaływania na środowisko. Natomiast w</w:t>
      </w:r>
      <w:r w:rsidR="006A3CC3" w:rsidRPr="00757490">
        <w:rPr>
          <w:rFonts w:asciiTheme="minorHAnsi" w:hAnsiTheme="minorHAnsi" w:cstheme="minorHAnsi"/>
          <w:sz w:val="24"/>
          <w:szCs w:val="24"/>
        </w:rPr>
        <w:t> </w:t>
      </w:r>
      <w:r w:rsidRPr="00757490">
        <w:rPr>
          <w:rFonts w:asciiTheme="minorHAnsi" w:hAnsiTheme="minorHAnsi" w:cstheme="minorHAnsi"/>
          <w:sz w:val="24"/>
          <w:szCs w:val="24"/>
        </w:rPr>
        <w:t>przypadku, gdy Wnioskodawca dokona zmian w projekcie budowlanym w stosunku do</w:t>
      </w:r>
      <w:r w:rsidR="006A3CC3" w:rsidRPr="00757490">
        <w:rPr>
          <w:rFonts w:asciiTheme="minorHAnsi" w:hAnsiTheme="minorHAnsi" w:cstheme="minorHAnsi"/>
          <w:sz w:val="24"/>
          <w:szCs w:val="24"/>
        </w:rPr>
        <w:t> </w:t>
      </w:r>
      <w:r w:rsidRPr="00757490">
        <w:rPr>
          <w:rFonts w:asciiTheme="minorHAnsi" w:hAnsiTheme="minorHAnsi" w:cstheme="minorHAnsi"/>
          <w:sz w:val="24"/>
          <w:szCs w:val="24"/>
        </w:rPr>
        <w:t>wcześniej złożonej dokumentacji projektowej, powinien wystąpić do właściwego organu o ponowne przeprowadzenie procedury OOŚ przed wystąpieniem o</w:t>
      </w:r>
      <w:r w:rsidR="00356829">
        <w:rPr>
          <w:rFonts w:asciiTheme="minorHAnsi" w:hAnsiTheme="minorHAnsi" w:cstheme="minorHAnsi"/>
          <w:sz w:val="24"/>
          <w:szCs w:val="24"/>
        </w:rPr>
        <w:t> </w:t>
      </w:r>
      <w:r w:rsidRPr="00757490">
        <w:rPr>
          <w:rFonts w:asciiTheme="minorHAnsi" w:hAnsiTheme="minorHAnsi" w:cstheme="minorHAnsi"/>
          <w:sz w:val="24"/>
          <w:szCs w:val="24"/>
        </w:rPr>
        <w:t>pozwolenie na budowę. Dokumentację</w:t>
      </w:r>
      <w:r w:rsidR="001D7621" w:rsidRPr="00757490">
        <w:rPr>
          <w:rFonts w:asciiTheme="minorHAnsi" w:hAnsiTheme="minorHAnsi" w:cstheme="minorHAnsi"/>
          <w:sz w:val="24"/>
          <w:szCs w:val="24"/>
          <w:lang w:val="pl-PL"/>
        </w:rPr>
        <w:t xml:space="preserve"> </w:t>
      </w:r>
      <w:r w:rsidRPr="00757490">
        <w:rPr>
          <w:rFonts w:asciiTheme="minorHAnsi" w:hAnsiTheme="minorHAnsi" w:cstheme="minorHAnsi"/>
          <w:sz w:val="24"/>
          <w:szCs w:val="24"/>
        </w:rPr>
        <w:t>z ponownie przeprowadzonej procedury OOŚ wraz z</w:t>
      </w:r>
      <w:r w:rsidR="006A3CC3" w:rsidRPr="00757490">
        <w:rPr>
          <w:rFonts w:asciiTheme="minorHAnsi" w:hAnsiTheme="minorHAnsi" w:cstheme="minorHAnsi"/>
          <w:sz w:val="24"/>
          <w:szCs w:val="24"/>
        </w:rPr>
        <w:t> </w:t>
      </w:r>
      <w:r w:rsidRPr="00757490">
        <w:rPr>
          <w:rFonts w:asciiTheme="minorHAnsi" w:hAnsiTheme="minorHAnsi" w:cstheme="minorHAnsi"/>
          <w:sz w:val="24"/>
          <w:szCs w:val="24"/>
        </w:rPr>
        <w:t>pozwoleniem na budowę oraz projektem budowlanym należy przedłożyć do IZ FEO 2021-2027.</w:t>
      </w:r>
      <w:r w:rsidRPr="00757490">
        <w:rPr>
          <w:sz w:val="24"/>
          <w:szCs w:val="24"/>
        </w:rPr>
        <w:t xml:space="preserve"> </w:t>
      </w:r>
    </w:p>
    <w:p w14:paraId="09EC2290" w14:textId="77777777" w:rsidR="00F16CD4" w:rsidRPr="00757490" w:rsidRDefault="00F16CD4" w:rsidP="009815C7">
      <w:pPr>
        <w:pStyle w:val="Akapitzlist"/>
        <w:numPr>
          <w:ilvl w:val="0"/>
          <w:numId w:val="54"/>
        </w:numPr>
        <w:spacing w:after="120"/>
        <w:rPr>
          <w:sz w:val="24"/>
          <w:szCs w:val="24"/>
        </w:rPr>
      </w:pPr>
    </w:p>
    <w:tbl>
      <w:tblPr>
        <w:tblStyle w:val="Tabela-Siatka"/>
        <w:tblW w:w="0" w:type="auto"/>
        <w:tblInd w:w="-15" w:type="dxa"/>
        <w:tblBorders>
          <w:top w:val="single" w:sz="12" w:space="0" w:color="FF0000"/>
          <w:left w:val="single" w:sz="12" w:space="0" w:color="FF0000"/>
          <w:bottom w:val="single" w:sz="12" w:space="0" w:color="FF0000"/>
          <w:right w:val="single" w:sz="12" w:space="0" w:color="FF0000"/>
          <w:insideH w:val="single" w:sz="12" w:space="0" w:color="FF0000"/>
          <w:insideV w:val="single" w:sz="12" w:space="0" w:color="FF0000"/>
        </w:tblBorders>
        <w:tblLook w:val="04A0" w:firstRow="1" w:lastRow="0" w:firstColumn="1" w:lastColumn="0" w:noHBand="0" w:noVBand="1"/>
      </w:tblPr>
      <w:tblGrid>
        <w:gridCol w:w="9055"/>
      </w:tblGrid>
      <w:tr w:rsidR="00DA5336" w:rsidRPr="004B77D6" w14:paraId="0B78F2F6" w14:textId="77777777" w:rsidTr="002743D4">
        <w:tc>
          <w:tcPr>
            <w:tcW w:w="9055" w:type="dxa"/>
          </w:tcPr>
          <w:p w14:paraId="403D6934" w14:textId="10FDAE59" w:rsidR="00DA5336" w:rsidRPr="004B77D6" w:rsidRDefault="00DA5336" w:rsidP="00DA5336">
            <w:pPr>
              <w:autoSpaceDE w:val="0"/>
              <w:autoSpaceDN w:val="0"/>
              <w:adjustRightInd w:val="0"/>
              <w:spacing w:before="120" w:after="120" w:line="276" w:lineRule="auto"/>
              <w:rPr>
                <w:rFonts w:asciiTheme="minorHAnsi" w:hAnsiTheme="minorHAnsi" w:cstheme="minorHAnsi"/>
                <w:b/>
                <w:szCs w:val="24"/>
              </w:rPr>
            </w:pPr>
            <w:bookmarkStart w:id="696" w:name="_Hlk129940955"/>
            <w:r w:rsidRPr="004B77D6">
              <w:rPr>
                <w:rFonts w:asciiTheme="minorHAnsi" w:hAnsiTheme="minorHAnsi" w:cstheme="minorHAnsi"/>
                <w:b/>
                <w:szCs w:val="24"/>
              </w:rPr>
              <w:t>U</w:t>
            </w:r>
            <w:r w:rsidR="00D66998">
              <w:rPr>
                <w:rFonts w:asciiTheme="minorHAnsi" w:hAnsiTheme="minorHAnsi" w:cstheme="minorHAnsi"/>
                <w:b/>
                <w:szCs w:val="24"/>
              </w:rPr>
              <w:t>WAGA</w:t>
            </w:r>
            <w:r w:rsidRPr="004B77D6">
              <w:rPr>
                <w:rFonts w:asciiTheme="minorHAnsi" w:hAnsiTheme="minorHAnsi" w:cstheme="minorHAnsi"/>
                <w:b/>
                <w:szCs w:val="24"/>
              </w:rPr>
              <w:t>!</w:t>
            </w:r>
          </w:p>
          <w:p w14:paraId="4187A2AF" w14:textId="17168BC3" w:rsidR="00DA5336" w:rsidRPr="004B77D6" w:rsidRDefault="00DA5336" w:rsidP="00DA5336">
            <w:pPr>
              <w:autoSpaceDE w:val="0"/>
              <w:autoSpaceDN w:val="0"/>
              <w:adjustRightInd w:val="0"/>
              <w:spacing w:before="120" w:after="120" w:line="276" w:lineRule="auto"/>
              <w:rPr>
                <w:rFonts w:cstheme="minorHAnsi"/>
                <w:szCs w:val="24"/>
              </w:rPr>
            </w:pPr>
            <w:r w:rsidRPr="004B77D6">
              <w:rPr>
                <w:rFonts w:asciiTheme="minorHAnsi" w:hAnsiTheme="minorHAnsi" w:cstheme="minorHAnsi"/>
                <w:szCs w:val="24"/>
              </w:rPr>
              <w:t xml:space="preserve">W przypadku projektów </w:t>
            </w:r>
            <w:r w:rsidR="004F5888">
              <w:rPr>
                <w:rFonts w:asciiTheme="minorHAnsi" w:hAnsiTheme="minorHAnsi" w:cstheme="minorHAnsi"/>
                <w:szCs w:val="24"/>
              </w:rPr>
              <w:t>realizowanych w formule zaprojektuj i wybuduj</w:t>
            </w:r>
            <w:r w:rsidR="005A0231">
              <w:rPr>
                <w:rFonts w:asciiTheme="minorHAnsi" w:hAnsiTheme="minorHAnsi" w:cstheme="minorHAnsi"/>
                <w:szCs w:val="24"/>
              </w:rPr>
              <w:t>,</w:t>
            </w:r>
            <w:r w:rsidR="004F5888">
              <w:rPr>
                <w:rFonts w:asciiTheme="minorHAnsi" w:hAnsiTheme="minorHAnsi" w:cstheme="minorHAnsi"/>
                <w:szCs w:val="24"/>
              </w:rPr>
              <w:t xml:space="preserve"> tj. na podstawie </w:t>
            </w:r>
            <w:r w:rsidR="004F5888" w:rsidRPr="0089006E">
              <w:rPr>
                <w:rFonts w:asciiTheme="minorHAnsi" w:hAnsiTheme="minorHAnsi" w:cstheme="minorHAnsi"/>
                <w:szCs w:val="24"/>
              </w:rPr>
              <w:t>program</w:t>
            </w:r>
            <w:r w:rsidR="004F5888">
              <w:rPr>
                <w:rFonts w:asciiTheme="minorHAnsi" w:hAnsiTheme="minorHAnsi" w:cstheme="minorHAnsi"/>
                <w:szCs w:val="24"/>
              </w:rPr>
              <w:t>u</w:t>
            </w:r>
            <w:r w:rsidR="004F5888" w:rsidRPr="0089006E">
              <w:rPr>
                <w:rFonts w:asciiTheme="minorHAnsi" w:hAnsiTheme="minorHAnsi" w:cstheme="minorHAnsi"/>
                <w:szCs w:val="24"/>
              </w:rPr>
              <w:t xml:space="preserve"> funkcjonalno-użytkow</w:t>
            </w:r>
            <w:r w:rsidR="004F5888">
              <w:rPr>
                <w:rFonts w:asciiTheme="minorHAnsi" w:hAnsiTheme="minorHAnsi" w:cstheme="minorHAnsi"/>
                <w:szCs w:val="24"/>
              </w:rPr>
              <w:t>ego</w:t>
            </w:r>
            <w:r w:rsidRPr="004B77D6">
              <w:rPr>
                <w:rFonts w:asciiTheme="minorHAnsi" w:hAnsiTheme="minorHAnsi" w:cstheme="minorHAnsi"/>
                <w:szCs w:val="24"/>
              </w:rPr>
              <w:t>, które zostaną wybrane do dofinansowania, natomiast dostarczona dokumentacja z postępowania OOŚ wskaże znacząco negatywne oddziaływanie projektu na środowisko, projekt nie będzie mógł być zrealizowany ze</w:t>
            </w:r>
            <w:r w:rsidR="001512DB">
              <w:rPr>
                <w:rFonts w:asciiTheme="minorHAnsi" w:hAnsiTheme="minorHAnsi" w:cstheme="minorHAnsi"/>
                <w:szCs w:val="24"/>
              </w:rPr>
              <w:t> </w:t>
            </w:r>
            <w:r w:rsidRPr="004B77D6">
              <w:rPr>
                <w:rFonts w:asciiTheme="minorHAnsi" w:hAnsiTheme="minorHAnsi" w:cstheme="minorHAnsi"/>
                <w:szCs w:val="24"/>
              </w:rPr>
              <w:t>środków FEO 2021</w:t>
            </w:r>
            <w:r w:rsidR="005A0231">
              <w:rPr>
                <w:rFonts w:asciiTheme="minorHAnsi" w:hAnsiTheme="minorHAnsi" w:cstheme="minorHAnsi"/>
                <w:szCs w:val="24"/>
              </w:rPr>
              <w:t>-</w:t>
            </w:r>
            <w:r w:rsidRPr="004B77D6">
              <w:rPr>
                <w:rFonts w:asciiTheme="minorHAnsi" w:hAnsiTheme="minorHAnsi" w:cstheme="minorHAnsi"/>
                <w:szCs w:val="24"/>
              </w:rPr>
              <w:t>2027.</w:t>
            </w:r>
          </w:p>
        </w:tc>
      </w:tr>
      <w:bookmarkEnd w:id="696"/>
    </w:tbl>
    <w:p w14:paraId="0EB162D5" w14:textId="77777777" w:rsidR="00FA7989" w:rsidRDefault="00FA7989" w:rsidP="00361CC4">
      <w:pPr>
        <w:spacing w:after="120" w:line="276" w:lineRule="auto"/>
        <w:rPr>
          <w:rFonts w:asciiTheme="minorHAnsi" w:hAnsiTheme="minorHAnsi" w:cstheme="minorHAnsi"/>
          <w:b/>
          <w:szCs w:val="24"/>
        </w:rPr>
      </w:pPr>
    </w:p>
    <w:p w14:paraId="335C8166" w14:textId="77777777" w:rsidR="00F16CD4" w:rsidRDefault="00F16CD4" w:rsidP="0071603D">
      <w:pPr>
        <w:spacing w:after="120" w:line="276" w:lineRule="auto"/>
        <w:rPr>
          <w:rFonts w:asciiTheme="minorHAnsi" w:hAnsiTheme="minorHAnsi" w:cstheme="minorHAnsi"/>
          <w:b/>
          <w:u w:val="single"/>
        </w:rPr>
      </w:pPr>
    </w:p>
    <w:p w14:paraId="4B5EB5D2" w14:textId="7EDCEDFB" w:rsidR="00764854" w:rsidRPr="004B77D6" w:rsidRDefault="00764854" w:rsidP="0071603D">
      <w:pPr>
        <w:spacing w:after="120" w:line="276" w:lineRule="auto"/>
        <w:rPr>
          <w:rFonts w:asciiTheme="minorHAnsi" w:hAnsiTheme="minorHAnsi" w:cstheme="minorHAnsi"/>
          <w:b/>
          <w:u w:val="single"/>
        </w:rPr>
      </w:pPr>
      <w:r w:rsidRPr="004B77D6">
        <w:rPr>
          <w:rFonts w:asciiTheme="minorHAnsi" w:hAnsiTheme="minorHAnsi" w:cstheme="minorHAnsi"/>
          <w:b/>
          <w:u w:val="single"/>
        </w:rPr>
        <w:lastRenderedPageBreak/>
        <w:t>INSTRUKCJA WYPEŁNIANIA FORMULARZA OOŚ</w:t>
      </w:r>
    </w:p>
    <w:tbl>
      <w:tblPr>
        <w:tblStyle w:val="Tabela-Siatka"/>
        <w:tblW w:w="0" w:type="auto"/>
        <w:tblBorders>
          <w:top w:val="single" w:sz="12" w:space="0" w:color="FF0000"/>
          <w:left w:val="single" w:sz="12" w:space="0" w:color="FF0000"/>
          <w:bottom w:val="single" w:sz="12" w:space="0" w:color="FF0000"/>
          <w:right w:val="single" w:sz="12" w:space="0" w:color="FF0000"/>
          <w:insideH w:val="none" w:sz="0" w:space="0" w:color="auto"/>
          <w:insideV w:val="none" w:sz="0" w:space="0" w:color="auto"/>
        </w:tblBorders>
        <w:tblCellMar>
          <w:left w:w="142" w:type="dxa"/>
          <w:right w:w="142" w:type="dxa"/>
        </w:tblCellMar>
        <w:tblLook w:val="04A0" w:firstRow="1" w:lastRow="0" w:firstColumn="1" w:lastColumn="0" w:noHBand="0" w:noVBand="1"/>
      </w:tblPr>
      <w:tblGrid>
        <w:gridCol w:w="9040"/>
      </w:tblGrid>
      <w:tr w:rsidR="001D7621" w:rsidRPr="004B77D6" w14:paraId="52EC8CF1" w14:textId="77777777" w:rsidTr="001512DB">
        <w:tc>
          <w:tcPr>
            <w:tcW w:w="9060" w:type="dxa"/>
          </w:tcPr>
          <w:p w14:paraId="5E2E9A90" w14:textId="3204F26E" w:rsidR="001D7621" w:rsidRPr="004B77D6" w:rsidRDefault="001D7621" w:rsidP="002743D4">
            <w:pPr>
              <w:spacing w:after="120" w:line="276" w:lineRule="auto"/>
              <w:ind w:left="-108"/>
              <w:rPr>
                <w:rFonts w:asciiTheme="minorHAnsi" w:hAnsiTheme="minorHAnsi" w:cstheme="minorHAnsi"/>
                <w:b/>
                <w:bCs/>
                <w:szCs w:val="24"/>
              </w:rPr>
            </w:pPr>
            <w:r w:rsidRPr="004B77D6">
              <w:rPr>
                <w:rFonts w:asciiTheme="minorHAnsi" w:hAnsiTheme="minorHAnsi" w:cstheme="minorHAnsi"/>
                <w:b/>
                <w:bCs/>
                <w:szCs w:val="24"/>
              </w:rPr>
              <w:t>U</w:t>
            </w:r>
            <w:r w:rsidR="00D66998">
              <w:rPr>
                <w:rFonts w:asciiTheme="minorHAnsi" w:hAnsiTheme="minorHAnsi" w:cstheme="minorHAnsi"/>
                <w:b/>
                <w:bCs/>
                <w:szCs w:val="24"/>
              </w:rPr>
              <w:t>WAGA</w:t>
            </w:r>
            <w:r w:rsidRPr="004B77D6">
              <w:rPr>
                <w:rFonts w:asciiTheme="minorHAnsi" w:hAnsiTheme="minorHAnsi" w:cstheme="minorHAnsi"/>
                <w:b/>
                <w:bCs/>
                <w:szCs w:val="24"/>
              </w:rPr>
              <w:t>!</w:t>
            </w:r>
          </w:p>
          <w:p w14:paraId="3CEC5E5B" w14:textId="0C1FE81C" w:rsidR="001D7621" w:rsidRPr="004B77D6" w:rsidRDefault="001D7621" w:rsidP="002743D4">
            <w:pPr>
              <w:spacing w:after="120" w:line="276" w:lineRule="auto"/>
              <w:ind w:left="-108"/>
              <w:rPr>
                <w:rFonts w:asciiTheme="minorHAnsi" w:hAnsiTheme="minorHAnsi" w:cstheme="minorHAnsi"/>
                <w:szCs w:val="24"/>
              </w:rPr>
            </w:pPr>
            <w:r w:rsidRPr="004B77D6">
              <w:rPr>
                <w:rFonts w:asciiTheme="minorHAnsi" w:hAnsiTheme="minorHAnsi" w:cstheme="minorHAnsi"/>
                <w:szCs w:val="24"/>
              </w:rPr>
              <w:t>Wzór Formularza w zakresie wpływu projektu na środowisko został zamieszczony we</w:t>
            </w:r>
            <w:r w:rsidR="001512DB">
              <w:rPr>
                <w:rFonts w:asciiTheme="minorHAnsi" w:hAnsiTheme="minorHAnsi" w:cstheme="minorHAnsi"/>
                <w:szCs w:val="24"/>
              </w:rPr>
              <w:t> </w:t>
            </w:r>
            <w:r w:rsidRPr="004B77D6">
              <w:rPr>
                <w:rFonts w:asciiTheme="minorHAnsi" w:hAnsiTheme="minorHAnsi" w:cstheme="minorHAnsi"/>
                <w:szCs w:val="24"/>
              </w:rPr>
              <w:t xml:space="preserve">wzorze załącznika nr 2 do wniosku, </w:t>
            </w:r>
            <w:r w:rsidR="009C07F8" w:rsidRPr="004B77D6">
              <w:rPr>
                <w:rFonts w:asciiTheme="minorHAnsi" w:hAnsiTheme="minorHAnsi" w:cstheme="minorHAnsi"/>
                <w:szCs w:val="24"/>
              </w:rPr>
              <w:t>w załączniku</w:t>
            </w:r>
            <w:r w:rsidRPr="004B77D6">
              <w:rPr>
                <w:rFonts w:asciiTheme="minorHAnsi" w:hAnsiTheme="minorHAnsi" w:cstheme="minorHAnsi"/>
                <w:szCs w:val="24"/>
              </w:rPr>
              <w:t xml:space="preserve"> nr 5 do Regulaminu.</w:t>
            </w:r>
          </w:p>
        </w:tc>
      </w:tr>
    </w:tbl>
    <w:p w14:paraId="57E7E91E" w14:textId="0715FF31" w:rsidR="001D7621" w:rsidRPr="004B77D6" w:rsidRDefault="001D7621" w:rsidP="001512DB">
      <w:pPr>
        <w:spacing w:before="120" w:after="120" w:line="276" w:lineRule="auto"/>
        <w:rPr>
          <w:rFonts w:asciiTheme="minorHAnsi" w:hAnsiTheme="minorHAnsi" w:cstheme="minorHAnsi"/>
          <w:szCs w:val="24"/>
        </w:rPr>
      </w:pPr>
      <w:r w:rsidRPr="007D0C7F">
        <w:rPr>
          <w:rFonts w:asciiTheme="minorHAnsi" w:hAnsiTheme="minorHAnsi" w:cstheme="minorHAnsi"/>
          <w:b/>
          <w:bCs/>
          <w:szCs w:val="24"/>
        </w:rPr>
        <w:t>W przypadku, gdy dany projekt składa się z więcej niż jednego przedsięwzięcia, dla każdego takiego przedsięwzięcia należy odrębnie wypełnić formularz</w:t>
      </w:r>
      <w:r w:rsidR="00180835">
        <w:rPr>
          <w:rFonts w:asciiTheme="minorHAnsi" w:hAnsiTheme="minorHAnsi" w:cstheme="minorHAnsi"/>
          <w:b/>
          <w:bCs/>
          <w:szCs w:val="24"/>
        </w:rPr>
        <w:t>.</w:t>
      </w:r>
      <w:r w:rsidRPr="004B77D6">
        <w:rPr>
          <w:rFonts w:asciiTheme="minorHAnsi" w:hAnsiTheme="minorHAnsi" w:cstheme="minorHAnsi"/>
          <w:szCs w:val="24"/>
        </w:rPr>
        <w:t xml:space="preserve"> Pojęcie „przedsięwzięcie” należy rozumieć zgodnie z ustawą z dnia 3 października 2008 r. o udostępnieniu informacji o środowisku i jego ochronie, udziale społeczeństwa w ochronie środowiska oraz o ocenach oddziaływania na środowisko </w:t>
      </w:r>
      <w:r w:rsidR="007217B6">
        <w:rPr>
          <w:rFonts w:asciiTheme="minorHAnsi" w:hAnsiTheme="minorHAnsi" w:cstheme="minorHAnsi"/>
          <w:szCs w:val="24"/>
        </w:rPr>
        <w:t>(</w:t>
      </w:r>
      <w:r w:rsidRPr="004B77D6">
        <w:rPr>
          <w:rFonts w:asciiTheme="minorHAnsi" w:hAnsiTheme="minorHAnsi" w:cstheme="minorHAnsi"/>
          <w:szCs w:val="24"/>
        </w:rPr>
        <w:t>zwanej dalej ustawą OOŚ). W polach niewypełnianych należy wpisać „nie dotyczy”.</w:t>
      </w:r>
    </w:p>
    <w:p w14:paraId="042E627A" w14:textId="0363FF61" w:rsidR="00A937B9" w:rsidRPr="004B77D6" w:rsidRDefault="001D7621" w:rsidP="001512DB">
      <w:pPr>
        <w:spacing w:after="120" w:line="276" w:lineRule="auto"/>
        <w:rPr>
          <w:rFonts w:asciiTheme="minorHAnsi" w:hAnsiTheme="minorHAnsi" w:cstheme="minorHAnsi"/>
          <w:szCs w:val="24"/>
        </w:rPr>
      </w:pPr>
      <w:r w:rsidRPr="004B77D6">
        <w:rPr>
          <w:rFonts w:asciiTheme="minorHAnsi" w:hAnsiTheme="minorHAnsi" w:cstheme="minorHAnsi"/>
          <w:szCs w:val="24"/>
        </w:rPr>
        <w:t xml:space="preserve">Fundusze unijne oznaczają fundusze objęte rozporządzeniem Parlamentu Europejskiego i Rady (UE) nr 2021/1060 z dnia 24 czerwca 2021 r. ustanawiającym wspólne przepisy dotyczące Europejskiego Funduszu Rozwoju Regionalnego, Europejskiego Funduszu Społecznego Plus, Funduszu Spójności, Funduszu na rzecz Sprawiedliwej Transformacji </w:t>
      </w:r>
      <w:r w:rsidR="009C07F8">
        <w:rPr>
          <w:rFonts w:asciiTheme="minorHAnsi" w:hAnsiTheme="minorHAnsi" w:cstheme="minorHAnsi"/>
          <w:szCs w:val="24"/>
        </w:rPr>
        <w:br/>
      </w:r>
      <w:r w:rsidRPr="004B77D6">
        <w:rPr>
          <w:rFonts w:asciiTheme="minorHAnsi" w:hAnsiTheme="minorHAnsi" w:cstheme="minorHAnsi"/>
          <w:szCs w:val="24"/>
        </w:rPr>
        <w:t xml:space="preserve">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(zwanym dalej „rozporządzeniem w sprawie wspólnych przepisów na lata 2021-2027”). Beneficjent to podmiot zgodnie z art. 2 pkt 9 rozporządzenia w sprawie wspólnych przepisów na lata 2021-2027. </w:t>
      </w:r>
      <w:r w:rsidR="00A937B9" w:rsidRPr="004B77D6">
        <w:rPr>
          <w:rFonts w:asciiTheme="minorHAnsi" w:hAnsiTheme="minorHAnsi" w:cstheme="minorHAnsi"/>
          <w:szCs w:val="24"/>
        </w:rPr>
        <w:t>Pojęcie „przedsięwzięcie” należy rozumieć zgodnie z ustawą OOŚ. Zasada „nieczynienia znaczącej szkody” oznacza niewspieranie ani nieprowadzenie działalności gospodarczej, która czyni znaczące szkody dla któregokolwiek z celów środowiskowych, w stosownych przypadkach, w rozumieniu art. 17 rozporządzenia (UE) 2020/852.</w:t>
      </w:r>
    </w:p>
    <w:p w14:paraId="23A14A25" w14:textId="028484B7" w:rsidR="004F6B06" w:rsidRPr="004B77D6" w:rsidRDefault="001D7621" w:rsidP="001512DB">
      <w:pPr>
        <w:spacing w:after="120" w:line="276" w:lineRule="auto"/>
        <w:rPr>
          <w:rFonts w:asciiTheme="minorHAnsi" w:hAnsiTheme="minorHAnsi" w:cstheme="minorHAnsi"/>
          <w:szCs w:val="24"/>
        </w:rPr>
      </w:pPr>
      <w:r w:rsidRPr="004B77D6">
        <w:rPr>
          <w:rFonts w:asciiTheme="minorHAnsi" w:hAnsiTheme="minorHAnsi" w:cstheme="minorHAnsi"/>
          <w:szCs w:val="24"/>
        </w:rPr>
        <w:t xml:space="preserve">W celu właściwego wypełnienia formularza należy stosować poniższe wskazówki: </w:t>
      </w:r>
    </w:p>
    <w:p w14:paraId="52B9576E" w14:textId="39075745" w:rsidR="001D7621" w:rsidRPr="004B77D6" w:rsidRDefault="001D7621" w:rsidP="001D7621">
      <w:pPr>
        <w:suppressAutoHyphens w:val="0"/>
        <w:autoSpaceDE w:val="0"/>
        <w:autoSpaceDN w:val="0"/>
        <w:adjustRightInd w:val="0"/>
        <w:spacing w:after="120" w:line="276" w:lineRule="auto"/>
        <w:rPr>
          <w:rFonts w:asciiTheme="minorHAnsi" w:hAnsiTheme="minorHAnsi" w:cstheme="minorHAnsi"/>
          <w:b/>
          <w:bCs/>
          <w:szCs w:val="24"/>
        </w:rPr>
      </w:pPr>
      <w:r w:rsidRPr="004B77D6">
        <w:rPr>
          <w:rFonts w:asciiTheme="minorHAnsi" w:hAnsiTheme="minorHAnsi" w:cstheme="minorHAnsi"/>
          <w:b/>
          <w:bCs/>
          <w:szCs w:val="24"/>
        </w:rPr>
        <w:t xml:space="preserve">Punkt A.1.1. </w:t>
      </w:r>
    </w:p>
    <w:p w14:paraId="2B5BF838" w14:textId="752F02EF" w:rsidR="001D7621" w:rsidRPr="004B77D6" w:rsidRDefault="001D7621" w:rsidP="001D7621">
      <w:pPr>
        <w:suppressAutoHyphens w:val="0"/>
        <w:autoSpaceDE w:val="0"/>
        <w:autoSpaceDN w:val="0"/>
        <w:adjustRightInd w:val="0"/>
        <w:spacing w:after="120" w:line="276" w:lineRule="auto"/>
        <w:rPr>
          <w:rFonts w:asciiTheme="minorHAnsi" w:hAnsiTheme="minorHAnsi" w:cstheme="minorHAnsi"/>
          <w:b/>
          <w:bCs/>
          <w:szCs w:val="24"/>
        </w:rPr>
      </w:pPr>
      <w:r w:rsidRPr="004B77D6">
        <w:rPr>
          <w:rFonts w:asciiTheme="minorHAnsi" w:hAnsiTheme="minorHAnsi" w:cstheme="minorHAnsi"/>
          <w:szCs w:val="24"/>
        </w:rPr>
        <w:t xml:space="preserve">W punkcie A.1.1. w szczególności należy odnieść się do 6 celów środowiskowych art. 9 </w:t>
      </w:r>
      <w:r w:rsidR="009C07F8">
        <w:rPr>
          <w:rFonts w:asciiTheme="minorHAnsi" w:hAnsiTheme="minorHAnsi" w:cstheme="minorHAnsi"/>
          <w:szCs w:val="24"/>
        </w:rPr>
        <w:br/>
      </w:r>
      <w:r w:rsidRPr="004B77D6">
        <w:rPr>
          <w:rFonts w:asciiTheme="minorHAnsi" w:hAnsiTheme="minorHAnsi" w:cstheme="minorHAnsi"/>
          <w:szCs w:val="24"/>
        </w:rPr>
        <w:t>z rozporządzenia Parlamentu Europejskiego i Rady (UE) 2020/852 z dnia 18 czer</w:t>
      </w:r>
      <w:r w:rsidR="00C000CC" w:rsidRPr="004B77D6">
        <w:rPr>
          <w:rFonts w:asciiTheme="minorHAnsi" w:hAnsiTheme="minorHAnsi" w:cstheme="minorHAnsi"/>
          <w:szCs w:val="24"/>
        </w:rPr>
        <w:t>wca 2020 r. w </w:t>
      </w:r>
      <w:r w:rsidRPr="004B77D6">
        <w:rPr>
          <w:rFonts w:asciiTheme="minorHAnsi" w:hAnsiTheme="minorHAnsi" w:cstheme="minorHAnsi"/>
          <w:szCs w:val="24"/>
        </w:rPr>
        <w:t>sprawie ustanowienia ram ułatwiających zrównoważone inwestycje, zmieniające rozporządzenie (UE) 2019/2088. Cele te związane są z: łagodzeniem zmian klimatu, adaptacją do zmian klimatu, zrównoważonym wykorzystywaniem i ochroną zasobów wodnych i morskich, gospodarką o obiegu zamkniętym, w tym zapobieganiem powstawaniu odpadów i recyklingiem, zapobieganiem zanieczyszczeniom powietrza, wody lub gleby i jego kontrolą, ochroną i odbudowa bioróżnorodności i ekosystemów. Należy wskazać, w jaki sposób projekt odnosi się do zrównoważonej działalności i jak uwzględniono przedmiotowe cele środowiskowe w danym projekcie.</w:t>
      </w:r>
    </w:p>
    <w:p w14:paraId="1C86A948" w14:textId="77777777" w:rsidR="00F16CD4" w:rsidRDefault="00F16CD4" w:rsidP="001D7621">
      <w:pPr>
        <w:suppressAutoHyphens w:val="0"/>
        <w:autoSpaceDE w:val="0"/>
        <w:autoSpaceDN w:val="0"/>
        <w:adjustRightInd w:val="0"/>
        <w:spacing w:after="120" w:line="276" w:lineRule="auto"/>
        <w:rPr>
          <w:rFonts w:asciiTheme="minorHAnsi" w:hAnsiTheme="minorHAnsi" w:cstheme="minorHAnsi"/>
          <w:b/>
          <w:bCs/>
          <w:szCs w:val="24"/>
        </w:rPr>
      </w:pPr>
    </w:p>
    <w:p w14:paraId="024E4D58" w14:textId="54A0165C" w:rsidR="001D7621" w:rsidRPr="004B77D6" w:rsidRDefault="001D7621" w:rsidP="001D7621">
      <w:pPr>
        <w:suppressAutoHyphens w:val="0"/>
        <w:autoSpaceDE w:val="0"/>
        <w:autoSpaceDN w:val="0"/>
        <w:adjustRightInd w:val="0"/>
        <w:spacing w:after="120" w:line="276" w:lineRule="auto"/>
        <w:rPr>
          <w:rFonts w:asciiTheme="minorHAnsi" w:hAnsiTheme="minorHAnsi" w:cstheme="minorHAnsi"/>
          <w:b/>
          <w:bCs/>
          <w:szCs w:val="24"/>
        </w:rPr>
      </w:pPr>
      <w:r w:rsidRPr="004B77D6">
        <w:rPr>
          <w:rFonts w:asciiTheme="minorHAnsi" w:hAnsiTheme="minorHAnsi" w:cstheme="minorHAnsi"/>
          <w:b/>
          <w:bCs/>
          <w:szCs w:val="24"/>
        </w:rPr>
        <w:lastRenderedPageBreak/>
        <w:t xml:space="preserve">Punkt A.2. </w:t>
      </w:r>
    </w:p>
    <w:p w14:paraId="10F9EA02" w14:textId="38DBB57D" w:rsidR="001D7621" w:rsidRPr="004B77D6" w:rsidRDefault="001D7621" w:rsidP="001D7621">
      <w:pPr>
        <w:suppressAutoHyphens w:val="0"/>
        <w:autoSpaceDE w:val="0"/>
        <w:autoSpaceDN w:val="0"/>
        <w:adjustRightInd w:val="0"/>
        <w:spacing w:after="120" w:line="276" w:lineRule="auto"/>
        <w:rPr>
          <w:rFonts w:asciiTheme="minorHAnsi" w:hAnsiTheme="minorHAnsi" w:cstheme="minorHAnsi"/>
          <w:szCs w:val="24"/>
        </w:rPr>
      </w:pPr>
      <w:r w:rsidRPr="004B77D6">
        <w:rPr>
          <w:rFonts w:asciiTheme="minorHAnsi" w:hAnsiTheme="minorHAnsi" w:cstheme="minorHAnsi"/>
          <w:szCs w:val="24"/>
        </w:rPr>
        <w:t>Przez plan lub program inny niż Fundusze Europejskie należy rozumieć dokument, o którym mowa w art. 46 ustawy OOŚ, z którego postanowień wynika realizacja przedsięwzięcia. Przez Fundusze Europejskie należy rozumieć krajowe i regionalne Fundusze Europejskie np. Fundusze Europejskie na rzecz Infrastruktury Klimatu i Środowiska (</w:t>
      </w:r>
      <w:proofErr w:type="spellStart"/>
      <w:r w:rsidRPr="004B77D6">
        <w:rPr>
          <w:rFonts w:asciiTheme="minorHAnsi" w:hAnsiTheme="minorHAnsi" w:cstheme="minorHAnsi"/>
          <w:szCs w:val="24"/>
        </w:rPr>
        <w:t>FEnIKS</w:t>
      </w:r>
      <w:proofErr w:type="spellEnd"/>
      <w:r w:rsidRPr="004B77D6">
        <w:rPr>
          <w:rFonts w:asciiTheme="minorHAnsi" w:hAnsiTheme="minorHAnsi" w:cstheme="minorHAnsi"/>
          <w:szCs w:val="24"/>
        </w:rPr>
        <w:t>), jako plan należy rozumieć np. Krajowy Plan na rzecz Odbudowy (KPO). Zalecane jest również zamieszczenie informacji, w jaki sposób SOOŚ (w szczególności prognoza) dla danego planu lub programu odnosi się do przedmiotowego projektu. Zalecane jest podanie informacji czy ustalenia podjęte na etapie planu lub programu wobec projektu wzięto pod uwagę w trakcie jego przygotowania (szczególnie istotne dla projektów wrażliwych środowiskowo), a także czy realizowany projekt jest zgodny z założeniami planu lub programu.</w:t>
      </w:r>
    </w:p>
    <w:p w14:paraId="5E931BAE" w14:textId="77777777" w:rsidR="001D7621" w:rsidRPr="004B77D6" w:rsidRDefault="001D7621" w:rsidP="001D7621">
      <w:pPr>
        <w:suppressAutoHyphens w:val="0"/>
        <w:autoSpaceDE w:val="0"/>
        <w:autoSpaceDN w:val="0"/>
        <w:adjustRightInd w:val="0"/>
        <w:spacing w:after="120" w:line="276" w:lineRule="auto"/>
        <w:rPr>
          <w:rFonts w:asciiTheme="minorHAnsi" w:hAnsiTheme="minorHAnsi" w:cstheme="minorHAnsi"/>
          <w:b/>
          <w:bCs/>
          <w:szCs w:val="24"/>
        </w:rPr>
      </w:pPr>
      <w:r w:rsidRPr="004B77D6">
        <w:rPr>
          <w:rFonts w:asciiTheme="minorHAnsi" w:hAnsiTheme="minorHAnsi" w:cstheme="minorHAnsi"/>
          <w:b/>
          <w:bCs/>
          <w:szCs w:val="24"/>
        </w:rPr>
        <w:t xml:space="preserve">Punkt A.3.1. </w:t>
      </w:r>
    </w:p>
    <w:p w14:paraId="4C99C198" w14:textId="77777777" w:rsidR="001D7621" w:rsidRPr="004B77D6" w:rsidRDefault="001D7621" w:rsidP="001D7621">
      <w:pPr>
        <w:suppressAutoHyphens w:val="0"/>
        <w:autoSpaceDE w:val="0"/>
        <w:autoSpaceDN w:val="0"/>
        <w:adjustRightInd w:val="0"/>
        <w:spacing w:after="120" w:line="276" w:lineRule="auto"/>
        <w:rPr>
          <w:rFonts w:asciiTheme="minorHAnsi" w:hAnsiTheme="minorHAnsi" w:cstheme="minorHAnsi"/>
          <w:szCs w:val="24"/>
        </w:rPr>
      </w:pPr>
      <w:r w:rsidRPr="004B77D6">
        <w:rPr>
          <w:rFonts w:asciiTheme="minorHAnsi" w:hAnsiTheme="minorHAnsi" w:cstheme="minorHAnsi"/>
          <w:szCs w:val="24"/>
        </w:rPr>
        <w:t>Należy dokonać klasyfikacji danego przedsięwzięcia w ramach rodzajów przedsięwzięć wskazanych w załącznikach do dyrektywy OOŚ. Zwraca się uwagę na poprawność dokonanej kwalifikacji według załączników dyrektywy OOŚ.</w:t>
      </w:r>
    </w:p>
    <w:p w14:paraId="41A4C6D3" w14:textId="77777777" w:rsidR="001D7621" w:rsidRPr="004B77D6" w:rsidRDefault="001D7621" w:rsidP="001D7621">
      <w:pPr>
        <w:suppressAutoHyphens w:val="0"/>
        <w:autoSpaceDE w:val="0"/>
        <w:autoSpaceDN w:val="0"/>
        <w:adjustRightInd w:val="0"/>
        <w:spacing w:after="120" w:line="276" w:lineRule="auto"/>
        <w:rPr>
          <w:rFonts w:asciiTheme="minorHAnsi" w:hAnsiTheme="minorHAnsi" w:cstheme="minorHAnsi"/>
          <w:b/>
          <w:bCs/>
          <w:szCs w:val="24"/>
        </w:rPr>
      </w:pPr>
      <w:r w:rsidRPr="004B77D6">
        <w:rPr>
          <w:rFonts w:asciiTheme="minorHAnsi" w:hAnsiTheme="minorHAnsi" w:cstheme="minorHAnsi"/>
          <w:b/>
          <w:bCs/>
          <w:szCs w:val="24"/>
        </w:rPr>
        <w:t xml:space="preserve">Punkt A.3.2. </w:t>
      </w:r>
    </w:p>
    <w:p w14:paraId="696C67FD" w14:textId="77777777" w:rsidR="001D7621" w:rsidRPr="004B77D6" w:rsidRDefault="001D7621" w:rsidP="001D7621">
      <w:pPr>
        <w:suppressAutoHyphens w:val="0"/>
        <w:autoSpaceDE w:val="0"/>
        <w:autoSpaceDN w:val="0"/>
        <w:adjustRightInd w:val="0"/>
        <w:spacing w:after="120" w:line="276" w:lineRule="auto"/>
        <w:rPr>
          <w:rFonts w:asciiTheme="minorHAnsi" w:hAnsiTheme="minorHAnsi" w:cstheme="minorHAnsi"/>
          <w:bCs/>
          <w:szCs w:val="24"/>
        </w:rPr>
      </w:pPr>
      <w:r w:rsidRPr="004B77D6">
        <w:rPr>
          <w:rFonts w:asciiTheme="minorHAnsi" w:hAnsiTheme="minorHAnsi" w:cstheme="minorHAnsi"/>
          <w:bCs/>
          <w:szCs w:val="24"/>
        </w:rPr>
        <w:t xml:space="preserve">Wskazane dokumenty do załączenia: </w:t>
      </w:r>
    </w:p>
    <w:p w14:paraId="7EDE3EDB" w14:textId="63767B02" w:rsidR="001D7621" w:rsidRPr="004B77D6" w:rsidRDefault="001D7621" w:rsidP="004D0859">
      <w:pPr>
        <w:pStyle w:val="Akapitzlist"/>
        <w:numPr>
          <w:ilvl w:val="0"/>
          <w:numId w:val="55"/>
        </w:numPr>
        <w:autoSpaceDE w:val="0"/>
        <w:autoSpaceDN w:val="0"/>
        <w:adjustRightInd w:val="0"/>
        <w:spacing w:after="120"/>
        <w:rPr>
          <w:rFonts w:asciiTheme="minorHAnsi" w:hAnsiTheme="minorHAnsi" w:cstheme="minorHAnsi"/>
          <w:bCs/>
          <w:sz w:val="24"/>
          <w:szCs w:val="24"/>
        </w:rPr>
      </w:pPr>
      <w:r w:rsidRPr="004B77D6">
        <w:rPr>
          <w:rFonts w:asciiTheme="minorHAnsi" w:hAnsiTheme="minorHAnsi" w:cstheme="minorHAnsi"/>
          <w:bCs/>
          <w:sz w:val="24"/>
          <w:szCs w:val="24"/>
        </w:rPr>
        <w:t>streszczenie w języku niespecjalistycznym raportu OOŚ, o którym mowa w art. 66 ust. 1 pkt 18 ustawy OOŚ (zastrzeżeniem przyp. 62). W</w:t>
      </w:r>
      <w:r w:rsidRPr="004B77D6">
        <w:rPr>
          <w:rFonts w:asciiTheme="minorHAnsi" w:hAnsiTheme="minorHAnsi" w:cstheme="minorHAnsi"/>
          <w:b/>
          <w:bCs/>
          <w:sz w:val="24"/>
          <w:szCs w:val="24"/>
        </w:rPr>
        <w:t xml:space="preserve"> </w:t>
      </w:r>
      <w:r w:rsidRPr="004B77D6">
        <w:rPr>
          <w:rFonts w:asciiTheme="minorHAnsi" w:hAnsiTheme="minorHAnsi" w:cstheme="minorHAnsi"/>
          <w:bCs/>
          <w:sz w:val="24"/>
          <w:szCs w:val="24"/>
        </w:rPr>
        <w:t xml:space="preserve">przypadku, gdy w raporcie była przeprowadzona ocena zgodnie z art. 6. ust. 3 Dyrektywy Siedliskowej należy załączyć rozdziały raportu związane z oceną wskazaną w art. 6. ust. 3 Dyrektywy Siedliskowej lub pełną wersję raportu OOŚ. </w:t>
      </w:r>
    </w:p>
    <w:p w14:paraId="2F1E519E" w14:textId="0F33777B" w:rsidR="001D7621" w:rsidRPr="004B77D6" w:rsidRDefault="001D7621" w:rsidP="004D0859">
      <w:pPr>
        <w:pStyle w:val="Akapitzlist"/>
        <w:numPr>
          <w:ilvl w:val="0"/>
          <w:numId w:val="55"/>
        </w:numPr>
        <w:autoSpaceDE w:val="0"/>
        <w:autoSpaceDN w:val="0"/>
        <w:adjustRightInd w:val="0"/>
        <w:spacing w:after="120"/>
        <w:rPr>
          <w:rFonts w:asciiTheme="minorHAnsi" w:hAnsiTheme="minorHAnsi" w:cstheme="minorHAnsi"/>
          <w:bCs/>
          <w:sz w:val="24"/>
          <w:szCs w:val="24"/>
        </w:rPr>
      </w:pPr>
      <w:r w:rsidRPr="004B77D6">
        <w:rPr>
          <w:rFonts w:asciiTheme="minorHAnsi" w:hAnsiTheme="minorHAnsi" w:cstheme="minorHAnsi"/>
          <w:bCs/>
          <w:sz w:val="24"/>
          <w:szCs w:val="24"/>
        </w:rPr>
        <w:t xml:space="preserve">zasadniczo wystarczającym źródłem powyższych informacji powinno być uzasadnienie </w:t>
      </w:r>
      <w:r w:rsidR="000B16A7">
        <w:rPr>
          <w:rFonts w:asciiTheme="minorHAnsi" w:hAnsiTheme="minorHAnsi" w:cstheme="minorHAnsi"/>
          <w:bCs/>
          <w:sz w:val="24"/>
          <w:szCs w:val="24"/>
        </w:rPr>
        <w:br/>
      </w:r>
      <w:r w:rsidRPr="004B77D6">
        <w:rPr>
          <w:rFonts w:asciiTheme="minorHAnsi" w:hAnsiTheme="minorHAnsi" w:cstheme="minorHAnsi"/>
          <w:bCs/>
          <w:sz w:val="24"/>
          <w:szCs w:val="24"/>
        </w:rPr>
        <w:t xml:space="preserve">do decyzji o środowiskowych uwarunkowaniach i wystarczające jest jej wskazanie </w:t>
      </w:r>
      <w:r w:rsidR="009C07F8">
        <w:rPr>
          <w:rFonts w:asciiTheme="minorHAnsi" w:hAnsiTheme="minorHAnsi" w:cstheme="minorHAnsi"/>
          <w:bCs/>
          <w:sz w:val="24"/>
          <w:szCs w:val="24"/>
        </w:rPr>
        <w:br/>
      </w:r>
      <w:r w:rsidRPr="004B77D6">
        <w:rPr>
          <w:rFonts w:asciiTheme="minorHAnsi" w:hAnsiTheme="minorHAnsi" w:cstheme="minorHAnsi"/>
          <w:bCs/>
          <w:sz w:val="24"/>
          <w:szCs w:val="24"/>
        </w:rPr>
        <w:t xml:space="preserve">(w przypadku ponownej oceny również decyzji, o których mowa w art. 88 ust. 1 ustawy OOŚ). W przypadku, gdy uzasadnienia ww. decyzji nie zawierają właściwych informacji dotyczących konsultacji z organami ochrony środowiska, ze społeczeństwem oraz informacji na temat transgranicznej OOŚ należy załączyć stosowną dokumentację w tym zakresie lub przedstawić stosowne wyjaśnienia. Udział społeczeństwa w procedurze oceny oddziaływania na środowisko regulują przepisy ustawy OOŚ. Prezentując ten etap/etapy procedury oceny należy w szczególności wskazać sposób podania informacji do publicznej wiadomości zgodnie z art. 3 ust 1 pkt. 11 ustawy OOŚ (w jaki sposób podano informację o konsultacjach i gdzie były dostępne), termin składania uwag </w:t>
      </w:r>
      <w:r w:rsidR="009C07F8">
        <w:rPr>
          <w:rFonts w:asciiTheme="minorHAnsi" w:hAnsiTheme="minorHAnsi" w:cstheme="minorHAnsi"/>
          <w:bCs/>
          <w:sz w:val="24"/>
          <w:szCs w:val="24"/>
        </w:rPr>
        <w:br/>
      </w:r>
      <w:r w:rsidRPr="004B77D6">
        <w:rPr>
          <w:rFonts w:asciiTheme="minorHAnsi" w:hAnsiTheme="minorHAnsi" w:cstheme="minorHAnsi"/>
          <w:bCs/>
          <w:sz w:val="24"/>
          <w:szCs w:val="24"/>
        </w:rPr>
        <w:t xml:space="preserve">i wniosków zgodnie z art. 33 ust. 1 pkt 7 ustawy OOŚ (termin to </w:t>
      </w:r>
      <w:r w:rsidR="00A937B9">
        <w:rPr>
          <w:rFonts w:asciiTheme="minorHAnsi" w:hAnsiTheme="minorHAnsi" w:cstheme="minorHAnsi"/>
          <w:bCs/>
          <w:sz w:val="24"/>
          <w:szCs w:val="24"/>
        </w:rPr>
        <w:t>30</w:t>
      </w:r>
      <w:r w:rsidRPr="004B77D6">
        <w:rPr>
          <w:rFonts w:asciiTheme="minorHAnsi" w:hAnsiTheme="minorHAnsi" w:cstheme="minorHAnsi"/>
          <w:bCs/>
          <w:sz w:val="24"/>
          <w:szCs w:val="24"/>
        </w:rPr>
        <w:t xml:space="preserve"> dni), informacje </w:t>
      </w:r>
      <w:r w:rsidR="000B16A7">
        <w:rPr>
          <w:rFonts w:asciiTheme="minorHAnsi" w:hAnsiTheme="minorHAnsi" w:cstheme="minorHAnsi"/>
          <w:bCs/>
          <w:sz w:val="24"/>
          <w:szCs w:val="24"/>
        </w:rPr>
        <w:br/>
      </w:r>
      <w:r w:rsidRPr="004B77D6">
        <w:rPr>
          <w:rFonts w:asciiTheme="minorHAnsi" w:hAnsiTheme="minorHAnsi" w:cstheme="minorHAnsi"/>
          <w:bCs/>
          <w:sz w:val="24"/>
          <w:szCs w:val="24"/>
        </w:rPr>
        <w:t xml:space="preserve">na temat spotkań konsultacyjnych (ustawa OOŚ w art. 36 przewiduje rozprawę administracyjną otwartą dla społeczeństwa, w przypadku innego rodzaju spotkań konsultacyjnych zasadne jest je również opisać), zgłoszone uwagi i wnioski, </w:t>
      </w:r>
      <w:r w:rsidR="009C07F8">
        <w:rPr>
          <w:rFonts w:asciiTheme="minorHAnsi" w:hAnsiTheme="minorHAnsi" w:cstheme="minorHAnsi"/>
          <w:bCs/>
          <w:sz w:val="24"/>
          <w:szCs w:val="24"/>
        </w:rPr>
        <w:br/>
      </w:r>
      <w:r w:rsidRPr="004B77D6">
        <w:rPr>
          <w:rFonts w:asciiTheme="minorHAnsi" w:hAnsiTheme="minorHAnsi" w:cstheme="minorHAnsi"/>
          <w:bCs/>
          <w:sz w:val="24"/>
          <w:szCs w:val="24"/>
        </w:rPr>
        <w:lastRenderedPageBreak/>
        <w:t xml:space="preserve">a także sposób ich uwzględnienie w tym przyczyny dla których uwag i wniosków </w:t>
      </w:r>
      <w:r w:rsidR="000B16A7">
        <w:rPr>
          <w:rFonts w:asciiTheme="minorHAnsi" w:hAnsiTheme="minorHAnsi" w:cstheme="minorHAnsi"/>
          <w:bCs/>
          <w:sz w:val="24"/>
          <w:szCs w:val="24"/>
        </w:rPr>
        <w:br/>
      </w:r>
      <w:r w:rsidRPr="004B77D6">
        <w:rPr>
          <w:rFonts w:asciiTheme="minorHAnsi" w:hAnsiTheme="minorHAnsi" w:cstheme="minorHAnsi"/>
          <w:bCs/>
          <w:sz w:val="24"/>
          <w:szCs w:val="24"/>
        </w:rPr>
        <w:t xml:space="preserve">nie uwzględniono zgodnie z art. 85 ust 2 pkt. 1a ustawy OOŚ. </w:t>
      </w:r>
    </w:p>
    <w:p w14:paraId="392DF031" w14:textId="71453F4B" w:rsidR="001D7621" w:rsidRPr="004B77D6" w:rsidRDefault="001D7621" w:rsidP="001D7621">
      <w:pPr>
        <w:suppressAutoHyphens w:val="0"/>
        <w:autoSpaceDE w:val="0"/>
        <w:autoSpaceDN w:val="0"/>
        <w:adjustRightInd w:val="0"/>
        <w:spacing w:after="120" w:line="276" w:lineRule="auto"/>
        <w:rPr>
          <w:rFonts w:asciiTheme="minorHAnsi" w:hAnsiTheme="minorHAnsi" w:cstheme="minorHAnsi"/>
          <w:bCs/>
          <w:szCs w:val="24"/>
        </w:rPr>
      </w:pPr>
      <w:r w:rsidRPr="004B77D6">
        <w:rPr>
          <w:rFonts w:asciiTheme="minorHAnsi" w:hAnsiTheme="minorHAnsi" w:cstheme="minorHAnsi"/>
          <w:bCs/>
          <w:szCs w:val="24"/>
        </w:rPr>
        <w:t xml:space="preserve">W przypadku konsultacji z organami ds. ochrony środowiska, postępowania </w:t>
      </w:r>
      <w:proofErr w:type="spellStart"/>
      <w:r w:rsidRPr="004B77D6">
        <w:rPr>
          <w:rFonts w:asciiTheme="minorHAnsi" w:hAnsiTheme="minorHAnsi" w:cstheme="minorHAnsi"/>
          <w:bCs/>
          <w:szCs w:val="24"/>
        </w:rPr>
        <w:t>ws</w:t>
      </w:r>
      <w:proofErr w:type="spellEnd"/>
      <w:r w:rsidRPr="004B77D6">
        <w:rPr>
          <w:rFonts w:asciiTheme="minorHAnsi" w:hAnsiTheme="minorHAnsi" w:cstheme="minorHAnsi"/>
          <w:bCs/>
          <w:szCs w:val="24"/>
        </w:rPr>
        <w:t xml:space="preserve">. transgranicznego oddziaływania na środowisko, o których mowa w przedmiotowej sekcji należy zwrócić uwagę na kwestię sposobu wzięcia pod uwagę i uwzględnienia uzgodnień </w:t>
      </w:r>
      <w:r w:rsidR="009C07F8">
        <w:rPr>
          <w:rFonts w:asciiTheme="minorHAnsi" w:hAnsiTheme="minorHAnsi" w:cstheme="minorHAnsi"/>
          <w:bCs/>
          <w:szCs w:val="24"/>
        </w:rPr>
        <w:br/>
      </w:r>
      <w:r w:rsidRPr="004B77D6">
        <w:rPr>
          <w:rFonts w:asciiTheme="minorHAnsi" w:hAnsiTheme="minorHAnsi" w:cstheme="minorHAnsi"/>
          <w:bCs/>
          <w:szCs w:val="24"/>
        </w:rPr>
        <w:t>z organami ochrony środowiska z art. 85 ust 2 pkt. 1b ustawy OOŚ.</w:t>
      </w:r>
    </w:p>
    <w:p w14:paraId="326460D1" w14:textId="77777777" w:rsidR="001D7621" w:rsidRPr="004B77D6" w:rsidRDefault="001D7621" w:rsidP="001D7621">
      <w:pPr>
        <w:suppressAutoHyphens w:val="0"/>
        <w:autoSpaceDE w:val="0"/>
        <w:autoSpaceDN w:val="0"/>
        <w:adjustRightInd w:val="0"/>
        <w:spacing w:after="120" w:line="276" w:lineRule="auto"/>
        <w:rPr>
          <w:rFonts w:asciiTheme="minorHAnsi" w:hAnsiTheme="minorHAnsi" w:cstheme="minorHAnsi"/>
          <w:b/>
          <w:bCs/>
          <w:szCs w:val="24"/>
        </w:rPr>
      </w:pPr>
      <w:r w:rsidRPr="004B77D6">
        <w:rPr>
          <w:rFonts w:asciiTheme="minorHAnsi" w:hAnsiTheme="minorHAnsi" w:cstheme="minorHAnsi"/>
          <w:b/>
          <w:bCs/>
          <w:szCs w:val="24"/>
        </w:rPr>
        <w:t xml:space="preserve">Punkt A.3.3. </w:t>
      </w:r>
    </w:p>
    <w:p w14:paraId="4FE303AC" w14:textId="77777777" w:rsidR="001D7621" w:rsidRPr="004B77D6" w:rsidRDefault="001D7621" w:rsidP="001D7621">
      <w:pPr>
        <w:suppressAutoHyphens w:val="0"/>
        <w:autoSpaceDE w:val="0"/>
        <w:autoSpaceDN w:val="0"/>
        <w:adjustRightInd w:val="0"/>
        <w:spacing w:after="120" w:line="276" w:lineRule="auto"/>
        <w:rPr>
          <w:rFonts w:asciiTheme="minorHAnsi" w:hAnsiTheme="minorHAnsi" w:cstheme="minorHAnsi"/>
          <w:szCs w:val="24"/>
        </w:rPr>
      </w:pPr>
      <w:r w:rsidRPr="004B77D6">
        <w:rPr>
          <w:rFonts w:asciiTheme="minorHAnsi" w:hAnsiTheme="minorHAnsi" w:cstheme="minorHAnsi"/>
          <w:szCs w:val="24"/>
        </w:rPr>
        <w:t xml:space="preserve">W punkcie A.3.3 należy odpowiedzieć na pytanie, czy dla przedsięwzięcia objętego rodzajem przedsięwzięcia wskazanym w załączniku II do dyrektywy OOŚ zostało przeprowadzone postępowanie w sprawie oceny oddziaływania na środowisko, będące wynikiem wydania postanowienia o obowiązku przeprowadzenia OOŚ. W przypadku, gdy takie postępowanie: </w:t>
      </w:r>
    </w:p>
    <w:p w14:paraId="5310BDD7" w14:textId="77777777" w:rsidR="001D7621" w:rsidRPr="004B77D6" w:rsidRDefault="001D7621" w:rsidP="004D0859">
      <w:pPr>
        <w:numPr>
          <w:ilvl w:val="0"/>
          <w:numId w:val="51"/>
        </w:numPr>
        <w:suppressAutoHyphens w:val="0"/>
        <w:autoSpaceDE w:val="0"/>
        <w:autoSpaceDN w:val="0"/>
        <w:adjustRightInd w:val="0"/>
        <w:spacing w:after="120" w:line="276" w:lineRule="auto"/>
        <w:rPr>
          <w:rFonts w:asciiTheme="minorHAnsi" w:eastAsia="Calibri" w:hAnsiTheme="minorHAnsi" w:cstheme="minorHAnsi"/>
          <w:szCs w:val="24"/>
          <w:lang w:eastAsia="en-US"/>
        </w:rPr>
      </w:pPr>
      <w:r w:rsidRPr="004B77D6">
        <w:rPr>
          <w:rFonts w:asciiTheme="minorHAnsi" w:eastAsia="Calibri" w:hAnsiTheme="minorHAnsi" w:cstheme="minorHAnsi"/>
          <w:szCs w:val="24"/>
          <w:lang w:eastAsia="en-US"/>
        </w:rPr>
        <w:t xml:space="preserve">zostało przeprowadzone – należy zaznaczyć kwadrat TAK oraz dołączyć stosowne dokumenty wskazane w punkcie A.3.2; </w:t>
      </w:r>
    </w:p>
    <w:p w14:paraId="444FD193" w14:textId="77777777" w:rsidR="001D7621" w:rsidRPr="004B77D6" w:rsidRDefault="001D7621" w:rsidP="004D0859">
      <w:pPr>
        <w:numPr>
          <w:ilvl w:val="0"/>
          <w:numId w:val="51"/>
        </w:numPr>
        <w:suppressAutoHyphens w:val="0"/>
        <w:autoSpaceDE w:val="0"/>
        <w:autoSpaceDN w:val="0"/>
        <w:adjustRightInd w:val="0"/>
        <w:spacing w:after="120" w:line="276" w:lineRule="auto"/>
        <w:rPr>
          <w:rFonts w:asciiTheme="minorHAnsi" w:eastAsia="Calibri" w:hAnsiTheme="minorHAnsi" w:cstheme="minorHAnsi"/>
          <w:szCs w:val="24"/>
          <w:lang w:eastAsia="en-US"/>
        </w:rPr>
      </w:pPr>
      <w:r w:rsidRPr="004B77D6">
        <w:rPr>
          <w:rFonts w:asciiTheme="minorHAnsi" w:eastAsia="Calibri" w:hAnsiTheme="minorHAnsi" w:cstheme="minorHAnsi"/>
          <w:szCs w:val="24"/>
          <w:lang w:eastAsia="en-US"/>
        </w:rPr>
        <w:t>nie zostało przeprowadzone – należy zaznaczyć kwadrat NIE, podać wyjaśnienie oraz dołączyć stosowne dokumenty, wymagana jest również informacja, co do sposobu powiadomienia społeczeństwa o podjętej decyzji.</w:t>
      </w:r>
    </w:p>
    <w:p w14:paraId="4527C088" w14:textId="447B572A" w:rsidR="001D7621" w:rsidRPr="004B77D6" w:rsidRDefault="001D7621" w:rsidP="004D0859">
      <w:pPr>
        <w:numPr>
          <w:ilvl w:val="0"/>
          <w:numId w:val="51"/>
        </w:numPr>
        <w:suppressAutoHyphens w:val="0"/>
        <w:autoSpaceDE w:val="0"/>
        <w:autoSpaceDN w:val="0"/>
        <w:adjustRightInd w:val="0"/>
        <w:spacing w:after="120" w:line="276" w:lineRule="auto"/>
        <w:rPr>
          <w:rFonts w:asciiTheme="minorHAnsi" w:eastAsia="Calibri" w:hAnsiTheme="minorHAnsi" w:cstheme="minorHAnsi"/>
          <w:szCs w:val="24"/>
          <w:lang w:eastAsia="en-US"/>
        </w:rPr>
      </w:pPr>
      <w:r w:rsidRPr="004B77D6">
        <w:rPr>
          <w:rFonts w:asciiTheme="minorHAnsi" w:eastAsia="Calibri" w:hAnsiTheme="minorHAnsi" w:cstheme="minorHAnsi"/>
          <w:szCs w:val="24"/>
          <w:lang w:eastAsia="en-US"/>
        </w:rPr>
        <w:t>przez „decyzję dotyczącą preselekcji” lub „decyzję „</w:t>
      </w:r>
      <w:proofErr w:type="spellStart"/>
      <w:r w:rsidRPr="004B77D6">
        <w:rPr>
          <w:rFonts w:asciiTheme="minorHAnsi" w:eastAsia="Calibri" w:hAnsiTheme="minorHAnsi" w:cstheme="minorHAnsi"/>
          <w:szCs w:val="24"/>
          <w:lang w:eastAsia="en-US"/>
        </w:rPr>
        <w:t>screeningową</w:t>
      </w:r>
      <w:proofErr w:type="spellEnd"/>
      <w:r w:rsidRPr="004B77D6">
        <w:rPr>
          <w:rFonts w:asciiTheme="minorHAnsi" w:eastAsia="Calibri" w:hAnsiTheme="minorHAnsi" w:cstheme="minorHAnsi"/>
          <w:szCs w:val="24"/>
          <w:lang w:eastAsia="en-US"/>
        </w:rPr>
        <w:t xml:space="preserve">” należy rozumieć postanowienie o braku konieczności przeprowadzenia oceny oddziaływania </w:t>
      </w:r>
      <w:r w:rsidR="000B16A7">
        <w:rPr>
          <w:rFonts w:asciiTheme="minorHAnsi" w:eastAsia="Calibri" w:hAnsiTheme="minorHAnsi" w:cstheme="minorHAnsi"/>
          <w:szCs w:val="24"/>
          <w:lang w:eastAsia="en-US"/>
        </w:rPr>
        <w:br/>
      </w:r>
      <w:r w:rsidRPr="004B77D6">
        <w:rPr>
          <w:rFonts w:asciiTheme="minorHAnsi" w:eastAsia="Calibri" w:hAnsiTheme="minorHAnsi" w:cstheme="minorHAnsi"/>
          <w:szCs w:val="24"/>
          <w:lang w:eastAsia="en-US"/>
        </w:rPr>
        <w:t xml:space="preserve">na środowisko. </w:t>
      </w:r>
    </w:p>
    <w:p w14:paraId="2111E9DD" w14:textId="3696B9E8" w:rsidR="001D7621" w:rsidRPr="004B77D6" w:rsidRDefault="001D7621" w:rsidP="004D0859">
      <w:pPr>
        <w:numPr>
          <w:ilvl w:val="0"/>
          <w:numId w:val="51"/>
        </w:numPr>
        <w:suppressAutoHyphens w:val="0"/>
        <w:autoSpaceDE w:val="0"/>
        <w:autoSpaceDN w:val="0"/>
        <w:adjustRightInd w:val="0"/>
        <w:spacing w:after="120" w:line="276" w:lineRule="auto"/>
        <w:rPr>
          <w:rFonts w:asciiTheme="minorHAnsi" w:eastAsia="Calibri" w:hAnsiTheme="minorHAnsi" w:cstheme="minorHAnsi"/>
          <w:b/>
          <w:bCs/>
          <w:szCs w:val="24"/>
          <w:lang w:eastAsia="en-US"/>
        </w:rPr>
      </w:pPr>
      <w:r w:rsidRPr="004B77D6">
        <w:rPr>
          <w:rFonts w:asciiTheme="minorHAnsi" w:eastAsia="Calibri" w:hAnsiTheme="minorHAnsi" w:cstheme="minorHAnsi"/>
          <w:szCs w:val="24"/>
          <w:lang w:eastAsia="en-US"/>
        </w:rPr>
        <w:t xml:space="preserve">w przypadku inwestycji składającej się z co najmniej dwóch przedsięwzięć, dla których wydano decyzję bez oceny oddziaływania na środowisko, zalecane jest przedstawienie </w:t>
      </w:r>
      <w:r w:rsidR="009C07F8">
        <w:rPr>
          <w:rFonts w:asciiTheme="minorHAnsi" w:eastAsia="Calibri" w:hAnsiTheme="minorHAnsi" w:cstheme="minorHAnsi"/>
          <w:szCs w:val="24"/>
          <w:lang w:eastAsia="en-US"/>
        </w:rPr>
        <w:br/>
      </w:r>
      <w:r w:rsidRPr="004B77D6">
        <w:rPr>
          <w:rFonts w:asciiTheme="minorHAnsi" w:eastAsia="Calibri" w:hAnsiTheme="minorHAnsi" w:cstheme="minorHAnsi"/>
          <w:szCs w:val="24"/>
          <w:lang w:eastAsia="en-US"/>
        </w:rPr>
        <w:t>w jaki sposób wszystkie te przedsięwzięcia razem wpływają na stan środowiska (efekt skumulowany). W tym celu należy posłużyć się uzasadnieniami postanowień i decyzji, odmawiających przeprowadzenia oceny oddziaływania na środowisko, zgodnie z art. 63 ustawy OOŚ.</w:t>
      </w:r>
    </w:p>
    <w:p w14:paraId="47458F90" w14:textId="77777777" w:rsidR="001D7621" w:rsidRPr="004B77D6" w:rsidRDefault="001D7621" w:rsidP="001D7621">
      <w:pPr>
        <w:suppressAutoHyphens w:val="0"/>
        <w:autoSpaceDE w:val="0"/>
        <w:autoSpaceDN w:val="0"/>
        <w:adjustRightInd w:val="0"/>
        <w:spacing w:after="120" w:line="276" w:lineRule="auto"/>
        <w:rPr>
          <w:rFonts w:asciiTheme="minorHAnsi" w:hAnsiTheme="minorHAnsi" w:cstheme="minorHAnsi"/>
          <w:b/>
          <w:bCs/>
          <w:szCs w:val="24"/>
        </w:rPr>
      </w:pPr>
      <w:r w:rsidRPr="004B77D6">
        <w:rPr>
          <w:rFonts w:asciiTheme="minorHAnsi" w:hAnsiTheme="minorHAnsi" w:cstheme="minorHAnsi"/>
          <w:b/>
          <w:bCs/>
          <w:szCs w:val="24"/>
        </w:rPr>
        <w:t xml:space="preserve">Punkt A.3.4. </w:t>
      </w:r>
    </w:p>
    <w:p w14:paraId="52A15DB4" w14:textId="070DDFD1" w:rsidR="001D7621" w:rsidRPr="004B77D6" w:rsidRDefault="001D7621" w:rsidP="001D7621">
      <w:pPr>
        <w:suppressAutoHyphens w:val="0"/>
        <w:autoSpaceDE w:val="0"/>
        <w:autoSpaceDN w:val="0"/>
        <w:adjustRightInd w:val="0"/>
        <w:spacing w:after="120" w:line="276" w:lineRule="auto"/>
        <w:rPr>
          <w:rFonts w:asciiTheme="minorHAnsi" w:hAnsiTheme="minorHAnsi" w:cstheme="minorHAnsi"/>
          <w:bCs/>
          <w:szCs w:val="24"/>
        </w:rPr>
      </w:pPr>
      <w:r w:rsidRPr="004B77D6">
        <w:rPr>
          <w:rFonts w:asciiTheme="minorHAnsi" w:hAnsiTheme="minorHAnsi" w:cstheme="minorHAnsi"/>
          <w:bCs/>
          <w:szCs w:val="24"/>
        </w:rPr>
        <w:t xml:space="preserve">Przez pojęcie „zezwolenie na inwestycję” w rozumieniu dyrektywy OOŚ w odniesieniu </w:t>
      </w:r>
      <w:r w:rsidR="000B16A7">
        <w:rPr>
          <w:rFonts w:asciiTheme="minorHAnsi" w:hAnsiTheme="minorHAnsi" w:cstheme="minorHAnsi"/>
          <w:bCs/>
          <w:szCs w:val="24"/>
        </w:rPr>
        <w:br/>
      </w:r>
      <w:r w:rsidRPr="004B77D6">
        <w:rPr>
          <w:rFonts w:asciiTheme="minorHAnsi" w:hAnsiTheme="minorHAnsi" w:cstheme="minorHAnsi"/>
          <w:bCs/>
          <w:szCs w:val="24"/>
        </w:rPr>
        <w:t xml:space="preserve">do prawa polskiego należy rozumieć zbiór decyzji koniecznych do uzyskania w procesie inwestycyjnym, którego ostatnim etapem jest decyzja budowlana (pozwolenie na budowę albo decyzja o zezwoleniu na realizację inwestycji), ewentualnie inna z decyzji administracyjnych kończących przygotowanie procesu inwestycyjnego, jeżeli dla danego przedsięwzięcia przepisy prawa nie przewidują konieczności uzyskania pozwolenia </w:t>
      </w:r>
      <w:r w:rsidR="000B16A7">
        <w:rPr>
          <w:rFonts w:asciiTheme="minorHAnsi" w:hAnsiTheme="minorHAnsi" w:cstheme="minorHAnsi"/>
          <w:bCs/>
          <w:szCs w:val="24"/>
        </w:rPr>
        <w:br/>
      </w:r>
      <w:r w:rsidRPr="004B77D6">
        <w:rPr>
          <w:rFonts w:asciiTheme="minorHAnsi" w:hAnsiTheme="minorHAnsi" w:cstheme="minorHAnsi"/>
          <w:bCs/>
          <w:szCs w:val="24"/>
        </w:rPr>
        <w:t xml:space="preserve">na budowę. </w:t>
      </w:r>
    </w:p>
    <w:p w14:paraId="1394ACCB" w14:textId="77777777" w:rsidR="001D7621" w:rsidRPr="004B77D6" w:rsidRDefault="001D7621" w:rsidP="001D7621">
      <w:pPr>
        <w:suppressAutoHyphens w:val="0"/>
        <w:autoSpaceDE w:val="0"/>
        <w:autoSpaceDN w:val="0"/>
        <w:adjustRightInd w:val="0"/>
        <w:spacing w:after="120" w:line="276" w:lineRule="auto"/>
        <w:rPr>
          <w:rFonts w:asciiTheme="minorHAnsi" w:hAnsiTheme="minorHAnsi" w:cstheme="minorHAnsi"/>
          <w:bCs/>
          <w:szCs w:val="24"/>
        </w:rPr>
      </w:pPr>
      <w:r w:rsidRPr="004B77D6">
        <w:rPr>
          <w:rFonts w:asciiTheme="minorHAnsi" w:hAnsiTheme="minorHAnsi" w:cstheme="minorHAnsi"/>
          <w:bCs/>
          <w:szCs w:val="24"/>
        </w:rPr>
        <w:t xml:space="preserve">Pojęcie „zezwolenie na inwestycję” w rozumieniu formularza OOŚ należy interpretować jako instrument dla sprawdzenia gotowości projektu do ubiegania się o dofinansowanie (niezależnie od tego czy ocena oddziaływania na środowisko była prowadzona, czy też nie). Dlatego „zezwoleniem na inwestycję” w ww. znaczeniu są w szczególności zbiory decyzji </w:t>
      </w:r>
      <w:r w:rsidRPr="004B77D6">
        <w:rPr>
          <w:rFonts w:asciiTheme="minorHAnsi" w:hAnsiTheme="minorHAnsi" w:cstheme="minorHAnsi"/>
          <w:bCs/>
          <w:szCs w:val="24"/>
        </w:rPr>
        <w:lastRenderedPageBreak/>
        <w:t>obejmujące decyzje wymienione w art. 72 ust. 1 w tym „decyzje budowlane” lub zgłoszenia wymienione w art. 72 ust. 1a ustawy OOŚ.</w:t>
      </w:r>
    </w:p>
    <w:p w14:paraId="49B59886" w14:textId="5F3D1291" w:rsidR="001D7621" w:rsidRPr="004B77D6" w:rsidRDefault="001D7621" w:rsidP="001D7621">
      <w:pPr>
        <w:suppressAutoHyphens w:val="0"/>
        <w:autoSpaceDE w:val="0"/>
        <w:autoSpaceDN w:val="0"/>
        <w:adjustRightInd w:val="0"/>
        <w:spacing w:after="120" w:line="276" w:lineRule="auto"/>
        <w:rPr>
          <w:rFonts w:asciiTheme="minorHAnsi" w:hAnsiTheme="minorHAnsi" w:cstheme="minorHAnsi"/>
          <w:bCs/>
          <w:szCs w:val="24"/>
        </w:rPr>
      </w:pPr>
      <w:r w:rsidRPr="004B77D6">
        <w:rPr>
          <w:rFonts w:asciiTheme="minorHAnsi" w:hAnsiTheme="minorHAnsi" w:cstheme="minorHAnsi"/>
          <w:bCs/>
          <w:szCs w:val="24"/>
        </w:rPr>
        <w:t xml:space="preserve">Wobec </w:t>
      </w:r>
      <w:r w:rsidR="009C07F8" w:rsidRPr="004B77D6">
        <w:rPr>
          <w:rFonts w:asciiTheme="minorHAnsi" w:hAnsiTheme="minorHAnsi" w:cstheme="minorHAnsi"/>
          <w:bCs/>
          <w:szCs w:val="24"/>
        </w:rPr>
        <w:t>powyższego,</w:t>
      </w:r>
      <w:r w:rsidRPr="004B77D6">
        <w:rPr>
          <w:rFonts w:asciiTheme="minorHAnsi" w:hAnsiTheme="minorHAnsi" w:cstheme="minorHAnsi"/>
          <w:bCs/>
          <w:szCs w:val="24"/>
        </w:rPr>
        <w:t xml:space="preserve"> ilekroć w formularzu </w:t>
      </w:r>
      <w:proofErr w:type="spellStart"/>
      <w:r w:rsidRPr="004B77D6">
        <w:rPr>
          <w:rFonts w:asciiTheme="minorHAnsi" w:hAnsiTheme="minorHAnsi" w:cstheme="minorHAnsi"/>
          <w:bCs/>
          <w:szCs w:val="24"/>
        </w:rPr>
        <w:t>ooś</w:t>
      </w:r>
      <w:proofErr w:type="spellEnd"/>
      <w:r w:rsidRPr="004B77D6">
        <w:rPr>
          <w:rFonts w:asciiTheme="minorHAnsi" w:hAnsiTheme="minorHAnsi" w:cstheme="minorHAnsi"/>
          <w:bCs/>
          <w:szCs w:val="24"/>
        </w:rPr>
        <w:t xml:space="preserve"> jest mowa o „zezwoleniu na inwestycję/decyzji budowlanej” należy przez to rozumieć każdą decyzję uprawniającą do rozpoczęcia robót budowlanych a także sytuację, kiedy w wyniku braku sprzeciwu właściwego organu beneficjent jest uprawniony do realizacji przedsięwzięcia w oparciu o zgłoszenie robót budowlanych w trybie art. 30 ustawy Prawo budowlane (w takiej sytuacji należy wskazać tą okoliczność w treści formularza w polu tekstowym A.3.4.3).</w:t>
      </w:r>
    </w:p>
    <w:p w14:paraId="56A93009" w14:textId="77777777" w:rsidR="001D7621" w:rsidRPr="004B77D6" w:rsidRDefault="001D7621" w:rsidP="001D7621">
      <w:pPr>
        <w:suppressAutoHyphens w:val="0"/>
        <w:autoSpaceDE w:val="0"/>
        <w:autoSpaceDN w:val="0"/>
        <w:adjustRightInd w:val="0"/>
        <w:spacing w:after="120" w:line="276" w:lineRule="auto"/>
        <w:rPr>
          <w:rFonts w:asciiTheme="minorHAnsi" w:hAnsiTheme="minorHAnsi" w:cstheme="minorHAnsi"/>
          <w:b/>
          <w:bCs/>
          <w:szCs w:val="24"/>
        </w:rPr>
      </w:pPr>
      <w:r w:rsidRPr="004B77D6">
        <w:rPr>
          <w:rFonts w:asciiTheme="minorHAnsi" w:hAnsiTheme="minorHAnsi" w:cstheme="minorHAnsi"/>
          <w:b/>
          <w:bCs/>
          <w:szCs w:val="24"/>
        </w:rPr>
        <w:t>Punkt A.3.4.1. i Punkt A.3.4.2.</w:t>
      </w:r>
    </w:p>
    <w:p w14:paraId="33A49D91" w14:textId="77777777" w:rsidR="001D7621" w:rsidRPr="004B77D6" w:rsidRDefault="001D7621" w:rsidP="001D7621">
      <w:pPr>
        <w:suppressAutoHyphens w:val="0"/>
        <w:autoSpaceDE w:val="0"/>
        <w:autoSpaceDN w:val="0"/>
        <w:adjustRightInd w:val="0"/>
        <w:spacing w:after="120" w:line="276" w:lineRule="auto"/>
        <w:rPr>
          <w:rFonts w:asciiTheme="minorHAnsi" w:hAnsiTheme="minorHAnsi" w:cstheme="minorHAnsi"/>
          <w:bCs/>
          <w:szCs w:val="24"/>
        </w:rPr>
      </w:pPr>
      <w:r w:rsidRPr="004B77D6">
        <w:rPr>
          <w:rFonts w:asciiTheme="minorHAnsi" w:hAnsiTheme="minorHAnsi" w:cstheme="minorHAnsi"/>
          <w:bCs/>
          <w:szCs w:val="24"/>
        </w:rPr>
        <w:t xml:space="preserve">W punkcie A.3.4.1 oraz A.3.4.2 oczekuje się informacji potwierdzającej, że w przypadku rozpoczęcia robót budowlanych poprzedzone one zostały stosowną procedurą zezwolenia na inwestycję. </w:t>
      </w:r>
    </w:p>
    <w:p w14:paraId="4D3D846A" w14:textId="77777777" w:rsidR="001D7621" w:rsidRPr="004B77D6" w:rsidRDefault="001D7621" w:rsidP="001D7621">
      <w:pPr>
        <w:suppressAutoHyphens w:val="0"/>
        <w:autoSpaceDE w:val="0"/>
        <w:autoSpaceDN w:val="0"/>
        <w:adjustRightInd w:val="0"/>
        <w:spacing w:after="120" w:line="276" w:lineRule="auto"/>
        <w:rPr>
          <w:rFonts w:asciiTheme="minorHAnsi" w:hAnsiTheme="minorHAnsi" w:cstheme="minorHAnsi"/>
          <w:bCs/>
          <w:szCs w:val="24"/>
        </w:rPr>
      </w:pPr>
      <w:r w:rsidRPr="004B77D6">
        <w:rPr>
          <w:rFonts w:asciiTheme="minorHAnsi" w:hAnsiTheme="minorHAnsi" w:cstheme="minorHAnsi"/>
          <w:b/>
          <w:bCs/>
          <w:szCs w:val="24"/>
        </w:rPr>
        <w:t>Uwaga:</w:t>
      </w:r>
      <w:r w:rsidRPr="004B77D6">
        <w:rPr>
          <w:rFonts w:asciiTheme="minorHAnsi" w:hAnsiTheme="minorHAnsi" w:cstheme="minorHAnsi"/>
          <w:bCs/>
          <w:szCs w:val="24"/>
        </w:rPr>
        <w:t xml:space="preserve"> W punkcie A.3.4.1 poprzez „co najmniej jedno zamówienie na roboty budowlane” rozumie się podpisaną umowę na roboty budowlane, w ramach której rozpoczęto realizację robót budowlanych. </w:t>
      </w:r>
    </w:p>
    <w:p w14:paraId="4C0DADF3" w14:textId="77777777" w:rsidR="001D7621" w:rsidRPr="004B77D6" w:rsidRDefault="001D7621" w:rsidP="001D7621">
      <w:pPr>
        <w:suppressAutoHyphens w:val="0"/>
        <w:autoSpaceDE w:val="0"/>
        <w:autoSpaceDN w:val="0"/>
        <w:adjustRightInd w:val="0"/>
        <w:spacing w:after="120" w:line="276" w:lineRule="auto"/>
        <w:rPr>
          <w:rFonts w:asciiTheme="minorHAnsi" w:hAnsiTheme="minorHAnsi" w:cstheme="minorHAnsi"/>
          <w:bCs/>
          <w:szCs w:val="24"/>
        </w:rPr>
      </w:pPr>
      <w:r w:rsidRPr="004B77D6">
        <w:rPr>
          <w:rFonts w:asciiTheme="minorHAnsi" w:hAnsiTheme="minorHAnsi" w:cstheme="minorHAnsi"/>
          <w:bCs/>
          <w:szCs w:val="24"/>
        </w:rPr>
        <w:t>W przypadku zgłoszenia robót budowlanych, formularz wypełnia się analogicznie.</w:t>
      </w:r>
    </w:p>
    <w:p w14:paraId="43D71C24" w14:textId="77777777" w:rsidR="001D7621" w:rsidRPr="004B77D6" w:rsidRDefault="001D7621" w:rsidP="001D7621">
      <w:pPr>
        <w:suppressAutoHyphens w:val="0"/>
        <w:autoSpaceDE w:val="0"/>
        <w:autoSpaceDN w:val="0"/>
        <w:adjustRightInd w:val="0"/>
        <w:spacing w:after="120" w:line="276" w:lineRule="auto"/>
        <w:rPr>
          <w:rFonts w:asciiTheme="minorHAnsi" w:hAnsiTheme="minorHAnsi" w:cstheme="minorHAnsi"/>
          <w:b/>
          <w:bCs/>
          <w:szCs w:val="24"/>
        </w:rPr>
      </w:pPr>
      <w:r w:rsidRPr="004B77D6">
        <w:rPr>
          <w:rFonts w:asciiTheme="minorHAnsi" w:hAnsiTheme="minorHAnsi" w:cstheme="minorHAnsi"/>
          <w:b/>
          <w:bCs/>
          <w:szCs w:val="24"/>
        </w:rPr>
        <w:t>Punkt A.3.4.3.</w:t>
      </w:r>
    </w:p>
    <w:p w14:paraId="2E5F7B41" w14:textId="2AE38EA7" w:rsidR="001D7621" w:rsidRDefault="001D7621" w:rsidP="001D7621">
      <w:pPr>
        <w:suppressAutoHyphens w:val="0"/>
        <w:autoSpaceDE w:val="0"/>
        <w:autoSpaceDN w:val="0"/>
        <w:adjustRightInd w:val="0"/>
        <w:spacing w:after="120" w:line="276" w:lineRule="auto"/>
        <w:rPr>
          <w:rFonts w:asciiTheme="minorHAnsi" w:hAnsiTheme="minorHAnsi" w:cstheme="minorHAnsi"/>
          <w:bCs/>
          <w:szCs w:val="24"/>
        </w:rPr>
      </w:pPr>
      <w:r w:rsidRPr="004B77D6">
        <w:rPr>
          <w:rFonts w:asciiTheme="minorHAnsi" w:hAnsiTheme="minorHAnsi" w:cstheme="minorHAnsi"/>
          <w:bCs/>
          <w:szCs w:val="24"/>
        </w:rPr>
        <w:t xml:space="preserve">Należy wymienić uzyskane decyzje budowlane wskazując jednocześnie datę, sygnaturę, organ wydający oraz przedmiot każdej z decyzji. W przypadku gdy roboty budowlane </w:t>
      </w:r>
      <w:r w:rsidR="000B16A7">
        <w:rPr>
          <w:rFonts w:asciiTheme="minorHAnsi" w:hAnsiTheme="minorHAnsi" w:cstheme="minorHAnsi"/>
          <w:bCs/>
          <w:szCs w:val="24"/>
        </w:rPr>
        <w:br/>
      </w:r>
      <w:r w:rsidRPr="004B77D6">
        <w:rPr>
          <w:rFonts w:asciiTheme="minorHAnsi" w:hAnsiTheme="minorHAnsi" w:cstheme="minorHAnsi"/>
          <w:bCs/>
          <w:szCs w:val="24"/>
        </w:rPr>
        <w:t xml:space="preserve">są realizowane na podstawie zgłoszenia należy podać datę zgłoszenia (tj. datę wpływu </w:t>
      </w:r>
      <w:r w:rsidR="000B16A7">
        <w:rPr>
          <w:rFonts w:asciiTheme="minorHAnsi" w:hAnsiTheme="minorHAnsi" w:cstheme="minorHAnsi"/>
          <w:bCs/>
          <w:szCs w:val="24"/>
        </w:rPr>
        <w:br/>
      </w:r>
      <w:r w:rsidRPr="004B77D6">
        <w:rPr>
          <w:rFonts w:asciiTheme="minorHAnsi" w:hAnsiTheme="minorHAnsi" w:cstheme="minorHAnsi"/>
          <w:bCs/>
          <w:szCs w:val="24"/>
        </w:rPr>
        <w:t>do organu) oraz właściwy organ oraz datę upływu terminu na zgłoszenie sprzeciwu przez organ.</w:t>
      </w:r>
    </w:p>
    <w:p w14:paraId="20082EDA" w14:textId="77777777" w:rsidR="001D7621" w:rsidRPr="004B77D6" w:rsidRDefault="001D7621" w:rsidP="001D7621">
      <w:pPr>
        <w:suppressAutoHyphens w:val="0"/>
        <w:autoSpaceDE w:val="0"/>
        <w:autoSpaceDN w:val="0"/>
        <w:adjustRightInd w:val="0"/>
        <w:spacing w:after="120" w:line="276" w:lineRule="auto"/>
        <w:rPr>
          <w:rFonts w:asciiTheme="minorHAnsi" w:hAnsiTheme="minorHAnsi" w:cstheme="minorHAnsi"/>
          <w:b/>
          <w:bCs/>
          <w:szCs w:val="24"/>
        </w:rPr>
      </w:pPr>
      <w:r w:rsidRPr="004B77D6">
        <w:rPr>
          <w:rFonts w:asciiTheme="minorHAnsi" w:hAnsiTheme="minorHAnsi" w:cstheme="minorHAnsi"/>
          <w:b/>
          <w:bCs/>
          <w:szCs w:val="24"/>
        </w:rPr>
        <w:t>Punkt A.3.4.4.</w:t>
      </w:r>
    </w:p>
    <w:p w14:paraId="74FA2A8C" w14:textId="77777777" w:rsidR="001D7621" w:rsidRPr="004B77D6" w:rsidRDefault="001D7621" w:rsidP="001D7621">
      <w:pPr>
        <w:suppressAutoHyphens w:val="0"/>
        <w:autoSpaceDE w:val="0"/>
        <w:autoSpaceDN w:val="0"/>
        <w:adjustRightInd w:val="0"/>
        <w:spacing w:after="120" w:line="276" w:lineRule="auto"/>
        <w:rPr>
          <w:rFonts w:asciiTheme="minorHAnsi" w:hAnsiTheme="minorHAnsi" w:cstheme="minorHAnsi"/>
          <w:bCs/>
          <w:szCs w:val="24"/>
        </w:rPr>
      </w:pPr>
      <w:r w:rsidRPr="004B77D6">
        <w:rPr>
          <w:rFonts w:asciiTheme="minorHAnsi" w:hAnsiTheme="minorHAnsi" w:cstheme="minorHAnsi"/>
          <w:bCs/>
          <w:szCs w:val="24"/>
        </w:rPr>
        <w:t>Należy podać daty wniosków oraz wskazać organy, do których złożono wnioski o zezwolenie na inwestycję/decyzji budowlanej.</w:t>
      </w:r>
    </w:p>
    <w:p w14:paraId="3C3F3665" w14:textId="17522FE9" w:rsidR="001D7621" w:rsidRPr="004B77D6" w:rsidRDefault="001D7621" w:rsidP="001D7621">
      <w:pPr>
        <w:suppressAutoHyphens w:val="0"/>
        <w:autoSpaceDE w:val="0"/>
        <w:autoSpaceDN w:val="0"/>
        <w:adjustRightInd w:val="0"/>
        <w:spacing w:after="120" w:line="276" w:lineRule="auto"/>
        <w:rPr>
          <w:rFonts w:asciiTheme="minorHAnsi" w:hAnsiTheme="minorHAnsi" w:cstheme="minorHAnsi"/>
          <w:b/>
          <w:bCs/>
          <w:szCs w:val="24"/>
        </w:rPr>
      </w:pPr>
      <w:r w:rsidRPr="004B77D6">
        <w:rPr>
          <w:rFonts w:asciiTheme="minorHAnsi" w:hAnsiTheme="minorHAnsi" w:cstheme="minorHAnsi"/>
          <w:b/>
          <w:bCs/>
          <w:szCs w:val="24"/>
        </w:rPr>
        <w:t>Punkt A.3.4.5.</w:t>
      </w:r>
    </w:p>
    <w:p w14:paraId="60168C24" w14:textId="77777777" w:rsidR="001D7621" w:rsidRPr="004B77D6" w:rsidRDefault="001D7621" w:rsidP="001D7621">
      <w:pPr>
        <w:suppressAutoHyphens w:val="0"/>
        <w:autoSpaceDE w:val="0"/>
        <w:autoSpaceDN w:val="0"/>
        <w:adjustRightInd w:val="0"/>
        <w:spacing w:after="120" w:line="276" w:lineRule="auto"/>
        <w:rPr>
          <w:rFonts w:asciiTheme="minorHAnsi" w:hAnsiTheme="minorHAnsi" w:cstheme="minorHAnsi"/>
          <w:bCs/>
          <w:szCs w:val="24"/>
        </w:rPr>
      </w:pPr>
      <w:r w:rsidRPr="004B77D6">
        <w:rPr>
          <w:rFonts w:asciiTheme="minorHAnsi" w:hAnsiTheme="minorHAnsi" w:cstheme="minorHAnsi"/>
          <w:bCs/>
          <w:szCs w:val="24"/>
        </w:rPr>
        <w:t xml:space="preserve">Należy wskazać dotychczas uzyskane decyzje o środowiskowych uwarunkowaniach oraz określić obecnie realizowany etap procesu przygotowania dokumentacji do wniosku lub obecny etap procesu uzyskiwania zezwoleń na inwestycję/decyzji budowlanych. </w:t>
      </w:r>
    </w:p>
    <w:p w14:paraId="5C0B3DE8" w14:textId="77777777" w:rsidR="001D7621" w:rsidRPr="004B77D6" w:rsidRDefault="001D7621" w:rsidP="001D7621">
      <w:pPr>
        <w:suppressAutoHyphens w:val="0"/>
        <w:autoSpaceDE w:val="0"/>
        <w:autoSpaceDN w:val="0"/>
        <w:adjustRightInd w:val="0"/>
        <w:spacing w:after="120" w:line="276" w:lineRule="auto"/>
        <w:rPr>
          <w:rFonts w:asciiTheme="minorHAnsi" w:hAnsiTheme="minorHAnsi" w:cstheme="minorHAnsi"/>
          <w:bCs/>
          <w:szCs w:val="24"/>
        </w:rPr>
      </w:pPr>
      <w:r w:rsidRPr="004B77D6">
        <w:rPr>
          <w:rFonts w:asciiTheme="minorHAnsi" w:hAnsiTheme="minorHAnsi" w:cstheme="minorHAnsi"/>
          <w:bCs/>
          <w:szCs w:val="24"/>
        </w:rPr>
        <w:t>Wskazać należy czynności administracyjne niezbędne do wykonania w celu uzyskania ostatecznej decyzji budowlanej (lub ostatecznych decyzji budowlanych).</w:t>
      </w:r>
    </w:p>
    <w:p w14:paraId="3652DEA6" w14:textId="77777777" w:rsidR="001D7621" w:rsidRPr="004B77D6" w:rsidRDefault="001D7621" w:rsidP="001D7621">
      <w:pPr>
        <w:suppressAutoHyphens w:val="0"/>
        <w:autoSpaceDE w:val="0"/>
        <w:autoSpaceDN w:val="0"/>
        <w:adjustRightInd w:val="0"/>
        <w:spacing w:after="120" w:line="276" w:lineRule="auto"/>
        <w:rPr>
          <w:rFonts w:asciiTheme="minorHAnsi" w:hAnsiTheme="minorHAnsi" w:cstheme="minorHAnsi"/>
          <w:b/>
          <w:bCs/>
          <w:szCs w:val="24"/>
        </w:rPr>
      </w:pPr>
      <w:r w:rsidRPr="004B77D6">
        <w:rPr>
          <w:rFonts w:asciiTheme="minorHAnsi" w:hAnsiTheme="minorHAnsi" w:cstheme="minorHAnsi"/>
          <w:b/>
          <w:bCs/>
          <w:szCs w:val="24"/>
        </w:rPr>
        <w:t>Punkt A.3.4.6.</w:t>
      </w:r>
    </w:p>
    <w:p w14:paraId="24345954" w14:textId="77777777" w:rsidR="001D7621" w:rsidRPr="004B77D6" w:rsidRDefault="001D7621" w:rsidP="001D7621">
      <w:pPr>
        <w:suppressAutoHyphens w:val="0"/>
        <w:autoSpaceDE w:val="0"/>
        <w:autoSpaceDN w:val="0"/>
        <w:adjustRightInd w:val="0"/>
        <w:spacing w:after="120" w:line="276" w:lineRule="auto"/>
        <w:rPr>
          <w:rFonts w:asciiTheme="minorHAnsi" w:hAnsiTheme="minorHAnsi" w:cstheme="minorHAnsi"/>
          <w:bCs/>
          <w:szCs w:val="24"/>
        </w:rPr>
      </w:pPr>
      <w:r w:rsidRPr="004B77D6">
        <w:rPr>
          <w:rFonts w:asciiTheme="minorHAnsi" w:hAnsiTheme="minorHAnsi" w:cstheme="minorHAnsi"/>
          <w:bCs/>
          <w:szCs w:val="24"/>
        </w:rPr>
        <w:t>Należy podać przewidywane daty uzyskania decyzji budowlanych oraz daty upływu terminu wniesienia sprzeciwu przez organ, do któremu zgłoszono roboty budowalne w rozumieniu art. 30 Prawa budowalnego (zgodnie z przyjętym harmonogramem dla projektu). Należy zwrócić uwagę na spójność prezentowanych danych z pozostałą częścią formularza.</w:t>
      </w:r>
    </w:p>
    <w:p w14:paraId="0753A8E3" w14:textId="695FCEE1" w:rsidR="001D7621" w:rsidRPr="004B77D6" w:rsidRDefault="001D7621" w:rsidP="001D7621">
      <w:pPr>
        <w:suppressAutoHyphens w:val="0"/>
        <w:autoSpaceDE w:val="0"/>
        <w:autoSpaceDN w:val="0"/>
        <w:adjustRightInd w:val="0"/>
        <w:spacing w:after="120" w:line="276" w:lineRule="auto"/>
        <w:rPr>
          <w:rFonts w:asciiTheme="minorHAnsi" w:hAnsiTheme="minorHAnsi" w:cstheme="minorHAnsi"/>
          <w:bCs/>
          <w:szCs w:val="24"/>
        </w:rPr>
      </w:pPr>
      <w:r w:rsidRPr="004B77D6">
        <w:rPr>
          <w:rFonts w:asciiTheme="minorHAnsi" w:hAnsiTheme="minorHAnsi" w:cstheme="minorHAnsi"/>
          <w:bCs/>
          <w:szCs w:val="24"/>
        </w:rPr>
        <w:lastRenderedPageBreak/>
        <w:t xml:space="preserve">Jeżeli, w pkt. A.3.4.1 i A.3.4.2 zaznaczono kwadrat TAK wobec uzyskania przynajmniej jednego zezwolenia na inwestycję/decyzji budowalnej, ale planuje się uzyskiwanie jeszcze kolejnych, to w niniejszym punkcie należy </w:t>
      </w:r>
      <w:r w:rsidR="009C07F8" w:rsidRPr="004B77D6">
        <w:rPr>
          <w:rFonts w:asciiTheme="minorHAnsi" w:hAnsiTheme="minorHAnsi" w:cstheme="minorHAnsi"/>
          <w:bCs/>
          <w:szCs w:val="24"/>
        </w:rPr>
        <w:t>wskazać,</w:t>
      </w:r>
      <w:r w:rsidRPr="004B77D6">
        <w:rPr>
          <w:rFonts w:asciiTheme="minorHAnsi" w:hAnsiTheme="minorHAnsi" w:cstheme="minorHAnsi"/>
          <w:bCs/>
          <w:szCs w:val="24"/>
        </w:rPr>
        <w:t xml:space="preserve"> kiedy zostały lub będą złożone wnioski na pozostałe zezwolenia na inwestycję/decyzje budowalne oraz kiedy planowane jest ich uzyskanie.</w:t>
      </w:r>
    </w:p>
    <w:p w14:paraId="2F82B6E0" w14:textId="77777777" w:rsidR="001D7621" w:rsidRPr="004B77D6" w:rsidRDefault="001D7621" w:rsidP="001D7621">
      <w:pPr>
        <w:suppressAutoHyphens w:val="0"/>
        <w:autoSpaceDE w:val="0"/>
        <w:autoSpaceDN w:val="0"/>
        <w:adjustRightInd w:val="0"/>
        <w:spacing w:after="120" w:line="276" w:lineRule="auto"/>
        <w:rPr>
          <w:rFonts w:asciiTheme="minorHAnsi" w:hAnsiTheme="minorHAnsi" w:cstheme="minorHAnsi"/>
          <w:b/>
          <w:bCs/>
          <w:szCs w:val="24"/>
        </w:rPr>
      </w:pPr>
      <w:r w:rsidRPr="004B77D6">
        <w:rPr>
          <w:rFonts w:asciiTheme="minorHAnsi" w:hAnsiTheme="minorHAnsi" w:cstheme="minorHAnsi"/>
          <w:b/>
          <w:bCs/>
          <w:szCs w:val="24"/>
        </w:rPr>
        <w:t>Punkt A.3.4.7.</w:t>
      </w:r>
    </w:p>
    <w:p w14:paraId="44AE81DF" w14:textId="77777777" w:rsidR="001D7621" w:rsidRPr="004B77D6" w:rsidRDefault="001D7621" w:rsidP="001D7621">
      <w:pPr>
        <w:suppressAutoHyphens w:val="0"/>
        <w:autoSpaceDE w:val="0"/>
        <w:autoSpaceDN w:val="0"/>
        <w:adjustRightInd w:val="0"/>
        <w:spacing w:after="120" w:line="276" w:lineRule="auto"/>
        <w:rPr>
          <w:rFonts w:asciiTheme="minorHAnsi" w:hAnsiTheme="minorHAnsi" w:cstheme="minorHAnsi"/>
          <w:bCs/>
          <w:szCs w:val="24"/>
        </w:rPr>
      </w:pPr>
      <w:r w:rsidRPr="004B77D6">
        <w:rPr>
          <w:rFonts w:asciiTheme="minorHAnsi" w:hAnsiTheme="minorHAnsi" w:cstheme="minorHAnsi"/>
          <w:bCs/>
          <w:szCs w:val="24"/>
        </w:rPr>
        <w:t>Należy wskazać organ, który wyda/wydał zezwolenie na inwestycje/decyzje budowlane lub do którego dokonano zgłoszenia robót budowlanych oraz organ, który wydał decyzje środowiskowe.</w:t>
      </w:r>
    </w:p>
    <w:p w14:paraId="75B92153" w14:textId="77777777" w:rsidR="001D7621" w:rsidRPr="004B77D6" w:rsidRDefault="001D7621" w:rsidP="001D7621">
      <w:pPr>
        <w:suppressAutoHyphens w:val="0"/>
        <w:autoSpaceDE w:val="0"/>
        <w:autoSpaceDN w:val="0"/>
        <w:adjustRightInd w:val="0"/>
        <w:spacing w:after="120" w:line="276" w:lineRule="auto"/>
        <w:rPr>
          <w:rFonts w:asciiTheme="minorHAnsi" w:hAnsiTheme="minorHAnsi" w:cstheme="minorHAnsi"/>
          <w:b/>
          <w:bCs/>
          <w:szCs w:val="24"/>
        </w:rPr>
      </w:pPr>
      <w:r w:rsidRPr="004B77D6">
        <w:rPr>
          <w:rFonts w:asciiTheme="minorHAnsi" w:hAnsiTheme="minorHAnsi" w:cstheme="minorHAnsi"/>
          <w:b/>
          <w:bCs/>
          <w:szCs w:val="24"/>
        </w:rPr>
        <w:t xml:space="preserve">Punkt A.4.1. </w:t>
      </w:r>
    </w:p>
    <w:p w14:paraId="5A405AC5" w14:textId="3A686EFF" w:rsidR="001D7621" w:rsidRPr="004B77D6" w:rsidRDefault="001D7621" w:rsidP="001D7621">
      <w:pPr>
        <w:suppressAutoHyphens w:val="0"/>
        <w:autoSpaceDE w:val="0"/>
        <w:autoSpaceDN w:val="0"/>
        <w:adjustRightInd w:val="0"/>
        <w:spacing w:after="120" w:line="276" w:lineRule="auto"/>
        <w:rPr>
          <w:rFonts w:asciiTheme="minorHAnsi" w:hAnsiTheme="minorHAnsi" w:cstheme="minorHAnsi"/>
          <w:szCs w:val="24"/>
        </w:rPr>
      </w:pPr>
      <w:r w:rsidRPr="004B77D6">
        <w:rPr>
          <w:rFonts w:asciiTheme="minorHAnsi" w:hAnsiTheme="minorHAnsi" w:cstheme="minorHAnsi"/>
          <w:szCs w:val="24"/>
        </w:rPr>
        <w:t xml:space="preserve">Należy opisać, w jaki sposób realizacja projektu wpisuje się w cele klimatyczne określone </w:t>
      </w:r>
      <w:r w:rsidR="000B16A7">
        <w:rPr>
          <w:rFonts w:asciiTheme="minorHAnsi" w:hAnsiTheme="minorHAnsi" w:cstheme="minorHAnsi"/>
          <w:szCs w:val="24"/>
        </w:rPr>
        <w:br/>
      </w:r>
      <w:r w:rsidRPr="004B77D6">
        <w:rPr>
          <w:rFonts w:asciiTheme="minorHAnsi" w:hAnsiTheme="minorHAnsi" w:cstheme="minorHAnsi"/>
          <w:szCs w:val="24"/>
        </w:rPr>
        <w:t>w Strategii Europejski Zielony Ład, Prawie Klimatycznym, Pakiecie energetyczno- klimatycznym, Krajowym Planie na Rzecz Energii i Klimatu, w celu dążenia do neutralności klimatycznej do roku 2050. Konieczne jest w niniejszym punkcie wskazanie, w syntetyczny sposób, zastosowanej metody oszacowania emisji GHG.</w:t>
      </w:r>
    </w:p>
    <w:p w14:paraId="71E72DE0" w14:textId="77777777" w:rsidR="001D7621" w:rsidRPr="004B77D6" w:rsidRDefault="001D7621" w:rsidP="001D7621">
      <w:pPr>
        <w:suppressAutoHyphens w:val="0"/>
        <w:autoSpaceDE w:val="0"/>
        <w:autoSpaceDN w:val="0"/>
        <w:adjustRightInd w:val="0"/>
        <w:spacing w:after="120" w:line="276" w:lineRule="auto"/>
        <w:rPr>
          <w:rFonts w:asciiTheme="minorHAnsi" w:hAnsiTheme="minorHAnsi" w:cstheme="minorHAnsi"/>
          <w:szCs w:val="24"/>
        </w:rPr>
      </w:pPr>
      <w:r w:rsidRPr="004B77D6">
        <w:rPr>
          <w:rFonts w:asciiTheme="minorHAnsi" w:hAnsiTheme="minorHAnsi" w:cstheme="minorHAnsi"/>
          <w:szCs w:val="24"/>
        </w:rPr>
        <w:t xml:space="preserve">Cel 1 Łagodzenie zmian klimatu art. 9 rozporządzenia w sprawie taksonomii w art. 17 wskazuje, że jeżeli projekt prowadzi do znacznych emisji gazów cieplarnianych to stanowi znaczące szkody dla środowiska i jest nie zgodny z zasadą DNSH. </w:t>
      </w:r>
    </w:p>
    <w:p w14:paraId="4CD7E34F" w14:textId="77777777" w:rsidR="001D7621" w:rsidRPr="004B77D6" w:rsidRDefault="001D7621" w:rsidP="001D7621">
      <w:pPr>
        <w:suppressAutoHyphens w:val="0"/>
        <w:autoSpaceDE w:val="0"/>
        <w:autoSpaceDN w:val="0"/>
        <w:adjustRightInd w:val="0"/>
        <w:spacing w:after="120" w:line="276" w:lineRule="auto"/>
        <w:rPr>
          <w:rFonts w:asciiTheme="minorHAnsi" w:hAnsiTheme="minorHAnsi" w:cstheme="minorHAnsi"/>
          <w:szCs w:val="24"/>
        </w:rPr>
      </w:pPr>
      <w:r w:rsidRPr="004B77D6">
        <w:rPr>
          <w:rFonts w:asciiTheme="minorHAnsi" w:hAnsiTheme="minorHAnsi" w:cstheme="minorHAnsi"/>
          <w:szCs w:val="24"/>
        </w:rPr>
        <w:t>Bezpośrednim odwołaniem dla tego celu jest rozporządzenie delegowane Komisji (UE) 2021/2139 z dnia 4 czerwca 2021 r. uzupełniające rozporządzenie Parlamentu Europejskiego i Rady (UE) 2020/852 poprzez ustanowienie technicznych kryteriów kwalifikacji służących określeniu warunków, na jakich dana działalność gospodarcza kwalifikuje się jako wnosząca istotny wkład w łagodzenie zmian klimatu lub w adaptację do zmian klimatu, a także określeniu, czy ta działalność gospodarcza nie wyrządza znaczących szkód względem żadnego z pozostałych celów środowiskowych.</w:t>
      </w:r>
    </w:p>
    <w:p w14:paraId="11382E23" w14:textId="77777777" w:rsidR="001D7621" w:rsidRPr="004B77D6" w:rsidRDefault="001D7621" w:rsidP="001D7621">
      <w:pPr>
        <w:suppressAutoHyphens w:val="0"/>
        <w:autoSpaceDE w:val="0"/>
        <w:autoSpaceDN w:val="0"/>
        <w:adjustRightInd w:val="0"/>
        <w:spacing w:after="120" w:line="276" w:lineRule="auto"/>
        <w:rPr>
          <w:rFonts w:asciiTheme="minorHAnsi" w:hAnsiTheme="minorHAnsi" w:cstheme="minorHAnsi"/>
          <w:b/>
          <w:bCs/>
          <w:szCs w:val="24"/>
        </w:rPr>
      </w:pPr>
      <w:r w:rsidRPr="004B77D6">
        <w:rPr>
          <w:rFonts w:asciiTheme="minorHAnsi" w:hAnsiTheme="minorHAnsi" w:cstheme="minorHAnsi"/>
          <w:b/>
          <w:szCs w:val="24"/>
        </w:rPr>
        <w:t xml:space="preserve">Punkt A.5.1. </w:t>
      </w:r>
    </w:p>
    <w:p w14:paraId="334E9F6D" w14:textId="53770341" w:rsidR="001D7621" w:rsidRPr="004B77D6" w:rsidRDefault="001D7621" w:rsidP="001D7621">
      <w:pPr>
        <w:suppressAutoHyphens w:val="0"/>
        <w:autoSpaceDE w:val="0"/>
        <w:autoSpaceDN w:val="0"/>
        <w:adjustRightInd w:val="0"/>
        <w:spacing w:after="120" w:line="276" w:lineRule="auto"/>
        <w:rPr>
          <w:rFonts w:asciiTheme="minorHAnsi" w:hAnsiTheme="minorHAnsi" w:cstheme="minorHAnsi"/>
          <w:szCs w:val="24"/>
        </w:rPr>
      </w:pPr>
      <w:r w:rsidRPr="004B77D6">
        <w:rPr>
          <w:rFonts w:asciiTheme="minorHAnsi" w:hAnsiTheme="minorHAnsi" w:cstheme="minorHAnsi"/>
          <w:szCs w:val="24"/>
        </w:rPr>
        <w:t xml:space="preserve">Cel 2 Adaptacja do zmian klimatu w art. 9 rozporządzenia o taksonomii w art. 17 stanowi, </w:t>
      </w:r>
      <w:r w:rsidR="000B16A7">
        <w:rPr>
          <w:rFonts w:asciiTheme="minorHAnsi" w:hAnsiTheme="minorHAnsi" w:cstheme="minorHAnsi"/>
          <w:szCs w:val="24"/>
        </w:rPr>
        <w:br/>
      </w:r>
      <w:r w:rsidRPr="004B77D6">
        <w:rPr>
          <w:rFonts w:asciiTheme="minorHAnsi" w:hAnsiTheme="minorHAnsi" w:cstheme="minorHAnsi"/>
          <w:szCs w:val="24"/>
        </w:rPr>
        <w:t xml:space="preserve">że jeżeli działalność prowadzi do nasilenia niekorzystnych skutków obecnych i oczekiwanych, dla przyszłych warunków klimatycznych, wywieranych na tę działalność lub na ludzi, przyrodę lub aktywa to wpływa znacząco na środowisko i jest niezgodna z zasadą DNSH. </w:t>
      </w:r>
    </w:p>
    <w:p w14:paraId="6A46E09A" w14:textId="17A4D9BC" w:rsidR="001D7621" w:rsidRPr="004B77D6" w:rsidRDefault="001D7621" w:rsidP="001D7621">
      <w:pPr>
        <w:suppressAutoHyphens w:val="0"/>
        <w:autoSpaceDE w:val="0"/>
        <w:autoSpaceDN w:val="0"/>
        <w:adjustRightInd w:val="0"/>
        <w:spacing w:after="120" w:line="276" w:lineRule="auto"/>
        <w:rPr>
          <w:rFonts w:asciiTheme="minorHAnsi" w:hAnsiTheme="minorHAnsi" w:cstheme="minorHAnsi"/>
          <w:szCs w:val="24"/>
        </w:rPr>
      </w:pPr>
      <w:r w:rsidRPr="004B77D6">
        <w:rPr>
          <w:rFonts w:asciiTheme="minorHAnsi" w:hAnsiTheme="minorHAnsi" w:cstheme="minorHAnsi"/>
          <w:szCs w:val="24"/>
        </w:rPr>
        <w:t xml:space="preserve">Należy wyjaśnić, w jaki sposób uwzględniono zagrożenia związane ze zmianami klimatu, kwestie dotyczące przystosowania się do zmian klimatu i ich łagodzenia oraz odporność na klęski żywiołowe. Czy w trakcie przygotowywania projektu przeprowadzono ocenę zagrożeń wynikających ze zmian klimatycznych lub kontrolę podatności (ocenę ryzyka związanego prognozowanymi zmianami </w:t>
      </w:r>
      <w:r w:rsidR="000A1487" w:rsidRPr="004B77D6">
        <w:rPr>
          <w:rFonts w:asciiTheme="minorHAnsi" w:hAnsiTheme="minorHAnsi" w:cstheme="minorHAnsi"/>
          <w:szCs w:val="24"/>
        </w:rPr>
        <w:t>klimat lub analizę podatności)?</w:t>
      </w:r>
      <w:r w:rsidRPr="004B77D6">
        <w:rPr>
          <w:rFonts w:asciiTheme="minorHAnsi" w:hAnsiTheme="minorHAnsi" w:cstheme="minorHAnsi"/>
          <w:szCs w:val="24"/>
        </w:rPr>
        <w:t xml:space="preserve"> W jaki sposób kwestie klimatyczne zostały uwzględnione w analizie i rankingu odpowiednich wariantów? W jaki sposób projekt odnosi się do strategii krajowej lub regionalnej w zakresie przystosowania się do zmian klimatu? Czy projekt w połączeniu ze zmianami klimatu będzie miał jakikolwiek </w:t>
      </w:r>
      <w:r w:rsidRPr="004B77D6">
        <w:rPr>
          <w:rFonts w:asciiTheme="minorHAnsi" w:hAnsiTheme="minorHAnsi" w:cstheme="minorHAnsi"/>
          <w:szCs w:val="24"/>
        </w:rPr>
        <w:lastRenderedPageBreak/>
        <w:t xml:space="preserve">pozytywny lub negatywny wpływ na otoczenie? Czy zmiany klimatu wpłynęły na lokalizację projektu? </w:t>
      </w:r>
    </w:p>
    <w:p w14:paraId="3C236324" w14:textId="77777777" w:rsidR="001D7621" w:rsidRPr="004B77D6" w:rsidRDefault="001D7621" w:rsidP="001D7621">
      <w:pPr>
        <w:suppressAutoHyphens w:val="0"/>
        <w:autoSpaceDE w:val="0"/>
        <w:autoSpaceDN w:val="0"/>
        <w:adjustRightInd w:val="0"/>
        <w:spacing w:after="120" w:line="276" w:lineRule="auto"/>
        <w:rPr>
          <w:rFonts w:asciiTheme="minorHAnsi" w:hAnsiTheme="minorHAnsi" w:cstheme="minorHAnsi"/>
          <w:b/>
          <w:bCs/>
          <w:szCs w:val="24"/>
        </w:rPr>
      </w:pPr>
      <w:r w:rsidRPr="004B77D6">
        <w:rPr>
          <w:rFonts w:asciiTheme="minorHAnsi" w:hAnsiTheme="minorHAnsi" w:cstheme="minorHAnsi"/>
          <w:szCs w:val="24"/>
        </w:rPr>
        <w:t>Bezpośrednim odwołaniem dla tego celu jest rozporządzenie delegowane Komisji (UE) 2021/2139 z dnia 4 czerwca 2021 r. uzupełniające rozporządzenie Parlamentu Europejskiego i Rady (UE) 2020/852 poprzez ustanowienie technicznych kryteriów kwalifikacji służących określeniu warunków, na jakich dana działalność gospodarcza kwalifikuje się jako wnosząca istotny wkład w łagodzenie zmian klimatu lub w adaptację do zmian klimatu, a także określeniu, czy ta działalność gospodarcza nie wyrządza znaczących szkód względem żadnego z pozostałych celów środowiskowych.</w:t>
      </w:r>
    </w:p>
    <w:p w14:paraId="349F24D6" w14:textId="77777777" w:rsidR="001D7621" w:rsidRPr="004B77D6" w:rsidRDefault="001D7621" w:rsidP="001D7621">
      <w:pPr>
        <w:suppressAutoHyphens w:val="0"/>
        <w:autoSpaceDE w:val="0"/>
        <w:autoSpaceDN w:val="0"/>
        <w:adjustRightInd w:val="0"/>
        <w:spacing w:after="120" w:line="276" w:lineRule="auto"/>
        <w:rPr>
          <w:rFonts w:asciiTheme="minorHAnsi" w:hAnsiTheme="minorHAnsi" w:cstheme="minorHAnsi"/>
          <w:b/>
          <w:bCs/>
          <w:szCs w:val="24"/>
        </w:rPr>
      </w:pPr>
      <w:r w:rsidRPr="004B77D6">
        <w:rPr>
          <w:rFonts w:asciiTheme="minorHAnsi" w:hAnsiTheme="minorHAnsi" w:cstheme="minorHAnsi"/>
          <w:b/>
          <w:szCs w:val="24"/>
        </w:rPr>
        <w:t xml:space="preserve">Punkt A.5.2. </w:t>
      </w:r>
    </w:p>
    <w:p w14:paraId="5854E787" w14:textId="73B7FA8B" w:rsidR="001D7621" w:rsidRPr="004B77D6" w:rsidRDefault="001D7621" w:rsidP="001D7621">
      <w:pPr>
        <w:suppressAutoHyphens w:val="0"/>
        <w:autoSpaceDE w:val="0"/>
        <w:autoSpaceDN w:val="0"/>
        <w:adjustRightInd w:val="0"/>
        <w:spacing w:after="120" w:line="276" w:lineRule="auto"/>
        <w:rPr>
          <w:rFonts w:asciiTheme="minorHAnsi" w:hAnsiTheme="minorHAnsi" w:cstheme="minorHAnsi"/>
          <w:szCs w:val="24"/>
        </w:rPr>
      </w:pPr>
      <w:r w:rsidRPr="004B77D6">
        <w:rPr>
          <w:rFonts w:asciiTheme="minorHAnsi" w:hAnsiTheme="minorHAnsi" w:cstheme="minorHAnsi"/>
          <w:szCs w:val="24"/>
        </w:rPr>
        <w:t xml:space="preserve">W niniejszym punkcie należy odnieść się do tych </w:t>
      </w:r>
      <w:r w:rsidR="009C07F8" w:rsidRPr="004B77D6">
        <w:rPr>
          <w:rFonts w:asciiTheme="minorHAnsi" w:hAnsiTheme="minorHAnsi" w:cstheme="minorHAnsi"/>
          <w:szCs w:val="24"/>
        </w:rPr>
        <w:t>kwestii,</w:t>
      </w:r>
      <w:r w:rsidRPr="004B77D6">
        <w:rPr>
          <w:rFonts w:asciiTheme="minorHAnsi" w:hAnsiTheme="minorHAnsi" w:cstheme="minorHAnsi"/>
          <w:szCs w:val="24"/>
        </w:rPr>
        <w:t xml:space="preserve"> które odnoszą się do rodzaju i charakteru projektu. Zakres oddziaływań poszczególnych zagrożeń klimatycznych na projekt zależy od miejsca lokalizacji projektu, jego wrażliwości, zdolności adaptacyjnych oraz kierunku przewidywanych zmian natężenia tych czynników w czasie, które będą następowały wraz ze zmianami klimatu. </w:t>
      </w:r>
    </w:p>
    <w:p w14:paraId="4C431250" w14:textId="17C4AD8E" w:rsidR="001D7621" w:rsidRPr="004B77D6" w:rsidRDefault="001D7621" w:rsidP="001D7621">
      <w:pPr>
        <w:suppressAutoHyphens w:val="0"/>
        <w:autoSpaceDE w:val="0"/>
        <w:autoSpaceDN w:val="0"/>
        <w:adjustRightInd w:val="0"/>
        <w:spacing w:after="120" w:line="276" w:lineRule="auto"/>
        <w:rPr>
          <w:rFonts w:asciiTheme="minorHAnsi" w:hAnsiTheme="minorHAnsi" w:cstheme="minorHAnsi"/>
          <w:szCs w:val="24"/>
        </w:rPr>
      </w:pPr>
      <w:r w:rsidRPr="004B77D6">
        <w:rPr>
          <w:rFonts w:asciiTheme="minorHAnsi" w:hAnsiTheme="minorHAnsi" w:cstheme="minorHAnsi"/>
          <w:szCs w:val="24"/>
        </w:rPr>
        <w:t xml:space="preserve">W szczególności należy udzielić odpowiedzi na następujące pytania: w jaki sposób uwzględniono zmiany klimatu podczas opracowywania projektu i jego części składowych </w:t>
      </w:r>
      <w:r w:rsidR="000B16A7">
        <w:rPr>
          <w:rFonts w:asciiTheme="minorHAnsi" w:hAnsiTheme="minorHAnsi" w:cstheme="minorHAnsi"/>
          <w:szCs w:val="24"/>
        </w:rPr>
        <w:br/>
      </w:r>
      <w:r w:rsidRPr="004B77D6">
        <w:rPr>
          <w:rFonts w:asciiTheme="minorHAnsi" w:hAnsiTheme="minorHAnsi" w:cstheme="minorHAnsi"/>
          <w:szCs w:val="24"/>
        </w:rPr>
        <w:t>np. w odniesieniu do sił zewnętrznych (np. obciążenie wiatrem, obciążenie śniegiem, różnice temperatury) i oddziaływań (np. fale upałów, zagrożenie powodziowe, jak również przedłużające się okresy suszy wpływające np. na właściwości gleby). Konieczne jest opisanie odpowiednich warunków czy zaleceń dotyczących zarówno projektowania, jak i eksploatacji, które zostały sformułowane na etapie oceny oddziaływania na środowisko przedsięwzięć wchodzących w skład projektu oraz ewentualnie na etapie strategicznej oceny oddziaływania na środowisko dokumentów strategicznych, tworzących ramy realizacji tego projektu.</w:t>
      </w:r>
    </w:p>
    <w:p w14:paraId="442272F6" w14:textId="1ABB1C0C" w:rsidR="001D7621" w:rsidRPr="004B77D6" w:rsidRDefault="001D7621" w:rsidP="001D7621">
      <w:pPr>
        <w:suppressAutoHyphens w:val="0"/>
        <w:autoSpaceDE w:val="0"/>
        <w:autoSpaceDN w:val="0"/>
        <w:adjustRightInd w:val="0"/>
        <w:spacing w:after="120" w:line="276" w:lineRule="auto"/>
        <w:rPr>
          <w:rFonts w:asciiTheme="minorHAnsi" w:hAnsiTheme="minorHAnsi" w:cstheme="minorHAnsi"/>
          <w:b/>
          <w:bCs/>
          <w:szCs w:val="24"/>
        </w:rPr>
      </w:pPr>
      <w:r w:rsidRPr="004B77D6">
        <w:rPr>
          <w:rFonts w:asciiTheme="minorHAnsi" w:hAnsiTheme="minorHAnsi" w:cstheme="minorHAnsi"/>
          <w:b/>
          <w:szCs w:val="24"/>
        </w:rPr>
        <w:t>Punkt A.6.1</w:t>
      </w:r>
    </w:p>
    <w:p w14:paraId="78A1106B" w14:textId="77777777" w:rsidR="001D7621" w:rsidRPr="004B77D6" w:rsidRDefault="001D7621" w:rsidP="001D7621">
      <w:pPr>
        <w:suppressAutoHyphens w:val="0"/>
        <w:autoSpaceDE w:val="0"/>
        <w:autoSpaceDN w:val="0"/>
        <w:adjustRightInd w:val="0"/>
        <w:spacing w:after="120" w:line="276" w:lineRule="auto"/>
        <w:rPr>
          <w:rFonts w:asciiTheme="minorHAnsi" w:hAnsiTheme="minorHAnsi" w:cstheme="minorHAnsi"/>
          <w:b/>
          <w:bCs/>
          <w:szCs w:val="24"/>
        </w:rPr>
      </w:pPr>
      <w:r w:rsidRPr="004B77D6">
        <w:rPr>
          <w:rFonts w:asciiTheme="minorHAnsi" w:hAnsiTheme="minorHAnsi" w:cstheme="minorHAnsi"/>
          <w:szCs w:val="24"/>
        </w:rPr>
        <w:t>Stosowanie dyrektywy 2000/60/WE Parlamentu Europejskiego i Rady („ramowej dyrektywy wodnej”) do oceny oddziaływania na jednolite części wód. Ramowa Dyrektywa Wodna wyznacza cele dla osiągnięcia dobrego stanu ekologicznego i chemicznego wód powierzchniowych, jak również dobrego stanu chemicznego i ilościowego wód podziemnych. Osiągnięcie celów dyrektywy wspierane jest poprzez opracowanie niezbędnych dokumentów planistycznych, jakimi są Plany gospodarowania wodami na obszarach dorzeczy oraz Program wodno-środowiskowy kraju. Cel 3 zrównoważone wykorzystywanie i ochrona zasobów wodnych i morskich art. 19 rozporządzenia o taksonomii stanowi, że jeżeli projekt będzie zagrażał dobremu stanowi lub dobremu potencjałowi ekologicznemu jednolitych części wód, w tym wód powierzchniowych i wód gruntowych oraz dobremu stanowi środowiska wód morskich to nie spełnia on zasady DNSH. Słowo „projekt” przez co należy rozumieć jakiekolwiek działanie lub działania objęte wnioskiem o dofinansowanie. Pojęcie „przedsięwzięcie” rozumiane jest zgodnie z definicją zawartą w art. 3 ust. 1 pkt. 13 ustawy OOŚ.</w:t>
      </w:r>
    </w:p>
    <w:p w14:paraId="55FFDCE5" w14:textId="77777777" w:rsidR="001D7621" w:rsidRPr="004B77D6" w:rsidRDefault="001D7621" w:rsidP="001D7621">
      <w:pPr>
        <w:suppressAutoHyphens w:val="0"/>
        <w:autoSpaceDE w:val="0"/>
        <w:autoSpaceDN w:val="0"/>
        <w:adjustRightInd w:val="0"/>
        <w:spacing w:after="120" w:line="276" w:lineRule="auto"/>
        <w:rPr>
          <w:rFonts w:asciiTheme="minorHAnsi" w:hAnsiTheme="minorHAnsi" w:cstheme="minorHAnsi"/>
          <w:b/>
          <w:bCs/>
          <w:szCs w:val="24"/>
        </w:rPr>
      </w:pPr>
      <w:r w:rsidRPr="004B77D6">
        <w:rPr>
          <w:rFonts w:asciiTheme="minorHAnsi" w:hAnsiTheme="minorHAnsi" w:cstheme="minorHAnsi"/>
          <w:b/>
          <w:bCs/>
          <w:szCs w:val="24"/>
        </w:rPr>
        <w:lastRenderedPageBreak/>
        <w:t>Punkt A.6.2</w:t>
      </w:r>
    </w:p>
    <w:p w14:paraId="53CA1921" w14:textId="3F271042" w:rsidR="001D7621" w:rsidRPr="004B77D6" w:rsidRDefault="001D7621" w:rsidP="001D7621">
      <w:pPr>
        <w:suppressAutoHyphens w:val="0"/>
        <w:autoSpaceDE w:val="0"/>
        <w:autoSpaceDN w:val="0"/>
        <w:adjustRightInd w:val="0"/>
        <w:spacing w:after="120" w:line="276" w:lineRule="auto"/>
        <w:rPr>
          <w:rFonts w:asciiTheme="minorHAnsi" w:hAnsiTheme="minorHAnsi" w:cstheme="minorHAnsi"/>
          <w:szCs w:val="24"/>
        </w:rPr>
      </w:pPr>
      <w:r w:rsidRPr="004B77D6">
        <w:rPr>
          <w:rFonts w:asciiTheme="minorHAnsi" w:hAnsiTheme="minorHAnsi" w:cstheme="minorHAnsi"/>
          <w:szCs w:val="24"/>
        </w:rPr>
        <w:t xml:space="preserve">Należy wskazać także, czy projekt jest wynikiem krajowej/regionalnej strategii w odniesieniu do danego sektora lub wynikiem planu gospodarowania wodami w dorzeczu, który uwzględnia wszystkie istotne czynniki (np. wariant korzystniejszy dla środowiska, oddziaływanie skumulowane itd.)? Jeżeli tak, należy podać szczegółowe informacje. Należy wyjaśnić, w jaki sposób projekt pokrywa się z celami planu gospodarowania wodami </w:t>
      </w:r>
      <w:r w:rsidR="009C07F8">
        <w:rPr>
          <w:rFonts w:asciiTheme="minorHAnsi" w:hAnsiTheme="minorHAnsi" w:cstheme="minorHAnsi"/>
          <w:szCs w:val="24"/>
        </w:rPr>
        <w:br/>
      </w:r>
      <w:r w:rsidRPr="004B77D6">
        <w:rPr>
          <w:rFonts w:asciiTheme="minorHAnsi" w:hAnsiTheme="minorHAnsi" w:cstheme="minorHAnsi"/>
          <w:szCs w:val="24"/>
        </w:rPr>
        <w:t xml:space="preserve">w dorzeczu, które ustanowiono dla odpowiednich jednolitych części wód. </w:t>
      </w:r>
    </w:p>
    <w:p w14:paraId="0B32DBF6" w14:textId="5616AE3C" w:rsidR="001D7621" w:rsidRPr="004B77D6" w:rsidRDefault="001D7621" w:rsidP="001D7621">
      <w:pPr>
        <w:suppressAutoHyphens w:val="0"/>
        <w:autoSpaceDE w:val="0"/>
        <w:autoSpaceDN w:val="0"/>
        <w:adjustRightInd w:val="0"/>
        <w:spacing w:after="120" w:line="276" w:lineRule="auto"/>
        <w:rPr>
          <w:rFonts w:asciiTheme="minorHAnsi" w:hAnsiTheme="minorHAnsi" w:cstheme="minorHAnsi"/>
          <w:szCs w:val="24"/>
        </w:rPr>
      </w:pPr>
      <w:r w:rsidRPr="004B77D6">
        <w:rPr>
          <w:rFonts w:asciiTheme="minorHAnsi" w:hAnsiTheme="minorHAnsi" w:cstheme="minorHAnsi"/>
          <w:szCs w:val="24"/>
        </w:rPr>
        <w:t xml:space="preserve">W przedmiotowym punkcie należy dokonać identyfikacji jednolitych części wód, których dotyczy planowany projekt oraz przypisanych im celów środowiskowych. W nawiązaniu </w:t>
      </w:r>
      <w:r w:rsidR="009C07F8">
        <w:rPr>
          <w:rFonts w:asciiTheme="minorHAnsi" w:hAnsiTheme="minorHAnsi" w:cstheme="minorHAnsi"/>
          <w:szCs w:val="24"/>
        </w:rPr>
        <w:br/>
      </w:r>
      <w:r w:rsidRPr="004B77D6">
        <w:rPr>
          <w:rFonts w:asciiTheme="minorHAnsi" w:hAnsiTheme="minorHAnsi" w:cstheme="minorHAnsi"/>
          <w:szCs w:val="24"/>
        </w:rPr>
        <w:t>do ustalonych celów należy wskazać w jaki sposób projekt wpływa na ich osiągnięcie.</w:t>
      </w:r>
    </w:p>
    <w:p w14:paraId="392D1F18" w14:textId="77777777" w:rsidR="001D7621" w:rsidRPr="004B77D6" w:rsidRDefault="001D7621" w:rsidP="001D7621">
      <w:pPr>
        <w:suppressAutoHyphens w:val="0"/>
        <w:autoSpaceDE w:val="0"/>
        <w:autoSpaceDN w:val="0"/>
        <w:adjustRightInd w:val="0"/>
        <w:spacing w:after="120" w:line="276" w:lineRule="auto"/>
        <w:rPr>
          <w:rFonts w:asciiTheme="minorHAnsi" w:hAnsiTheme="minorHAnsi" w:cstheme="minorHAnsi"/>
          <w:b/>
          <w:bCs/>
          <w:szCs w:val="24"/>
        </w:rPr>
      </w:pPr>
      <w:r w:rsidRPr="004B77D6">
        <w:rPr>
          <w:rFonts w:asciiTheme="minorHAnsi" w:hAnsiTheme="minorHAnsi" w:cstheme="minorHAnsi"/>
          <w:b/>
          <w:bCs/>
          <w:szCs w:val="24"/>
        </w:rPr>
        <w:t>Punkt A.7.1</w:t>
      </w:r>
    </w:p>
    <w:p w14:paraId="130EB470" w14:textId="66674C0C" w:rsidR="001D7621" w:rsidRPr="004B77D6" w:rsidRDefault="001D7621" w:rsidP="001D7621">
      <w:pPr>
        <w:suppressAutoHyphens w:val="0"/>
        <w:autoSpaceDE w:val="0"/>
        <w:autoSpaceDN w:val="0"/>
        <w:adjustRightInd w:val="0"/>
        <w:spacing w:after="120" w:line="276" w:lineRule="auto"/>
        <w:rPr>
          <w:rFonts w:asciiTheme="minorHAnsi" w:hAnsiTheme="minorHAnsi" w:cstheme="minorHAnsi"/>
          <w:b/>
          <w:bCs/>
          <w:szCs w:val="24"/>
        </w:rPr>
      </w:pPr>
      <w:r w:rsidRPr="004B77D6">
        <w:rPr>
          <w:rFonts w:asciiTheme="minorHAnsi" w:hAnsiTheme="minorHAnsi" w:cstheme="minorHAnsi"/>
          <w:szCs w:val="24"/>
        </w:rPr>
        <w:t xml:space="preserve">Zastosowanie dyrektywy 2008/98/WE Parlamentu Europejskiego i Rady („dyrektywy ramowej w sprawie odpadów”) do oceny celów zrównoważonej działalności gospodarczej. Dla celu 4 Przejście na gospodarkę o obiegu zamkniętym, w tym zapobieganie powstawaniu odpadów i ich recykling wskazanego w art. 9 rozporządzenia w sprawie taksonomii i zapisy art. 17 stanowią, że jeżeli prowadzi działanie do znacznego zwiększenia wytwarzania, spalania lub unieszkodliwiania odpadów, z wyjątkiem spalania odpadów niebezpiecznych nienadających się do recyklingu lub doprowadzi do znaczącej nieefektywności w zakresie bezpośredniego lub pośredniego korzystania z jakiegokolwiek zasobu naturalnego na dowolnym etapie jego cyklu życia, która nie zostanie ograniczona do minimum za pomocą odpowiednich środków lub spowoduje znaczące i długoterminowe szkody dla środowiska </w:t>
      </w:r>
      <w:r w:rsidR="009C07F8">
        <w:rPr>
          <w:rFonts w:asciiTheme="minorHAnsi" w:hAnsiTheme="minorHAnsi" w:cstheme="minorHAnsi"/>
          <w:szCs w:val="24"/>
        </w:rPr>
        <w:br/>
      </w:r>
      <w:r w:rsidRPr="004B77D6">
        <w:rPr>
          <w:rFonts w:asciiTheme="minorHAnsi" w:hAnsiTheme="minorHAnsi" w:cstheme="minorHAnsi"/>
          <w:szCs w:val="24"/>
        </w:rPr>
        <w:t>w kontekście gospodarki o obiegu zamkniętym. Co jest niezgodne z zasadą DNHS.</w:t>
      </w:r>
    </w:p>
    <w:p w14:paraId="362CE290" w14:textId="1D610594" w:rsidR="001D7621" w:rsidRPr="004B77D6" w:rsidRDefault="001D7621" w:rsidP="001D7621">
      <w:pPr>
        <w:suppressAutoHyphens w:val="0"/>
        <w:autoSpaceDE w:val="0"/>
        <w:autoSpaceDN w:val="0"/>
        <w:adjustRightInd w:val="0"/>
        <w:spacing w:after="120" w:line="276" w:lineRule="auto"/>
        <w:rPr>
          <w:rFonts w:asciiTheme="minorHAnsi" w:hAnsiTheme="minorHAnsi" w:cstheme="minorHAnsi"/>
          <w:b/>
          <w:bCs/>
          <w:szCs w:val="24"/>
        </w:rPr>
      </w:pPr>
      <w:r w:rsidRPr="004B77D6">
        <w:rPr>
          <w:rFonts w:asciiTheme="minorHAnsi" w:hAnsiTheme="minorHAnsi" w:cstheme="minorHAnsi"/>
          <w:b/>
          <w:bCs/>
          <w:szCs w:val="24"/>
        </w:rPr>
        <w:t>Punkt A.7.2.</w:t>
      </w:r>
    </w:p>
    <w:p w14:paraId="3E62BB2B" w14:textId="49E0660C" w:rsidR="00A767BD" w:rsidRPr="00EF4E97" w:rsidRDefault="001D7621" w:rsidP="001D7621">
      <w:pPr>
        <w:suppressAutoHyphens w:val="0"/>
        <w:autoSpaceDE w:val="0"/>
        <w:autoSpaceDN w:val="0"/>
        <w:adjustRightInd w:val="0"/>
        <w:spacing w:after="120" w:line="276" w:lineRule="auto"/>
        <w:rPr>
          <w:rFonts w:asciiTheme="minorHAnsi" w:hAnsiTheme="minorHAnsi" w:cstheme="minorHAnsi"/>
          <w:szCs w:val="24"/>
        </w:rPr>
      </w:pPr>
      <w:r w:rsidRPr="004B77D6">
        <w:rPr>
          <w:rFonts w:asciiTheme="minorHAnsi" w:hAnsiTheme="minorHAnsi" w:cstheme="minorHAnsi"/>
          <w:szCs w:val="24"/>
        </w:rPr>
        <w:t xml:space="preserve">Należy wyjaśnić, w jaki sposób projekt wpisuje się w realizację celów dyrektywy ramowej </w:t>
      </w:r>
      <w:r w:rsidR="009C07F8">
        <w:rPr>
          <w:rFonts w:asciiTheme="minorHAnsi" w:hAnsiTheme="minorHAnsi" w:cstheme="minorHAnsi"/>
          <w:szCs w:val="24"/>
        </w:rPr>
        <w:br/>
      </w:r>
      <w:r w:rsidRPr="004B77D6">
        <w:rPr>
          <w:rFonts w:asciiTheme="minorHAnsi" w:hAnsiTheme="minorHAnsi" w:cstheme="minorHAnsi"/>
          <w:szCs w:val="24"/>
        </w:rPr>
        <w:t xml:space="preserve">o odpadach na obszarze odziaływania przedsięwzięcia. Należy wskazać zgodność wsparcia </w:t>
      </w:r>
      <w:r w:rsidR="009C07F8">
        <w:rPr>
          <w:rFonts w:asciiTheme="minorHAnsi" w:hAnsiTheme="minorHAnsi" w:cstheme="minorHAnsi"/>
          <w:szCs w:val="24"/>
        </w:rPr>
        <w:br/>
      </w:r>
      <w:r w:rsidRPr="004B77D6">
        <w:rPr>
          <w:rFonts w:asciiTheme="minorHAnsi" w:hAnsiTheme="minorHAnsi" w:cstheme="minorHAnsi"/>
          <w:szCs w:val="24"/>
        </w:rPr>
        <w:t xml:space="preserve">z wojewódzkimi planami gospodarki odpadami oraz Krajowym planem gospodarki odpadami, Krajowym Planem Zapobiegania Powstawaniu Odpadów. W szczególności należy opisać, w jaki sposób została uwzględniona hierarchia sposobów postępowania z odpadami od zapobiegania powstawaniu odpadów poprzez selektywne zbieranie, przygotowanie </w:t>
      </w:r>
      <w:r w:rsidR="009C07F8">
        <w:rPr>
          <w:rFonts w:asciiTheme="minorHAnsi" w:hAnsiTheme="minorHAnsi" w:cstheme="minorHAnsi"/>
          <w:szCs w:val="24"/>
        </w:rPr>
        <w:br/>
      </w:r>
      <w:r w:rsidRPr="004B77D6">
        <w:rPr>
          <w:rFonts w:asciiTheme="minorHAnsi" w:hAnsiTheme="minorHAnsi" w:cstheme="minorHAnsi"/>
          <w:szCs w:val="24"/>
        </w:rPr>
        <w:t>do ponownego użytku, recykling, inne procesy odzysku po unieszkodliwianie.</w:t>
      </w:r>
    </w:p>
    <w:p w14:paraId="5AB2CC5A" w14:textId="347D1A32" w:rsidR="001D7621" w:rsidRPr="004B77D6" w:rsidRDefault="001D7621" w:rsidP="001D7621">
      <w:pPr>
        <w:suppressAutoHyphens w:val="0"/>
        <w:autoSpaceDE w:val="0"/>
        <w:autoSpaceDN w:val="0"/>
        <w:adjustRightInd w:val="0"/>
        <w:spacing w:after="120" w:line="276" w:lineRule="auto"/>
        <w:rPr>
          <w:rFonts w:asciiTheme="minorHAnsi" w:hAnsiTheme="minorHAnsi" w:cstheme="minorHAnsi"/>
          <w:b/>
          <w:szCs w:val="24"/>
        </w:rPr>
      </w:pPr>
      <w:r w:rsidRPr="004B77D6">
        <w:rPr>
          <w:rFonts w:asciiTheme="minorHAnsi" w:hAnsiTheme="minorHAnsi" w:cstheme="minorHAnsi"/>
          <w:b/>
          <w:szCs w:val="24"/>
        </w:rPr>
        <w:t>Punkt A.8.1.</w:t>
      </w:r>
    </w:p>
    <w:p w14:paraId="185672FD" w14:textId="65A51660" w:rsidR="001D7621" w:rsidRPr="004B77D6" w:rsidRDefault="001D7621" w:rsidP="001D7621">
      <w:pPr>
        <w:suppressAutoHyphens w:val="0"/>
        <w:autoSpaceDE w:val="0"/>
        <w:autoSpaceDN w:val="0"/>
        <w:adjustRightInd w:val="0"/>
        <w:spacing w:after="120" w:line="276" w:lineRule="auto"/>
        <w:rPr>
          <w:rFonts w:asciiTheme="minorHAnsi" w:hAnsiTheme="minorHAnsi" w:cstheme="minorHAnsi"/>
          <w:szCs w:val="24"/>
        </w:rPr>
      </w:pPr>
      <w:r w:rsidRPr="004B77D6">
        <w:rPr>
          <w:rFonts w:asciiTheme="minorHAnsi" w:hAnsiTheme="minorHAnsi" w:cstheme="minorHAnsi"/>
          <w:szCs w:val="24"/>
        </w:rPr>
        <w:t xml:space="preserve">Zastosowanie m.in. dyrektywy 2010/75/UE Parlamentu Europejskiego i Rady („dyrektywy </w:t>
      </w:r>
      <w:r w:rsidR="009C07F8">
        <w:rPr>
          <w:rFonts w:asciiTheme="minorHAnsi" w:hAnsiTheme="minorHAnsi" w:cstheme="minorHAnsi"/>
          <w:szCs w:val="24"/>
        </w:rPr>
        <w:br/>
      </w:r>
      <w:r w:rsidRPr="004B77D6">
        <w:rPr>
          <w:rFonts w:asciiTheme="minorHAnsi" w:hAnsiTheme="minorHAnsi" w:cstheme="minorHAnsi"/>
          <w:szCs w:val="24"/>
        </w:rPr>
        <w:t xml:space="preserve">w sprawie emisji przemysłowych”). Należy wykazać, że instalacja jest/będzie eksploatowana zgodnie z warunkami ustalonymi w pozwoleniach środowiskowych z uwzględnieniem </w:t>
      </w:r>
      <w:r w:rsidR="009C07F8" w:rsidRPr="004B77D6">
        <w:rPr>
          <w:rFonts w:asciiTheme="minorHAnsi" w:hAnsiTheme="minorHAnsi" w:cstheme="minorHAnsi"/>
          <w:szCs w:val="24"/>
        </w:rPr>
        <w:t>tam,</w:t>
      </w:r>
      <w:r w:rsidRPr="004B77D6">
        <w:rPr>
          <w:rFonts w:asciiTheme="minorHAnsi" w:hAnsiTheme="minorHAnsi" w:cstheme="minorHAnsi"/>
          <w:szCs w:val="24"/>
        </w:rPr>
        <w:t xml:space="preserve"> gdzie ma to zastosowanie, granicznych wielkości emisji określonych we właściwych Konkluzjach BAT-AEL i innych obowiązujących standardach emisyjnych środowiskowych. </w:t>
      </w:r>
    </w:p>
    <w:p w14:paraId="478602AA" w14:textId="77777777" w:rsidR="001D7621" w:rsidRPr="004B77D6" w:rsidRDefault="001D7621" w:rsidP="001D7621">
      <w:pPr>
        <w:suppressAutoHyphens w:val="0"/>
        <w:autoSpaceDE w:val="0"/>
        <w:autoSpaceDN w:val="0"/>
        <w:adjustRightInd w:val="0"/>
        <w:spacing w:after="120" w:line="276" w:lineRule="auto"/>
        <w:rPr>
          <w:rFonts w:asciiTheme="minorHAnsi" w:hAnsiTheme="minorHAnsi" w:cstheme="minorHAnsi"/>
          <w:b/>
          <w:bCs/>
          <w:szCs w:val="24"/>
        </w:rPr>
      </w:pPr>
      <w:r w:rsidRPr="004B77D6">
        <w:rPr>
          <w:rFonts w:asciiTheme="minorHAnsi" w:hAnsiTheme="minorHAnsi" w:cstheme="minorHAnsi"/>
          <w:szCs w:val="24"/>
        </w:rPr>
        <w:t xml:space="preserve">Cel 5 Zapobieganie zanieczyszczeniu i jego kontrola art. 9 rozporządzenia w sprawie taksonomii w art. 17 stanowi, że, jeżeli działalność prowadzi do znaczącego wzrostu emisji </w:t>
      </w:r>
      <w:r w:rsidRPr="004B77D6">
        <w:rPr>
          <w:rFonts w:asciiTheme="minorHAnsi" w:hAnsiTheme="minorHAnsi" w:cstheme="minorHAnsi"/>
          <w:szCs w:val="24"/>
        </w:rPr>
        <w:lastRenderedPageBreak/>
        <w:t>zanieczyszczeń do powietrza, wody lub ziemi w porównaniu z sytuacją sprzed rozpoczęcia tej działalności to wyrządza znaczące szkody i jest niezgodna z zasadą DNSH.</w:t>
      </w:r>
    </w:p>
    <w:p w14:paraId="7B211AC8" w14:textId="77777777" w:rsidR="001D7621" w:rsidRPr="004B77D6" w:rsidRDefault="001D7621" w:rsidP="001D7621">
      <w:pPr>
        <w:suppressAutoHyphens w:val="0"/>
        <w:autoSpaceDE w:val="0"/>
        <w:autoSpaceDN w:val="0"/>
        <w:adjustRightInd w:val="0"/>
        <w:spacing w:after="120" w:line="276" w:lineRule="auto"/>
        <w:rPr>
          <w:rFonts w:asciiTheme="minorHAnsi" w:hAnsiTheme="minorHAnsi" w:cstheme="minorHAnsi"/>
          <w:b/>
          <w:bCs/>
          <w:szCs w:val="24"/>
        </w:rPr>
      </w:pPr>
      <w:r w:rsidRPr="004B77D6">
        <w:rPr>
          <w:rFonts w:asciiTheme="minorHAnsi" w:hAnsiTheme="minorHAnsi" w:cstheme="minorHAnsi"/>
          <w:b/>
          <w:bCs/>
          <w:szCs w:val="24"/>
        </w:rPr>
        <w:t>Punkt A.9.</w:t>
      </w:r>
    </w:p>
    <w:p w14:paraId="400D617E" w14:textId="6F42EB5D" w:rsidR="001D7621" w:rsidRPr="004B77D6" w:rsidRDefault="001D7621" w:rsidP="001D7621">
      <w:pPr>
        <w:suppressAutoHyphens w:val="0"/>
        <w:autoSpaceDE w:val="0"/>
        <w:autoSpaceDN w:val="0"/>
        <w:adjustRightInd w:val="0"/>
        <w:spacing w:after="120" w:line="276" w:lineRule="auto"/>
        <w:rPr>
          <w:rFonts w:asciiTheme="minorHAnsi" w:hAnsiTheme="minorHAnsi" w:cstheme="minorHAnsi"/>
          <w:szCs w:val="24"/>
        </w:rPr>
      </w:pPr>
      <w:r w:rsidRPr="004B77D6">
        <w:rPr>
          <w:rFonts w:asciiTheme="minorHAnsi" w:hAnsiTheme="minorHAnsi" w:cstheme="minorHAnsi"/>
          <w:szCs w:val="24"/>
        </w:rPr>
        <w:t xml:space="preserve">Zastosowanie Dyrektywy Rady 92/43/EWG w sprawie ochrony siedlisk przyrodniczych oraz dzikiej fauny i flory (dyrektywa siedliskowa). Punkt A.9 dotyczy obszarów, które już zostały objęte siecią Natura 2000 oraz tych, które mają zostać objęte tą siecią. Należy podkreślić, </w:t>
      </w:r>
      <w:r w:rsidR="000B16A7">
        <w:rPr>
          <w:rFonts w:asciiTheme="minorHAnsi" w:hAnsiTheme="minorHAnsi" w:cstheme="minorHAnsi"/>
          <w:szCs w:val="24"/>
        </w:rPr>
        <w:br/>
      </w:r>
      <w:r w:rsidRPr="004B77D6">
        <w:rPr>
          <w:rFonts w:asciiTheme="minorHAnsi" w:hAnsiTheme="minorHAnsi" w:cstheme="minorHAnsi"/>
          <w:szCs w:val="24"/>
        </w:rPr>
        <w:t xml:space="preserve">że oddziaływanie na te obszary może mieć projekt realizowany nie tylko w obrębie tego obszaru, ale również poza nim. </w:t>
      </w:r>
    </w:p>
    <w:p w14:paraId="5C61FBE8" w14:textId="77777777" w:rsidR="001D7621" w:rsidRPr="004B77D6" w:rsidRDefault="001D7621" w:rsidP="001D7621">
      <w:pPr>
        <w:suppressAutoHyphens w:val="0"/>
        <w:autoSpaceDE w:val="0"/>
        <w:autoSpaceDN w:val="0"/>
        <w:adjustRightInd w:val="0"/>
        <w:spacing w:after="120" w:line="276" w:lineRule="auto"/>
        <w:rPr>
          <w:rFonts w:asciiTheme="minorHAnsi" w:hAnsiTheme="minorHAnsi" w:cstheme="minorHAnsi"/>
          <w:szCs w:val="24"/>
        </w:rPr>
      </w:pPr>
      <w:r w:rsidRPr="004B77D6">
        <w:rPr>
          <w:rFonts w:asciiTheme="minorHAnsi" w:hAnsiTheme="minorHAnsi" w:cstheme="minorHAnsi"/>
          <w:szCs w:val="24"/>
        </w:rPr>
        <w:t xml:space="preserve">Cel 6 Ochrona i odbudowa bioróżnorodności i ekosystemów wynikający z art. 9 rozporządzenia w sprawie taksonomii i art. 17 przewiduje, że przedsięwzięcie, które będzie w znacznym stopniu szkodliwe dla dobrego stanu i odporności ekosystemów lub będzie szkodliwe dla stanu zachowania siedlisk i gatunków, w tym siedlisk i gatunków objętych zakresem zainteresowania Unii nie spełnia zasady DNSH. </w:t>
      </w:r>
    </w:p>
    <w:p w14:paraId="3609EB05" w14:textId="77777777" w:rsidR="001D7621" w:rsidRPr="004B77D6" w:rsidRDefault="001D7621" w:rsidP="001D7621">
      <w:pPr>
        <w:suppressAutoHyphens w:val="0"/>
        <w:autoSpaceDE w:val="0"/>
        <w:autoSpaceDN w:val="0"/>
        <w:adjustRightInd w:val="0"/>
        <w:spacing w:after="120" w:line="276" w:lineRule="auto"/>
        <w:rPr>
          <w:rFonts w:asciiTheme="minorHAnsi" w:hAnsiTheme="minorHAnsi" w:cstheme="minorHAnsi"/>
          <w:szCs w:val="24"/>
        </w:rPr>
      </w:pPr>
      <w:r w:rsidRPr="004B77D6">
        <w:rPr>
          <w:rFonts w:asciiTheme="minorHAnsi" w:hAnsiTheme="minorHAnsi" w:cstheme="minorHAnsi"/>
          <w:szCs w:val="24"/>
        </w:rPr>
        <w:t xml:space="preserve">Wnioskodawca zaznacza odpowiedź „NIE”, tylko jeżeli nie istniało lub nie istnieje prawdopodobieństwo, że projekt może znacząco oddziaływać na obszary Natura 2000 i nie uznano w związku z tym za konieczne przeprowadzenie oceny oddziaływania na obszary Natura 2000. </w:t>
      </w:r>
    </w:p>
    <w:p w14:paraId="3589DC55" w14:textId="77777777" w:rsidR="001D7621" w:rsidRPr="004B77D6" w:rsidRDefault="001D7621" w:rsidP="001D7621">
      <w:pPr>
        <w:suppressAutoHyphens w:val="0"/>
        <w:autoSpaceDE w:val="0"/>
        <w:autoSpaceDN w:val="0"/>
        <w:adjustRightInd w:val="0"/>
        <w:spacing w:after="120" w:line="276" w:lineRule="auto"/>
        <w:rPr>
          <w:rFonts w:asciiTheme="minorHAnsi" w:hAnsiTheme="minorHAnsi" w:cstheme="minorHAnsi"/>
          <w:szCs w:val="24"/>
        </w:rPr>
      </w:pPr>
      <w:r w:rsidRPr="004B77D6">
        <w:rPr>
          <w:rFonts w:asciiTheme="minorHAnsi" w:hAnsiTheme="minorHAnsi" w:cstheme="minorHAnsi"/>
          <w:szCs w:val="24"/>
        </w:rPr>
        <w:t>Jeżeli jednak w trakcie postępowania w sprawie oceny oddziaływania na środowisko kwestia oddziaływania przedsięwzięcia na obszary Natura 2000 była szczegółowo analizowana przez odpowiednie organy, ale ostatecznie uznano, że znaczącego negatywnego oddziaływania nie będzie, także dzięki zastosowaniu działań minimalizujących, należy uznać, że przeprowadzono ocenę oddziaływania na obszary Natura 2000.</w:t>
      </w:r>
    </w:p>
    <w:p w14:paraId="04D68798" w14:textId="77777777" w:rsidR="001D7621" w:rsidRPr="004B77D6" w:rsidRDefault="001D7621" w:rsidP="001D7621">
      <w:pPr>
        <w:suppressAutoHyphens w:val="0"/>
        <w:autoSpaceDE w:val="0"/>
        <w:autoSpaceDN w:val="0"/>
        <w:adjustRightInd w:val="0"/>
        <w:spacing w:after="120" w:line="276" w:lineRule="auto"/>
        <w:rPr>
          <w:rFonts w:asciiTheme="minorHAnsi" w:hAnsiTheme="minorHAnsi" w:cstheme="minorHAnsi"/>
          <w:szCs w:val="24"/>
        </w:rPr>
      </w:pPr>
      <w:r w:rsidRPr="004B77D6">
        <w:rPr>
          <w:rFonts w:asciiTheme="minorHAnsi" w:hAnsiTheme="minorHAnsi" w:cstheme="minorHAnsi"/>
          <w:szCs w:val="24"/>
        </w:rPr>
        <w:t xml:space="preserve"> Najczęściej spotykanymi sytuacjami, w których konieczne jest uzyskanie deklaracji przez Wnioskodawcę, są następujące przypadki: </w:t>
      </w:r>
    </w:p>
    <w:p w14:paraId="351C761C" w14:textId="77777777" w:rsidR="001D7621" w:rsidRPr="004B77D6" w:rsidRDefault="001D7621" w:rsidP="004D0859">
      <w:pPr>
        <w:numPr>
          <w:ilvl w:val="0"/>
          <w:numId w:val="52"/>
        </w:numPr>
        <w:suppressAutoHyphens w:val="0"/>
        <w:autoSpaceDE w:val="0"/>
        <w:autoSpaceDN w:val="0"/>
        <w:adjustRightInd w:val="0"/>
        <w:spacing w:after="120" w:line="276" w:lineRule="auto"/>
        <w:rPr>
          <w:rFonts w:asciiTheme="minorHAnsi" w:eastAsia="Calibri" w:hAnsiTheme="minorHAnsi" w:cstheme="minorHAnsi"/>
          <w:szCs w:val="24"/>
          <w:lang w:eastAsia="en-US"/>
        </w:rPr>
      </w:pPr>
      <w:r w:rsidRPr="004B77D6">
        <w:rPr>
          <w:rFonts w:asciiTheme="minorHAnsi" w:eastAsia="Calibri" w:hAnsiTheme="minorHAnsi" w:cstheme="minorHAnsi"/>
          <w:szCs w:val="24"/>
          <w:lang w:eastAsia="en-US"/>
        </w:rPr>
        <w:t>dla przedsięwzięcia mogącego zawsze znacząco oddziaływać na środowisko, właściwy organ określając zakres raportu OOŚ, wskazał i uzasadnił, że ze względu na brak możliwości wpływu przedsięwzięcia na obszary Natura 2000, nie ma konieczności przeprowadzenia oceny oddziaływania na obszar Natura 2000 – co powinno znaleźć swoje odzwierciedlenie w postanowieniu tego organu, a następnie w postanowieniu uzgadniającym RDOŚ oraz w decyzji o środowiskowych uwarunkowaniach;</w:t>
      </w:r>
    </w:p>
    <w:p w14:paraId="1FEBEA3D" w14:textId="7C145295" w:rsidR="001D7621" w:rsidRPr="004B77D6" w:rsidRDefault="001D7621" w:rsidP="004D0859">
      <w:pPr>
        <w:numPr>
          <w:ilvl w:val="0"/>
          <w:numId w:val="52"/>
        </w:numPr>
        <w:suppressAutoHyphens w:val="0"/>
        <w:autoSpaceDE w:val="0"/>
        <w:autoSpaceDN w:val="0"/>
        <w:adjustRightInd w:val="0"/>
        <w:spacing w:after="120" w:line="276" w:lineRule="auto"/>
        <w:rPr>
          <w:rFonts w:asciiTheme="minorHAnsi" w:eastAsia="Calibri" w:hAnsiTheme="minorHAnsi" w:cstheme="minorHAnsi"/>
          <w:b/>
          <w:bCs/>
          <w:szCs w:val="24"/>
          <w:lang w:eastAsia="en-US"/>
        </w:rPr>
      </w:pPr>
      <w:r w:rsidRPr="004B77D6">
        <w:rPr>
          <w:rFonts w:asciiTheme="minorHAnsi" w:eastAsia="Calibri" w:hAnsiTheme="minorHAnsi" w:cstheme="minorHAnsi"/>
          <w:szCs w:val="24"/>
          <w:lang w:eastAsia="en-US"/>
        </w:rPr>
        <w:t xml:space="preserve">dla przedsięwzięcia mogącego zawsze znacząco oddziaływać na środowisko, dla którego nie ustalano zakresu raportu OOŚ, przeprowadzona OOŚ, ze względu na wykazany </w:t>
      </w:r>
      <w:r w:rsidR="009C07F8">
        <w:rPr>
          <w:rFonts w:asciiTheme="minorHAnsi" w:eastAsia="Calibri" w:hAnsiTheme="minorHAnsi" w:cstheme="minorHAnsi"/>
          <w:szCs w:val="24"/>
          <w:lang w:eastAsia="en-US"/>
        </w:rPr>
        <w:br/>
      </w:r>
      <w:r w:rsidRPr="004B77D6">
        <w:rPr>
          <w:rFonts w:asciiTheme="minorHAnsi" w:eastAsia="Calibri" w:hAnsiTheme="minorHAnsi" w:cstheme="minorHAnsi"/>
          <w:szCs w:val="24"/>
          <w:lang w:eastAsia="en-US"/>
        </w:rPr>
        <w:t xml:space="preserve">w raporcie OOŚ brak możliwości wpływu przedsięwzięcia na obszary Natura 2000, nie obejmowała oceny na obszar Natura 2000 (a jedynie wyniki kwalifikacji przedsięwzięcia do oceny odziaływania na obszar Natura 2000) – co powinno znaleźć swoje odzwierciedlenie w postanowieniu uzgadniającym RDOŚ oraz w decyzji </w:t>
      </w:r>
      <w:r w:rsidR="009C07F8">
        <w:rPr>
          <w:rFonts w:asciiTheme="minorHAnsi" w:eastAsia="Calibri" w:hAnsiTheme="minorHAnsi" w:cstheme="minorHAnsi"/>
          <w:szCs w:val="24"/>
          <w:lang w:eastAsia="en-US"/>
        </w:rPr>
        <w:br/>
      </w:r>
      <w:r w:rsidRPr="004B77D6">
        <w:rPr>
          <w:rFonts w:asciiTheme="minorHAnsi" w:eastAsia="Calibri" w:hAnsiTheme="minorHAnsi" w:cstheme="minorHAnsi"/>
          <w:szCs w:val="24"/>
          <w:lang w:eastAsia="en-US"/>
        </w:rPr>
        <w:t>o środowiskowych uwarunkowaniach;</w:t>
      </w:r>
    </w:p>
    <w:p w14:paraId="3885E660" w14:textId="47EA7FE1" w:rsidR="001D7621" w:rsidRPr="004B77D6" w:rsidRDefault="001D7621" w:rsidP="004D0859">
      <w:pPr>
        <w:numPr>
          <w:ilvl w:val="0"/>
          <w:numId w:val="52"/>
        </w:numPr>
        <w:suppressAutoHyphens w:val="0"/>
        <w:autoSpaceDE w:val="0"/>
        <w:autoSpaceDN w:val="0"/>
        <w:adjustRightInd w:val="0"/>
        <w:spacing w:after="120" w:line="276" w:lineRule="auto"/>
        <w:rPr>
          <w:rFonts w:asciiTheme="minorHAnsi" w:eastAsia="Calibri" w:hAnsiTheme="minorHAnsi" w:cstheme="minorHAnsi"/>
          <w:szCs w:val="24"/>
          <w:lang w:eastAsia="en-US"/>
        </w:rPr>
      </w:pPr>
      <w:r w:rsidRPr="004B77D6">
        <w:rPr>
          <w:rFonts w:asciiTheme="minorHAnsi" w:eastAsia="Calibri" w:hAnsiTheme="minorHAnsi" w:cstheme="minorHAnsi"/>
          <w:szCs w:val="24"/>
          <w:lang w:eastAsia="en-US"/>
        </w:rPr>
        <w:lastRenderedPageBreak/>
        <w:t xml:space="preserve">dla przedsięwzięcia mogącego potencjalnie znacząco oddziaływać na środowisko, właściwy organ nie stwierdził potrzeby przeprowadzenia OOŚ (w tym w zakresie wpływu na obszary Natura 2000) w ramach kwalifikacji przedsięwzięcia do oceny – co powinno znaleźć swoje odzwierciedlenie w postanowieniu tego organu oraz w decyzji </w:t>
      </w:r>
      <w:r w:rsidR="009C07F8">
        <w:rPr>
          <w:rFonts w:asciiTheme="minorHAnsi" w:eastAsia="Calibri" w:hAnsiTheme="minorHAnsi" w:cstheme="minorHAnsi"/>
          <w:szCs w:val="24"/>
          <w:lang w:eastAsia="en-US"/>
        </w:rPr>
        <w:br/>
      </w:r>
      <w:r w:rsidRPr="004B77D6">
        <w:rPr>
          <w:rFonts w:asciiTheme="minorHAnsi" w:eastAsia="Calibri" w:hAnsiTheme="minorHAnsi" w:cstheme="minorHAnsi"/>
          <w:szCs w:val="24"/>
          <w:lang w:eastAsia="en-US"/>
        </w:rPr>
        <w:t>o środowiskowych uwarunkowaniach;</w:t>
      </w:r>
    </w:p>
    <w:p w14:paraId="03E3BDE8" w14:textId="7D913D52" w:rsidR="001D7621" w:rsidRPr="004B77D6" w:rsidRDefault="001D7621" w:rsidP="004D0859">
      <w:pPr>
        <w:numPr>
          <w:ilvl w:val="0"/>
          <w:numId w:val="52"/>
        </w:numPr>
        <w:suppressAutoHyphens w:val="0"/>
        <w:autoSpaceDE w:val="0"/>
        <w:autoSpaceDN w:val="0"/>
        <w:adjustRightInd w:val="0"/>
        <w:spacing w:after="120" w:line="276" w:lineRule="auto"/>
        <w:rPr>
          <w:rFonts w:asciiTheme="minorHAnsi" w:eastAsia="Calibri" w:hAnsiTheme="minorHAnsi" w:cstheme="minorHAnsi"/>
          <w:szCs w:val="24"/>
          <w:lang w:eastAsia="en-US"/>
        </w:rPr>
      </w:pPr>
      <w:r w:rsidRPr="004B77D6">
        <w:rPr>
          <w:rFonts w:asciiTheme="minorHAnsi" w:eastAsia="Calibri" w:hAnsiTheme="minorHAnsi" w:cstheme="minorHAnsi"/>
          <w:szCs w:val="24"/>
          <w:lang w:eastAsia="en-US"/>
        </w:rPr>
        <w:t xml:space="preserve">dla przedsięwzięcia mogącego potencjalnie znacząco oddziaływać na środowisko, właściwy organ, stwierdzając obowiązek przeprowadzenia OOŚ i określając jednocześnie zakres raportu OOŚ, wskazał i uzasadnił, że ze względu na brak możliwości wpływu przedsięwzięcia na obszary Natura 2000, nie ma konieczności przeprowadzenia oceny oddziaływania na obszar Natura 2000 – co powinno znaleźć swoje odzwierciedlenie </w:t>
      </w:r>
      <w:r w:rsidR="009C07F8">
        <w:rPr>
          <w:rFonts w:asciiTheme="minorHAnsi" w:eastAsia="Calibri" w:hAnsiTheme="minorHAnsi" w:cstheme="minorHAnsi"/>
          <w:szCs w:val="24"/>
          <w:lang w:eastAsia="en-US"/>
        </w:rPr>
        <w:br/>
      </w:r>
      <w:r w:rsidRPr="004B77D6">
        <w:rPr>
          <w:rFonts w:asciiTheme="minorHAnsi" w:eastAsia="Calibri" w:hAnsiTheme="minorHAnsi" w:cstheme="minorHAnsi"/>
          <w:szCs w:val="24"/>
          <w:lang w:eastAsia="en-US"/>
        </w:rPr>
        <w:t xml:space="preserve">w postanowieniu tego organu, a następnie w postanowieniu uzgadniającym RDOŚ oraz </w:t>
      </w:r>
      <w:r w:rsidR="009C07F8">
        <w:rPr>
          <w:rFonts w:asciiTheme="minorHAnsi" w:eastAsia="Calibri" w:hAnsiTheme="minorHAnsi" w:cstheme="minorHAnsi"/>
          <w:szCs w:val="24"/>
          <w:lang w:eastAsia="en-US"/>
        </w:rPr>
        <w:br/>
      </w:r>
      <w:r w:rsidRPr="004B77D6">
        <w:rPr>
          <w:rFonts w:asciiTheme="minorHAnsi" w:eastAsia="Calibri" w:hAnsiTheme="minorHAnsi" w:cstheme="minorHAnsi"/>
          <w:szCs w:val="24"/>
          <w:lang w:eastAsia="en-US"/>
        </w:rPr>
        <w:t>w decyzji o środowiskowych uwarunkowaniach;</w:t>
      </w:r>
    </w:p>
    <w:p w14:paraId="52F91644" w14:textId="77777777" w:rsidR="001D7621" w:rsidRPr="004B77D6" w:rsidRDefault="001D7621" w:rsidP="004D0859">
      <w:pPr>
        <w:numPr>
          <w:ilvl w:val="0"/>
          <w:numId w:val="52"/>
        </w:numPr>
        <w:suppressAutoHyphens w:val="0"/>
        <w:autoSpaceDE w:val="0"/>
        <w:autoSpaceDN w:val="0"/>
        <w:adjustRightInd w:val="0"/>
        <w:spacing w:after="120" w:line="276" w:lineRule="auto"/>
        <w:rPr>
          <w:rFonts w:asciiTheme="minorHAnsi" w:eastAsia="Calibri" w:hAnsiTheme="minorHAnsi" w:cstheme="minorHAnsi"/>
          <w:szCs w:val="24"/>
          <w:lang w:eastAsia="en-US"/>
        </w:rPr>
      </w:pPr>
      <w:r w:rsidRPr="004B77D6">
        <w:rPr>
          <w:rFonts w:asciiTheme="minorHAnsi" w:eastAsia="Calibri" w:hAnsiTheme="minorHAnsi" w:cstheme="minorHAnsi"/>
          <w:szCs w:val="24"/>
          <w:lang w:eastAsia="en-US"/>
        </w:rPr>
        <w:t>dla przedsięwzięcia innego niż mogące znacząco oddziaływać na środowisko, organ właściwy do wydania decyzji wymaganej przed rozpoczęciem realizacji przedsięwzięcia, po rozważeniu czy przedsięwzięcie może potencjalnie znacząco oddziaływać na obszar Natura 2000 i stwierdzeniu braku takiej możliwości, nie wydał postanowienia nakładającego obowiązek przedłożenia przez inwestora dokumentacji, w tym karty informacyjnej przedsięwzięcia, do RDOŚ, aby ten przeprowadził kwalifikację przedsięwzięcia do oceny odziaływania na obszar Natura 2000 – co powinno znaleźć swoje odzwierciedlenie w decyzji wymaganej przed rozpoczęciem realizacji przedsięwzięcia;</w:t>
      </w:r>
    </w:p>
    <w:p w14:paraId="38D81641" w14:textId="32B11C62" w:rsidR="001D7621" w:rsidRPr="004B77D6" w:rsidRDefault="001D7621" w:rsidP="004D0859">
      <w:pPr>
        <w:numPr>
          <w:ilvl w:val="0"/>
          <w:numId w:val="52"/>
        </w:numPr>
        <w:suppressAutoHyphens w:val="0"/>
        <w:autoSpaceDE w:val="0"/>
        <w:autoSpaceDN w:val="0"/>
        <w:adjustRightInd w:val="0"/>
        <w:spacing w:after="120" w:line="276" w:lineRule="auto"/>
        <w:rPr>
          <w:rFonts w:asciiTheme="minorHAnsi" w:eastAsia="Calibri" w:hAnsiTheme="minorHAnsi" w:cstheme="minorHAnsi"/>
          <w:szCs w:val="24"/>
          <w:lang w:eastAsia="en-US"/>
        </w:rPr>
      </w:pPr>
      <w:r w:rsidRPr="004B77D6">
        <w:rPr>
          <w:rFonts w:asciiTheme="minorHAnsi" w:eastAsia="Calibri" w:hAnsiTheme="minorHAnsi" w:cstheme="minorHAnsi"/>
          <w:szCs w:val="24"/>
          <w:lang w:eastAsia="en-US"/>
        </w:rPr>
        <w:t xml:space="preserve">dla przedsięwzięcia innego niż mogące znacząco oddziaływać na środowisko, RDOŚ stwierdził, po przeanalizowaniu przedłożonej przez inwestora dokumentacji, w tym karty informacyjnej przedsięwzięcia, brak potrzeby przeprowadzenia oceny oddziaływania przedsięwzięcia na obszar Natura 2000 (w ramach kwalifikacji przedsięwzięcia do oceny odziaływania na obszar Natura 2000) – co powinno znaleźć swoje odzwierciedlenie </w:t>
      </w:r>
      <w:r w:rsidR="009C07F8">
        <w:rPr>
          <w:rFonts w:asciiTheme="minorHAnsi" w:eastAsia="Calibri" w:hAnsiTheme="minorHAnsi" w:cstheme="minorHAnsi"/>
          <w:szCs w:val="24"/>
          <w:lang w:eastAsia="en-US"/>
        </w:rPr>
        <w:br/>
      </w:r>
      <w:r w:rsidRPr="004B77D6">
        <w:rPr>
          <w:rFonts w:asciiTheme="minorHAnsi" w:eastAsia="Calibri" w:hAnsiTheme="minorHAnsi" w:cstheme="minorHAnsi"/>
          <w:szCs w:val="24"/>
          <w:lang w:eastAsia="en-US"/>
        </w:rPr>
        <w:t xml:space="preserve">w postanowieniu RDOŚ o braku potrzeby przeprowadzenia oceny oddziaływania przedsięwzięcia na obszar Natura 2000 oraz w decyzji wymaganej przed rozpoczęciem realizacji przedsięwzięcia. </w:t>
      </w:r>
    </w:p>
    <w:p w14:paraId="54DA9680" w14:textId="77777777" w:rsidR="001D7621" w:rsidRPr="004B77D6" w:rsidRDefault="001D7621" w:rsidP="001D7621">
      <w:pPr>
        <w:suppressAutoHyphens w:val="0"/>
        <w:autoSpaceDE w:val="0"/>
        <w:autoSpaceDN w:val="0"/>
        <w:adjustRightInd w:val="0"/>
        <w:spacing w:after="120" w:line="276" w:lineRule="auto"/>
        <w:rPr>
          <w:rFonts w:asciiTheme="minorHAnsi" w:hAnsiTheme="minorHAnsi" w:cstheme="minorHAnsi"/>
          <w:szCs w:val="24"/>
        </w:rPr>
      </w:pPr>
      <w:r w:rsidRPr="004B77D6">
        <w:rPr>
          <w:rFonts w:asciiTheme="minorHAnsi" w:hAnsiTheme="minorHAnsi" w:cstheme="minorHAnsi"/>
          <w:szCs w:val="24"/>
        </w:rPr>
        <w:t xml:space="preserve">Istotne są zalecenia zawarte w dokumentach: </w:t>
      </w:r>
    </w:p>
    <w:p w14:paraId="60CC9300" w14:textId="77777777" w:rsidR="001D7621" w:rsidRPr="004B77D6" w:rsidRDefault="001D7621" w:rsidP="004D0859">
      <w:pPr>
        <w:numPr>
          <w:ilvl w:val="0"/>
          <w:numId w:val="53"/>
        </w:numPr>
        <w:suppressAutoHyphens w:val="0"/>
        <w:autoSpaceDE w:val="0"/>
        <w:autoSpaceDN w:val="0"/>
        <w:adjustRightInd w:val="0"/>
        <w:spacing w:after="120" w:line="276" w:lineRule="auto"/>
        <w:rPr>
          <w:rFonts w:asciiTheme="minorHAnsi" w:eastAsia="Calibri" w:hAnsiTheme="minorHAnsi" w:cstheme="minorHAnsi"/>
          <w:szCs w:val="24"/>
          <w:lang w:eastAsia="en-US"/>
        </w:rPr>
      </w:pPr>
      <w:r w:rsidRPr="004B77D6">
        <w:rPr>
          <w:rFonts w:asciiTheme="minorHAnsi" w:eastAsia="Calibri" w:hAnsiTheme="minorHAnsi" w:cstheme="minorHAnsi"/>
          <w:szCs w:val="24"/>
          <w:lang w:eastAsia="en-US"/>
        </w:rPr>
        <w:t xml:space="preserve">Zarządzanie obszarami Natura 2000. Postanowienia artykułu 6 dyrektywy „siedliskowej” 92/43/EWG; </w:t>
      </w:r>
    </w:p>
    <w:p w14:paraId="2330536C" w14:textId="77777777" w:rsidR="001D7621" w:rsidRPr="004B77D6" w:rsidRDefault="001D7621" w:rsidP="004D0859">
      <w:pPr>
        <w:numPr>
          <w:ilvl w:val="0"/>
          <w:numId w:val="53"/>
        </w:numPr>
        <w:suppressAutoHyphens w:val="0"/>
        <w:autoSpaceDE w:val="0"/>
        <w:autoSpaceDN w:val="0"/>
        <w:adjustRightInd w:val="0"/>
        <w:spacing w:after="120" w:line="276" w:lineRule="auto"/>
        <w:rPr>
          <w:rFonts w:asciiTheme="minorHAnsi" w:eastAsia="Calibri" w:hAnsiTheme="minorHAnsi" w:cstheme="minorHAnsi"/>
          <w:szCs w:val="24"/>
          <w:lang w:eastAsia="en-US"/>
        </w:rPr>
      </w:pPr>
      <w:r w:rsidRPr="004B77D6">
        <w:rPr>
          <w:rFonts w:asciiTheme="minorHAnsi" w:eastAsia="Calibri" w:hAnsiTheme="minorHAnsi" w:cstheme="minorHAnsi"/>
          <w:szCs w:val="24"/>
          <w:lang w:eastAsia="en-US"/>
        </w:rPr>
        <w:t xml:space="preserve">Ocena planów i przedsięwzięć znacząco oddziałujących na obszary Natura 2000. Wytyczne metodyczne dotyczące przepisów Artykułu 6(3) i (4) Dyrektywy Siedliskowej 92/43/EWG. </w:t>
      </w:r>
    </w:p>
    <w:p w14:paraId="0FFD29B5" w14:textId="77777777" w:rsidR="001D7621" w:rsidRPr="004B77D6" w:rsidRDefault="001D7621" w:rsidP="001D7621">
      <w:pPr>
        <w:suppressAutoHyphens w:val="0"/>
        <w:autoSpaceDE w:val="0"/>
        <w:autoSpaceDN w:val="0"/>
        <w:adjustRightInd w:val="0"/>
        <w:spacing w:after="120" w:line="276" w:lineRule="auto"/>
        <w:rPr>
          <w:rFonts w:asciiTheme="minorHAnsi" w:hAnsiTheme="minorHAnsi" w:cstheme="minorHAnsi"/>
          <w:szCs w:val="24"/>
        </w:rPr>
      </w:pPr>
      <w:r w:rsidRPr="004B77D6">
        <w:rPr>
          <w:rFonts w:asciiTheme="minorHAnsi" w:hAnsiTheme="minorHAnsi" w:cstheme="minorHAnsi"/>
          <w:szCs w:val="24"/>
        </w:rPr>
        <w:t xml:space="preserve">W przypadku, gdy w raporcie była przeprowadzona ocena zgodnie z art. 6 ust. 3 Dyrektywy Siedliskowej należy załączyć pełną wersję raportu albo rozdziały raportu, w których zawarto ocenę wskazaną w art. 6. ust. 3 Dyrektywy Siedliskowej. </w:t>
      </w:r>
    </w:p>
    <w:p w14:paraId="7E35C590" w14:textId="1CD0EEB3" w:rsidR="001D7621" w:rsidRPr="004B77D6" w:rsidRDefault="001D7621" w:rsidP="001D7621">
      <w:pPr>
        <w:suppressAutoHyphens w:val="0"/>
        <w:autoSpaceDE w:val="0"/>
        <w:autoSpaceDN w:val="0"/>
        <w:adjustRightInd w:val="0"/>
        <w:spacing w:after="120" w:line="276" w:lineRule="auto"/>
        <w:rPr>
          <w:rFonts w:asciiTheme="minorHAnsi" w:hAnsiTheme="minorHAnsi" w:cstheme="minorHAnsi"/>
          <w:szCs w:val="24"/>
        </w:rPr>
      </w:pPr>
      <w:r w:rsidRPr="004B77D6">
        <w:rPr>
          <w:rFonts w:asciiTheme="minorHAnsi" w:hAnsiTheme="minorHAnsi" w:cstheme="minorHAnsi"/>
          <w:szCs w:val="24"/>
        </w:rPr>
        <w:lastRenderedPageBreak/>
        <w:t xml:space="preserve">W przypadku procedury oceny dla przedsięwzięć innych niż mogące znacząco oddziaływać na środowisko opisanej w rozdziale 5 ustawy OOŚ (tzn. przedsięwzięć, które nie są przedsięwzięciami mogącymi znacząco oddziaływać na środowisko ale mogą znacząco wpływać na obszary Natura 2000) wymaga się załączenia raportu, o którym mowa w art. 97 ust. 3 ustawy OOŚ, postanowienia, o którym mowa w art. 98 ust. 1 ustawy OOŚ oraz </w:t>
      </w:r>
      <w:r w:rsidR="00A937B9">
        <w:rPr>
          <w:rFonts w:asciiTheme="minorHAnsi" w:hAnsiTheme="minorHAnsi" w:cstheme="minorHAnsi"/>
          <w:szCs w:val="24"/>
        </w:rPr>
        <w:t xml:space="preserve">skanu </w:t>
      </w:r>
      <w:r w:rsidRPr="004B77D6">
        <w:rPr>
          <w:rFonts w:asciiTheme="minorHAnsi" w:hAnsiTheme="minorHAnsi" w:cstheme="minorHAnsi"/>
          <w:szCs w:val="24"/>
        </w:rPr>
        <w:t xml:space="preserve">decyzji, o której mowa w art. 96 ust. 1 ustawy OOŚ wraz z informacją o jej podaniu do publicznej wiadomości w formie przewidzianej w art. 3 ust. 1 pkt 11 ustawy OOŚ. </w:t>
      </w:r>
    </w:p>
    <w:p w14:paraId="6FE92A15" w14:textId="77777777" w:rsidR="001D7621" w:rsidRPr="004B77D6" w:rsidRDefault="001D7621" w:rsidP="001D7621">
      <w:pPr>
        <w:suppressAutoHyphens w:val="0"/>
        <w:autoSpaceDE w:val="0"/>
        <w:autoSpaceDN w:val="0"/>
        <w:adjustRightInd w:val="0"/>
        <w:spacing w:after="120" w:line="276" w:lineRule="auto"/>
        <w:rPr>
          <w:rFonts w:asciiTheme="minorHAnsi" w:hAnsiTheme="minorHAnsi" w:cstheme="minorHAnsi"/>
          <w:szCs w:val="24"/>
        </w:rPr>
      </w:pPr>
      <w:r w:rsidRPr="004B77D6">
        <w:rPr>
          <w:rFonts w:asciiTheme="minorHAnsi" w:hAnsiTheme="minorHAnsi" w:cstheme="minorHAnsi"/>
          <w:szCs w:val="24"/>
        </w:rPr>
        <w:t xml:space="preserve">W przypadku, o którym mowa w art. 35 ustawy o ochronie przyrody, czyli informacji dotyczącej ustalenia kompensacji przyrodniczej niezbędne jest dołączeniu tej dokumentacji. Zakładany efekt kompensacji przyrodniczej powinien nastąpić </w:t>
      </w:r>
      <w:proofErr w:type="gramStart"/>
      <w:r w:rsidRPr="004B77D6">
        <w:rPr>
          <w:rFonts w:asciiTheme="minorHAnsi" w:hAnsiTheme="minorHAnsi" w:cstheme="minorHAnsi"/>
          <w:szCs w:val="24"/>
        </w:rPr>
        <w:t>nie później</w:t>
      </w:r>
      <w:proofErr w:type="gramEnd"/>
      <w:r w:rsidRPr="004B77D6">
        <w:rPr>
          <w:rFonts w:asciiTheme="minorHAnsi" w:hAnsiTheme="minorHAnsi" w:cstheme="minorHAnsi"/>
          <w:szCs w:val="24"/>
        </w:rPr>
        <w:t xml:space="preserve"> niż w terminie rozpoczęcia działań powodujących negatywne oddziaływanie co powinno zostać odnotowane/potwierdzone na potrzeby wniosku o dofinansowanie.</w:t>
      </w:r>
    </w:p>
    <w:p w14:paraId="5F0062BC" w14:textId="188D00D1" w:rsidR="001D7621" w:rsidRPr="004B77D6" w:rsidRDefault="001D7621" w:rsidP="001D7621">
      <w:pPr>
        <w:suppressAutoHyphens w:val="0"/>
        <w:autoSpaceDE w:val="0"/>
        <w:autoSpaceDN w:val="0"/>
        <w:adjustRightInd w:val="0"/>
        <w:spacing w:after="120" w:line="276" w:lineRule="auto"/>
        <w:rPr>
          <w:rFonts w:asciiTheme="minorHAnsi" w:hAnsiTheme="minorHAnsi" w:cstheme="minorHAnsi"/>
          <w:szCs w:val="24"/>
        </w:rPr>
      </w:pPr>
      <w:r w:rsidRPr="004B77D6">
        <w:rPr>
          <w:rFonts w:asciiTheme="minorHAnsi" w:hAnsiTheme="minorHAnsi" w:cstheme="minorHAnsi"/>
          <w:szCs w:val="24"/>
        </w:rPr>
        <w:t>Pozostałe części formularza – jak wskazano do uzupełnienia.</w:t>
      </w:r>
      <w:r w:rsidR="004338AE" w:rsidRPr="004B77D6">
        <w:rPr>
          <w:rFonts w:asciiTheme="minorHAnsi" w:hAnsiTheme="minorHAnsi" w:cstheme="minorHAnsi"/>
          <w:szCs w:val="24"/>
        </w:rPr>
        <w:t xml:space="preserve"> </w:t>
      </w:r>
    </w:p>
    <w:p w14:paraId="2FF700C7" w14:textId="77171D13" w:rsidR="00764854" w:rsidRDefault="00764854" w:rsidP="0071603D">
      <w:pPr>
        <w:spacing w:after="120" w:line="276" w:lineRule="auto"/>
        <w:rPr>
          <w:rFonts w:ascii="Calibri" w:hAnsi="Calibri"/>
          <w:szCs w:val="24"/>
        </w:rPr>
      </w:pPr>
      <w:r w:rsidRPr="004B77D6">
        <w:rPr>
          <w:rFonts w:ascii="Calibri" w:hAnsi="Calibri"/>
          <w:szCs w:val="24"/>
        </w:rPr>
        <w:t xml:space="preserve"> </w:t>
      </w:r>
    </w:p>
    <w:p w14:paraId="2B61B451" w14:textId="7604FBD6" w:rsidR="0089006E" w:rsidRPr="0089006E" w:rsidRDefault="0089006E" w:rsidP="004D0859">
      <w:pPr>
        <w:keepNext/>
        <w:numPr>
          <w:ilvl w:val="0"/>
          <w:numId w:val="5"/>
        </w:numPr>
        <w:tabs>
          <w:tab w:val="clear" w:pos="360"/>
        </w:tabs>
        <w:suppressAutoHyphens w:val="0"/>
        <w:spacing w:after="120" w:line="276" w:lineRule="auto"/>
        <w:ind w:left="284" w:hanging="284"/>
        <w:outlineLvl w:val="2"/>
        <w:rPr>
          <w:rFonts w:ascii="Calibri" w:hAnsi="Calibri"/>
          <w:b/>
          <w:bCs/>
          <w:sz w:val="28"/>
          <w:szCs w:val="24"/>
        </w:rPr>
      </w:pPr>
      <w:bookmarkStart w:id="697" w:name="_Toc477857441"/>
      <w:bookmarkStart w:id="698" w:name="_Toc54688944"/>
      <w:bookmarkStart w:id="699" w:name="_Toc241839725"/>
      <w:r w:rsidRPr="0089006E">
        <w:rPr>
          <w:rFonts w:ascii="Calibri" w:hAnsi="Calibri"/>
          <w:b/>
          <w:bCs/>
          <w:sz w:val="28"/>
          <w:szCs w:val="24"/>
        </w:rPr>
        <w:t>POZWOLENI</w:t>
      </w:r>
      <w:r w:rsidR="00CE009D">
        <w:rPr>
          <w:rFonts w:ascii="Calibri" w:hAnsi="Calibri"/>
          <w:b/>
          <w:bCs/>
          <w:sz w:val="28"/>
          <w:szCs w:val="24"/>
        </w:rPr>
        <w:t>E</w:t>
      </w:r>
      <w:r w:rsidRPr="0089006E">
        <w:rPr>
          <w:rFonts w:ascii="Calibri" w:hAnsi="Calibri"/>
          <w:b/>
          <w:bCs/>
          <w:sz w:val="28"/>
          <w:szCs w:val="24"/>
        </w:rPr>
        <w:t xml:space="preserve"> NA BUDOWĘ BĄDŹ </w:t>
      </w:r>
      <w:r w:rsidR="00CE009D" w:rsidRPr="0089006E">
        <w:rPr>
          <w:rFonts w:ascii="Calibri" w:hAnsi="Calibri"/>
          <w:b/>
          <w:bCs/>
          <w:sz w:val="28"/>
          <w:szCs w:val="24"/>
        </w:rPr>
        <w:t>ZGŁOSZENI</w:t>
      </w:r>
      <w:r w:rsidR="00CE009D">
        <w:rPr>
          <w:rFonts w:ascii="Calibri" w:hAnsi="Calibri"/>
          <w:b/>
          <w:bCs/>
          <w:sz w:val="28"/>
          <w:szCs w:val="24"/>
        </w:rPr>
        <w:t>E</w:t>
      </w:r>
      <w:r w:rsidR="00CE009D" w:rsidRPr="0089006E">
        <w:rPr>
          <w:rFonts w:ascii="Calibri" w:hAnsi="Calibri"/>
          <w:b/>
          <w:bCs/>
          <w:sz w:val="28"/>
          <w:szCs w:val="24"/>
        </w:rPr>
        <w:t xml:space="preserve"> </w:t>
      </w:r>
      <w:r w:rsidRPr="0089006E">
        <w:rPr>
          <w:rFonts w:ascii="Calibri" w:hAnsi="Calibri"/>
          <w:b/>
          <w:bCs/>
          <w:sz w:val="28"/>
          <w:szCs w:val="24"/>
        </w:rPr>
        <w:t>BUDOWY LUB DOKUMENTY DOTYCZĄCE ZAGOSPODAROWANIA PRZESTRZENNEGO</w:t>
      </w:r>
      <w:bookmarkEnd w:id="697"/>
      <w:bookmarkEnd w:id="698"/>
      <w:bookmarkEnd w:id="699"/>
    </w:p>
    <w:p w14:paraId="26533F60" w14:textId="4FFB4C95" w:rsidR="0089006E" w:rsidRDefault="00D87E89" w:rsidP="00757490">
      <w:pPr>
        <w:spacing w:before="120" w:after="120" w:line="276" w:lineRule="auto"/>
        <w:rPr>
          <w:rFonts w:ascii="Calibri" w:hAnsi="Calibri"/>
          <w:szCs w:val="24"/>
        </w:rPr>
      </w:pPr>
      <w:r w:rsidRPr="00D87E89">
        <w:rPr>
          <w:rFonts w:ascii="Calibri" w:hAnsi="Calibri"/>
          <w:szCs w:val="24"/>
        </w:rPr>
        <w:t>Załącznik wymagany jest w przypadku</w:t>
      </w:r>
      <w:r w:rsidR="009C07F8">
        <w:rPr>
          <w:rFonts w:ascii="Calibri" w:hAnsi="Calibri"/>
          <w:szCs w:val="24"/>
        </w:rPr>
        <w:t>,</w:t>
      </w:r>
      <w:r w:rsidRPr="00D87E89">
        <w:rPr>
          <w:rFonts w:ascii="Calibri" w:hAnsi="Calibri"/>
          <w:szCs w:val="24"/>
        </w:rPr>
        <w:t xml:space="preserve"> gdy projekt obejmuje swoim zakresem realizację robót budowlanych</w:t>
      </w:r>
      <w:r w:rsidR="00C02256">
        <w:rPr>
          <w:rFonts w:ascii="Calibri" w:hAnsi="Calibri"/>
          <w:szCs w:val="24"/>
        </w:rPr>
        <w:t>,</w:t>
      </w:r>
      <w:r w:rsidRPr="00D87E89">
        <w:rPr>
          <w:rFonts w:ascii="Calibri" w:hAnsi="Calibri"/>
          <w:szCs w:val="24"/>
        </w:rPr>
        <w:t xml:space="preserve"> dla których wskazane dokumenty są wymagane Ustawą Prawo budowlane. Załącznik nie dotyczy projektów polegających wyłącznie na zakupie sprzętu ruchomego, środków trwałych (maszyn, urządzeń, wartości niematerialnych i prawnych), dostawach bądź innych usługach.</w:t>
      </w:r>
      <w:r w:rsidR="00FA6288">
        <w:rPr>
          <w:rFonts w:ascii="Calibri" w:hAnsi="Calibri"/>
          <w:szCs w:val="24"/>
        </w:rPr>
        <w:t xml:space="preserve"> W takiej sytuacji należy wypełnić tabelę przedstawiającą zestawienie zakupywanego sprzętu</w:t>
      </w:r>
      <w:r w:rsidR="00171279">
        <w:rPr>
          <w:rFonts w:ascii="Calibri" w:hAnsi="Calibri"/>
          <w:szCs w:val="24"/>
        </w:rPr>
        <w:t>/wyposażenia</w:t>
      </w:r>
      <w:r w:rsidR="00FA6288">
        <w:rPr>
          <w:rFonts w:ascii="Calibri" w:hAnsi="Calibri"/>
          <w:szCs w:val="24"/>
        </w:rPr>
        <w:t xml:space="preserve"> w pkt A.1 </w:t>
      </w:r>
      <w:r w:rsidR="009D5CF7">
        <w:rPr>
          <w:rFonts w:ascii="Calibri" w:hAnsi="Calibri"/>
          <w:szCs w:val="24"/>
        </w:rPr>
        <w:t>Studium Wykonalności Inwestycji.</w:t>
      </w:r>
    </w:p>
    <w:p w14:paraId="569B0DB9" w14:textId="754C3343" w:rsidR="00512E49" w:rsidRDefault="003A03E4" w:rsidP="00C02712">
      <w:pPr>
        <w:spacing w:after="120" w:line="276" w:lineRule="auto"/>
        <w:rPr>
          <w:rFonts w:ascii="Calibri" w:eastAsia="Calibri" w:hAnsi="Calibri"/>
          <w:b/>
          <w:bCs/>
          <w:i/>
          <w:iCs/>
          <w:szCs w:val="24"/>
        </w:rPr>
      </w:pPr>
      <w:r w:rsidRPr="00C02712">
        <w:rPr>
          <w:rFonts w:ascii="Calibri" w:hAnsi="Calibri"/>
          <w:b/>
          <w:bCs/>
          <w:szCs w:val="24"/>
        </w:rPr>
        <w:t xml:space="preserve">WAŻNE! – </w:t>
      </w:r>
      <w:r w:rsidR="003178F0" w:rsidRPr="00C02712">
        <w:rPr>
          <w:rFonts w:asciiTheme="minorHAnsi" w:eastAsiaTheme="minorHAnsi" w:hAnsiTheme="minorHAnsi" w:cstheme="minorBidi"/>
          <w:b/>
          <w:bCs/>
          <w:szCs w:val="24"/>
          <w:lang w:eastAsia="en-US"/>
        </w:rPr>
        <w:t xml:space="preserve">w ramach oceny merytorycznej weryfikacji podlegać będzie </w:t>
      </w:r>
      <w:r w:rsidR="003178F0" w:rsidRPr="00C02712">
        <w:rPr>
          <w:rFonts w:asciiTheme="minorHAnsi" w:eastAsiaTheme="minorHAnsi" w:hAnsiTheme="minorHAnsi" w:cstheme="minorBidi"/>
          <w:b/>
          <w:bCs/>
          <w:szCs w:val="24"/>
          <w:lang w:eastAsia="en-US" w:bidi="pl-PL"/>
        </w:rPr>
        <w:t xml:space="preserve">stan gotowości projektu do realizacji </w:t>
      </w:r>
      <w:r w:rsidR="000F49C1" w:rsidRPr="00C02712">
        <w:rPr>
          <w:rFonts w:asciiTheme="minorHAnsi" w:eastAsiaTheme="minorHAnsi" w:hAnsiTheme="minorHAnsi" w:cstheme="minorBidi"/>
          <w:b/>
          <w:bCs/>
          <w:szCs w:val="24"/>
          <w:lang w:eastAsia="en-US" w:bidi="pl-PL"/>
        </w:rPr>
        <w:t>(</w:t>
      </w:r>
      <w:r w:rsidR="003178F0" w:rsidRPr="00C02712">
        <w:rPr>
          <w:rFonts w:asciiTheme="minorHAnsi" w:eastAsiaTheme="minorHAnsi" w:hAnsiTheme="minorHAnsi" w:cstheme="minorBidi"/>
          <w:b/>
          <w:bCs/>
          <w:szCs w:val="24"/>
          <w:lang w:eastAsia="en-US" w:bidi="pl-PL"/>
        </w:rPr>
        <w:t>na dzień złożenia wniosku o dofinansowanie</w:t>
      </w:r>
      <w:r w:rsidR="000F49C1" w:rsidRPr="00C02712">
        <w:rPr>
          <w:rFonts w:asciiTheme="minorHAnsi" w:eastAsiaTheme="minorHAnsi" w:hAnsiTheme="minorHAnsi" w:cstheme="minorBidi"/>
          <w:b/>
          <w:bCs/>
          <w:szCs w:val="24"/>
          <w:lang w:eastAsia="en-US" w:bidi="pl-PL"/>
        </w:rPr>
        <w:t>)</w:t>
      </w:r>
      <w:r w:rsidR="003178F0" w:rsidRPr="00C02712">
        <w:rPr>
          <w:rFonts w:asciiTheme="minorHAnsi" w:eastAsiaTheme="minorHAnsi" w:hAnsiTheme="minorHAnsi" w:cstheme="minorBidi"/>
          <w:b/>
          <w:bCs/>
          <w:szCs w:val="24"/>
          <w:lang w:eastAsia="en-US" w:bidi="pl-PL"/>
        </w:rPr>
        <w:t xml:space="preserve">. </w:t>
      </w:r>
      <w:r w:rsidR="003178F0" w:rsidRPr="00C02712">
        <w:rPr>
          <w:rFonts w:asciiTheme="minorHAnsi" w:eastAsiaTheme="minorHAnsi" w:hAnsiTheme="minorHAnsi" w:cstheme="minorBidi"/>
          <w:b/>
          <w:bCs/>
          <w:szCs w:val="24"/>
          <w:u w:val="single"/>
          <w:lang w:eastAsia="en-US" w:bidi="pl-PL"/>
        </w:rPr>
        <w:t>Najwyżej premiowane będą projekty, które posiadają wszystkie ostateczne decyzje budowlane dla wszystkich przedsięwzięć</w:t>
      </w:r>
      <w:r w:rsidR="003178F0" w:rsidRPr="00C02712">
        <w:rPr>
          <w:rFonts w:asciiTheme="minorHAnsi" w:eastAsiaTheme="minorHAnsi" w:hAnsiTheme="minorHAnsi" w:cstheme="minorBidi"/>
          <w:b/>
          <w:bCs/>
          <w:szCs w:val="24"/>
          <w:lang w:eastAsia="en-US" w:bidi="pl-PL"/>
        </w:rPr>
        <w:t xml:space="preserve"> (jeśli są one wymagane przepisami prawa). Zwraca się uwagę, </w:t>
      </w:r>
      <w:r w:rsidR="00512E49">
        <w:rPr>
          <w:rFonts w:asciiTheme="minorHAnsi" w:eastAsiaTheme="minorHAnsi" w:hAnsiTheme="minorHAnsi" w:cstheme="minorBidi"/>
          <w:b/>
          <w:bCs/>
          <w:szCs w:val="24"/>
          <w:lang w:eastAsia="en-US" w:bidi="pl-PL"/>
        </w:rPr>
        <w:br/>
      </w:r>
      <w:r w:rsidR="003178F0" w:rsidRPr="00C02712">
        <w:rPr>
          <w:rFonts w:asciiTheme="minorHAnsi" w:eastAsiaTheme="minorHAnsi" w:hAnsiTheme="minorHAnsi" w:cstheme="minorBidi"/>
          <w:b/>
          <w:bCs/>
          <w:szCs w:val="24"/>
          <w:lang w:eastAsia="en-US" w:bidi="pl-PL"/>
        </w:rPr>
        <w:t xml:space="preserve">że punkty uzyskają tylko </w:t>
      </w:r>
      <w:r w:rsidR="000F49C1" w:rsidRPr="00C02712">
        <w:rPr>
          <w:rFonts w:asciiTheme="minorHAnsi" w:eastAsiaTheme="minorHAnsi" w:hAnsiTheme="minorHAnsi" w:cstheme="minorBidi"/>
          <w:b/>
          <w:bCs/>
          <w:szCs w:val="24"/>
          <w:lang w:eastAsia="en-US" w:bidi="pl-PL"/>
        </w:rPr>
        <w:t xml:space="preserve">te </w:t>
      </w:r>
      <w:r w:rsidR="003178F0" w:rsidRPr="00C02712">
        <w:rPr>
          <w:rFonts w:asciiTheme="minorHAnsi" w:eastAsiaTheme="minorHAnsi" w:hAnsiTheme="minorHAnsi" w:cstheme="minorBidi"/>
          <w:b/>
          <w:bCs/>
          <w:szCs w:val="24"/>
          <w:lang w:eastAsia="en-US" w:bidi="pl-PL"/>
        </w:rPr>
        <w:t xml:space="preserve">projekty, które nie będą realizowane </w:t>
      </w:r>
      <w:r w:rsidR="00512E49" w:rsidRPr="00512E49">
        <w:rPr>
          <w:rFonts w:asciiTheme="minorHAnsi" w:eastAsiaTheme="minorHAnsi" w:hAnsiTheme="minorHAnsi" w:cstheme="minorBidi"/>
          <w:b/>
          <w:bCs/>
          <w:szCs w:val="24"/>
          <w:lang w:eastAsia="en-US" w:bidi="pl-PL"/>
        </w:rPr>
        <w:t>(</w:t>
      </w:r>
      <w:r w:rsidR="00215E12">
        <w:rPr>
          <w:rFonts w:asciiTheme="minorHAnsi" w:eastAsiaTheme="minorHAnsi" w:hAnsiTheme="minorHAnsi" w:cstheme="minorBidi"/>
          <w:b/>
          <w:bCs/>
          <w:szCs w:val="24"/>
          <w:lang w:eastAsia="en-US" w:bidi="pl-PL"/>
        </w:rPr>
        <w:t xml:space="preserve">w </w:t>
      </w:r>
      <w:r w:rsidR="00512E49" w:rsidRPr="00512E49">
        <w:rPr>
          <w:rFonts w:asciiTheme="minorHAnsi" w:eastAsiaTheme="minorHAnsi" w:hAnsiTheme="minorHAnsi" w:cstheme="minorBidi"/>
          <w:b/>
          <w:bCs/>
          <w:szCs w:val="24"/>
          <w:lang w:eastAsia="en-US" w:bidi="pl-PL"/>
        </w:rPr>
        <w:t>opisane</w:t>
      </w:r>
      <w:r w:rsidR="00512E49" w:rsidRPr="00C02712">
        <w:rPr>
          <w:rFonts w:asciiTheme="minorHAnsi" w:eastAsiaTheme="minorHAnsi" w:hAnsiTheme="minorHAnsi" w:cstheme="minorBidi"/>
          <w:b/>
          <w:bCs/>
          <w:szCs w:val="24"/>
          <w:lang w:eastAsia="en-US" w:bidi="pl-PL"/>
        </w:rPr>
        <w:t>j</w:t>
      </w:r>
      <w:r w:rsidR="00512E49" w:rsidRPr="00512E49">
        <w:rPr>
          <w:rFonts w:asciiTheme="minorHAnsi" w:eastAsiaTheme="minorHAnsi" w:hAnsiTheme="minorHAnsi" w:cstheme="minorBidi"/>
          <w:b/>
          <w:bCs/>
          <w:szCs w:val="24"/>
          <w:lang w:eastAsia="en-US" w:bidi="pl-PL"/>
        </w:rPr>
        <w:t xml:space="preserve"> w punkcie 4)</w:t>
      </w:r>
      <w:r w:rsidR="003178F0" w:rsidRPr="00C02712">
        <w:rPr>
          <w:rFonts w:asciiTheme="minorHAnsi" w:eastAsiaTheme="minorHAnsi" w:hAnsiTheme="minorHAnsi" w:cstheme="minorBidi"/>
          <w:b/>
          <w:bCs/>
          <w:szCs w:val="24"/>
          <w:lang w:eastAsia="en-US" w:bidi="pl-PL"/>
        </w:rPr>
        <w:t xml:space="preserve"> formule „zaprojektuj i wybuduj”</w:t>
      </w:r>
      <w:r w:rsidR="00512E49" w:rsidRPr="00512E49">
        <w:rPr>
          <w:rFonts w:asciiTheme="minorHAnsi" w:eastAsiaTheme="minorHAnsi" w:hAnsiTheme="minorHAnsi" w:cstheme="minorBidi"/>
          <w:b/>
          <w:bCs/>
          <w:szCs w:val="24"/>
          <w:lang w:eastAsia="en-US" w:bidi="pl-PL"/>
        </w:rPr>
        <w:t xml:space="preserve">, </w:t>
      </w:r>
      <w:r w:rsidR="003178F0" w:rsidRPr="00C02712">
        <w:rPr>
          <w:rFonts w:asciiTheme="minorHAnsi" w:eastAsiaTheme="minorHAnsi" w:hAnsiTheme="minorHAnsi" w:cstheme="minorBidi"/>
          <w:b/>
          <w:bCs/>
          <w:szCs w:val="24"/>
          <w:lang w:eastAsia="en-US" w:bidi="pl-PL"/>
        </w:rPr>
        <w:t>(posiadające jedynie program funkcjonalno-użytkowy)</w:t>
      </w:r>
      <w:r w:rsidR="000F49C1" w:rsidRPr="00C02712">
        <w:rPr>
          <w:rFonts w:asciiTheme="minorHAnsi" w:eastAsiaTheme="minorHAnsi" w:hAnsiTheme="minorHAnsi" w:cstheme="minorBidi"/>
          <w:b/>
          <w:bCs/>
          <w:szCs w:val="24"/>
          <w:lang w:eastAsia="en-US" w:bidi="pl-PL"/>
        </w:rPr>
        <w:t xml:space="preserve">. </w:t>
      </w:r>
      <w:r w:rsidR="003178F0" w:rsidRPr="00C02712">
        <w:rPr>
          <w:rFonts w:asciiTheme="minorHAnsi" w:eastAsiaTheme="minorHAnsi" w:hAnsiTheme="minorHAnsi" w:cstheme="minorBidi"/>
          <w:b/>
          <w:bCs/>
          <w:szCs w:val="24"/>
          <w:lang w:eastAsia="en-US" w:bidi="pl-PL"/>
        </w:rPr>
        <w:t>Projekt</w:t>
      </w:r>
      <w:r w:rsidR="000F49C1" w:rsidRPr="00C02712">
        <w:rPr>
          <w:rFonts w:asciiTheme="minorHAnsi" w:eastAsiaTheme="minorHAnsi" w:hAnsiTheme="minorHAnsi" w:cstheme="minorBidi"/>
          <w:b/>
          <w:bCs/>
          <w:szCs w:val="24"/>
          <w:lang w:eastAsia="en-US" w:bidi="pl-PL"/>
        </w:rPr>
        <w:t>y</w:t>
      </w:r>
      <w:r w:rsidR="00215E12">
        <w:rPr>
          <w:rFonts w:asciiTheme="minorHAnsi" w:eastAsiaTheme="minorHAnsi" w:hAnsiTheme="minorHAnsi" w:cstheme="minorBidi"/>
          <w:b/>
          <w:bCs/>
          <w:szCs w:val="24"/>
          <w:lang w:eastAsia="en-US" w:bidi="pl-PL"/>
        </w:rPr>
        <w:t xml:space="preserve"> niepartnerskie</w:t>
      </w:r>
      <w:r w:rsidR="003178F0" w:rsidRPr="00C02712">
        <w:rPr>
          <w:rFonts w:asciiTheme="minorHAnsi" w:eastAsiaTheme="minorHAnsi" w:hAnsiTheme="minorHAnsi" w:cstheme="minorBidi"/>
          <w:b/>
          <w:bCs/>
          <w:szCs w:val="24"/>
          <w:lang w:eastAsia="en-US" w:bidi="pl-PL"/>
        </w:rPr>
        <w:t xml:space="preserve"> obejmuj</w:t>
      </w:r>
      <w:r w:rsidR="000F49C1" w:rsidRPr="00C02712">
        <w:rPr>
          <w:rFonts w:asciiTheme="minorHAnsi" w:eastAsiaTheme="minorHAnsi" w:hAnsiTheme="minorHAnsi" w:cstheme="minorBidi"/>
          <w:b/>
          <w:bCs/>
          <w:szCs w:val="24"/>
          <w:lang w:eastAsia="en-US" w:bidi="pl-PL"/>
        </w:rPr>
        <w:t>ące</w:t>
      </w:r>
      <w:r w:rsidR="003178F0" w:rsidRPr="00C02712">
        <w:rPr>
          <w:rFonts w:asciiTheme="minorHAnsi" w:eastAsiaTheme="minorHAnsi" w:hAnsiTheme="minorHAnsi" w:cstheme="minorBidi"/>
          <w:b/>
          <w:bCs/>
          <w:szCs w:val="24"/>
          <w:lang w:eastAsia="en-US" w:bidi="pl-PL"/>
        </w:rPr>
        <w:t xml:space="preserve"> co najmniej jedno przedsięwzięcie, które będzie realizowane w formule „zaprojektuj i wybuduj” (jeżeli posiada jedynie program funkcjonalno-użytkowy)</w:t>
      </w:r>
      <w:r w:rsidR="000F49C1" w:rsidRPr="00C02712">
        <w:rPr>
          <w:rFonts w:asciiTheme="minorHAnsi" w:eastAsiaTheme="minorHAnsi" w:hAnsiTheme="minorHAnsi" w:cstheme="minorBidi"/>
          <w:b/>
          <w:bCs/>
          <w:szCs w:val="24"/>
          <w:lang w:eastAsia="en-US" w:bidi="pl-PL"/>
        </w:rPr>
        <w:t xml:space="preserve"> </w:t>
      </w:r>
      <w:r w:rsidR="000F49C1" w:rsidRPr="00C02712">
        <w:rPr>
          <w:rFonts w:asciiTheme="minorHAnsi" w:eastAsiaTheme="minorHAnsi" w:hAnsiTheme="minorHAnsi" w:cstheme="minorBidi"/>
          <w:b/>
          <w:bCs/>
          <w:szCs w:val="24"/>
          <w:u w:val="single"/>
          <w:lang w:eastAsia="en-US" w:bidi="pl-PL"/>
        </w:rPr>
        <w:t xml:space="preserve">nie uzyskają punktów </w:t>
      </w:r>
      <w:r w:rsidR="000F49C1" w:rsidRPr="00C02712">
        <w:rPr>
          <w:rFonts w:asciiTheme="minorHAnsi" w:eastAsiaTheme="minorHAnsi" w:hAnsiTheme="minorHAnsi" w:cstheme="minorBidi"/>
          <w:b/>
          <w:bCs/>
          <w:szCs w:val="24"/>
          <w:lang w:eastAsia="en-US" w:bidi="pl-PL"/>
        </w:rPr>
        <w:t xml:space="preserve">w ramach kryterium merytorycznego </w:t>
      </w:r>
      <w:r w:rsidR="000B16A7">
        <w:rPr>
          <w:rFonts w:asciiTheme="minorHAnsi" w:eastAsiaTheme="minorHAnsi" w:hAnsiTheme="minorHAnsi" w:cstheme="minorBidi"/>
          <w:b/>
          <w:bCs/>
          <w:szCs w:val="24"/>
          <w:lang w:eastAsia="en-US" w:bidi="pl-PL"/>
        </w:rPr>
        <w:br/>
      </w:r>
      <w:r w:rsidR="000F49C1" w:rsidRPr="00C02712">
        <w:rPr>
          <w:rFonts w:asciiTheme="minorHAnsi" w:eastAsiaTheme="minorHAnsi" w:hAnsiTheme="minorHAnsi" w:cstheme="minorBidi"/>
          <w:b/>
          <w:bCs/>
          <w:szCs w:val="24"/>
          <w:lang w:eastAsia="en-US" w:bidi="pl-PL"/>
        </w:rPr>
        <w:t>pn</w:t>
      </w:r>
      <w:r w:rsidR="000F49C1" w:rsidRPr="00C02712">
        <w:rPr>
          <w:rFonts w:asciiTheme="minorHAnsi" w:eastAsiaTheme="minorHAnsi" w:hAnsiTheme="minorHAnsi" w:cstheme="minorBidi"/>
          <w:b/>
          <w:bCs/>
          <w:i/>
          <w:iCs/>
          <w:szCs w:val="24"/>
          <w:lang w:eastAsia="en-US" w:bidi="pl-PL"/>
        </w:rPr>
        <w:t xml:space="preserve">. </w:t>
      </w:r>
      <w:r w:rsidR="000F49C1" w:rsidRPr="00C02712">
        <w:rPr>
          <w:rFonts w:ascii="Calibri" w:eastAsia="Calibri" w:hAnsi="Calibri"/>
          <w:b/>
          <w:bCs/>
          <w:i/>
          <w:iCs/>
          <w:szCs w:val="24"/>
        </w:rPr>
        <w:t>Gotowość projektu</w:t>
      </w:r>
      <w:r w:rsidR="00512E49">
        <w:rPr>
          <w:rFonts w:ascii="Calibri" w:eastAsia="Calibri" w:hAnsi="Calibri"/>
          <w:b/>
          <w:bCs/>
          <w:i/>
          <w:iCs/>
          <w:szCs w:val="24"/>
        </w:rPr>
        <w:t xml:space="preserve"> </w:t>
      </w:r>
      <w:r w:rsidR="000F49C1" w:rsidRPr="00C02712">
        <w:rPr>
          <w:rFonts w:ascii="Calibri" w:eastAsia="Calibri" w:hAnsi="Calibri"/>
          <w:b/>
          <w:bCs/>
          <w:i/>
          <w:iCs/>
          <w:szCs w:val="24"/>
        </w:rPr>
        <w:t xml:space="preserve">do realizacji. </w:t>
      </w:r>
    </w:p>
    <w:p w14:paraId="017871A2" w14:textId="45AB45A1" w:rsidR="003178F0" w:rsidRDefault="000F49C1" w:rsidP="001512DB">
      <w:pPr>
        <w:spacing w:after="240" w:line="276" w:lineRule="auto"/>
        <w:rPr>
          <w:rFonts w:ascii="Calibri" w:eastAsia="Calibri" w:hAnsi="Calibri"/>
          <w:b/>
          <w:bCs/>
          <w:szCs w:val="24"/>
        </w:rPr>
      </w:pPr>
      <w:r w:rsidRPr="00C02712">
        <w:rPr>
          <w:rFonts w:ascii="Calibri" w:eastAsia="Calibri" w:hAnsi="Calibri"/>
          <w:b/>
          <w:bCs/>
          <w:szCs w:val="24"/>
        </w:rPr>
        <w:t>Szczegółowa metodologia oceny</w:t>
      </w:r>
      <w:r w:rsidR="00512E49" w:rsidRPr="00512E49">
        <w:rPr>
          <w:rFonts w:ascii="Calibri" w:eastAsia="Calibri" w:hAnsi="Calibri"/>
          <w:b/>
          <w:bCs/>
          <w:szCs w:val="24"/>
        </w:rPr>
        <w:t xml:space="preserve"> projektu</w:t>
      </w:r>
      <w:r w:rsidRPr="00C02712">
        <w:rPr>
          <w:rFonts w:ascii="Calibri" w:eastAsia="Calibri" w:hAnsi="Calibri"/>
          <w:b/>
          <w:bCs/>
          <w:szCs w:val="24"/>
        </w:rPr>
        <w:t xml:space="preserve"> w ramach przedmiotowego kryterium, znajduje się w załączniku nr 8 do Regulaminu wyboru projekt</w:t>
      </w:r>
      <w:r w:rsidR="00512E49" w:rsidRPr="00512E49">
        <w:rPr>
          <w:rFonts w:ascii="Calibri" w:eastAsia="Calibri" w:hAnsi="Calibri"/>
          <w:b/>
          <w:bCs/>
          <w:szCs w:val="24"/>
        </w:rPr>
        <w:t>ów.</w:t>
      </w:r>
    </w:p>
    <w:p w14:paraId="4A1558FA" w14:textId="77777777" w:rsidR="00F16CD4" w:rsidRPr="00C02712" w:rsidRDefault="00F16CD4" w:rsidP="001512DB">
      <w:pPr>
        <w:spacing w:after="240" w:line="276" w:lineRule="auto"/>
        <w:rPr>
          <w:rFonts w:asciiTheme="minorHAnsi" w:eastAsiaTheme="minorHAnsi" w:hAnsiTheme="minorHAnsi" w:cstheme="minorBidi"/>
          <w:b/>
          <w:bCs/>
          <w:szCs w:val="24"/>
          <w:lang w:eastAsia="en-US" w:bidi="pl-PL"/>
        </w:rPr>
      </w:pPr>
    </w:p>
    <w:p w14:paraId="62B31F43" w14:textId="4FD9D96C" w:rsidR="0089006E" w:rsidRPr="0089006E" w:rsidRDefault="003A49FD" w:rsidP="004D0859">
      <w:pPr>
        <w:numPr>
          <w:ilvl w:val="0"/>
          <w:numId w:val="64"/>
        </w:numPr>
        <w:tabs>
          <w:tab w:val="num" w:pos="0"/>
        </w:tabs>
        <w:suppressAutoHyphens w:val="0"/>
        <w:spacing w:before="120" w:after="120" w:line="276" w:lineRule="auto"/>
        <w:ind w:left="0" w:firstLine="0"/>
        <w:rPr>
          <w:rFonts w:asciiTheme="minorHAnsi" w:hAnsiTheme="minorHAnsi" w:cstheme="minorHAnsi"/>
          <w:b/>
          <w:szCs w:val="24"/>
        </w:rPr>
      </w:pPr>
      <w:r>
        <w:rPr>
          <w:rFonts w:asciiTheme="minorHAnsi" w:hAnsiTheme="minorHAnsi" w:cstheme="minorHAnsi"/>
          <w:b/>
          <w:szCs w:val="24"/>
        </w:rPr>
        <w:lastRenderedPageBreak/>
        <w:t>P</w:t>
      </w:r>
      <w:r w:rsidR="00CE009D" w:rsidRPr="0089006E">
        <w:rPr>
          <w:rFonts w:asciiTheme="minorHAnsi" w:hAnsiTheme="minorHAnsi" w:cstheme="minorHAnsi"/>
          <w:b/>
          <w:szCs w:val="24"/>
        </w:rPr>
        <w:t>OZWOLENI</w:t>
      </w:r>
      <w:r w:rsidR="00CE009D">
        <w:rPr>
          <w:rFonts w:asciiTheme="minorHAnsi" w:hAnsiTheme="minorHAnsi" w:cstheme="minorHAnsi"/>
          <w:b/>
          <w:szCs w:val="24"/>
        </w:rPr>
        <w:t>E</w:t>
      </w:r>
      <w:r w:rsidR="00CE009D" w:rsidRPr="0089006E">
        <w:rPr>
          <w:rFonts w:asciiTheme="minorHAnsi" w:hAnsiTheme="minorHAnsi" w:cstheme="minorHAnsi"/>
          <w:b/>
          <w:szCs w:val="24"/>
        </w:rPr>
        <w:t xml:space="preserve"> </w:t>
      </w:r>
      <w:r w:rsidR="0089006E" w:rsidRPr="0089006E">
        <w:rPr>
          <w:rFonts w:asciiTheme="minorHAnsi" w:hAnsiTheme="minorHAnsi" w:cstheme="minorHAnsi"/>
          <w:b/>
          <w:szCs w:val="24"/>
        </w:rPr>
        <w:t>NA BUDOWĘ BĄDŹ ZGŁOSZENI</w:t>
      </w:r>
      <w:r w:rsidR="00CE009D">
        <w:rPr>
          <w:rFonts w:asciiTheme="minorHAnsi" w:hAnsiTheme="minorHAnsi" w:cstheme="minorHAnsi"/>
          <w:b/>
          <w:szCs w:val="24"/>
        </w:rPr>
        <w:t>E</w:t>
      </w:r>
      <w:r w:rsidR="0089006E" w:rsidRPr="0089006E">
        <w:rPr>
          <w:rFonts w:asciiTheme="minorHAnsi" w:hAnsiTheme="minorHAnsi" w:cstheme="minorHAnsi"/>
          <w:b/>
          <w:szCs w:val="24"/>
        </w:rPr>
        <w:t xml:space="preserve"> BUDOWY </w:t>
      </w:r>
    </w:p>
    <w:p w14:paraId="0CC341EF" w14:textId="64B52E4A" w:rsidR="0089006E" w:rsidRPr="0039193B" w:rsidRDefault="0089006E" w:rsidP="001512DB">
      <w:pPr>
        <w:autoSpaceDE w:val="0"/>
        <w:autoSpaceDN w:val="0"/>
        <w:adjustRightInd w:val="0"/>
        <w:spacing w:before="120" w:after="120" w:line="276" w:lineRule="auto"/>
        <w:rPr>
          <w:rFonts w:asciiTheme="minorHAnsi" w:hAnsiTheme="minorHAnsi" w:cstheme="minorHAnsi"/>
          <w:szCs w:val="24"/>
        </w:rPr>
      </w:pPr>
      <w:r w:rsidRPr="0089006E">
        <w:rPr>
          <w:rFonts w:asciiTheme="minorHAnsi" w:hAnsiTheme="minorHAnsi" w:cstheme="minorHAnsi"/>
          <w:szCs w:val="24"/>
        </w:rPr>
        <w:t>W</w:t>
      </w:r>
      <w:r w:rsidR="00C10A14">
        <w:rPr>
          <w:rFonts w:asciiTheme="minorHAnsi" w:hAnsiTheme="minorHAnsi" w:cstheme="minorHAnsi"/>
          <w:szCs w:val="24"/>
        </w:rPr>
        <w:t>nioskodawca ubiegający się o dofinansowanie przedsięwzięcia</w:t>
      </w:r>
      <w:r w:rsidR="00001477">
        <w:rPr>
          <w:rFonts w:asciiTheme="minorHAnsi" w:hAnsiTheme="minorHAnsi" w:cstheme="minorHAnsi"/>
          <w:szCs w:val="24"/>
        </w:rPr>
        <w:t>,</w:t>
      </w:r>
      <w:r w:rsidR="00C10A14">
        <w:rPr>
          <w:rFonts w:asciiTheme="minorHAnsi" w:hAnsiTheme="minorHAnsi" w:cstheme="minorHAnsi"/>
          <w:szCs w:val="24"/>
        </w:rPr>
        <w:t xml:space="preserve"> dla którego niezbędne jest pozyskanie pozwolenia na budowę</w:t>
      </w:r>
      <w:r w:rsidR="003A49FD">
        <w:rPr>
          <w:rFonts w:asciiTheme="minorHAnsi" w:hAnsiTheme="minorHAnsi" w:cstheme="minorHAnsi"/>
          <w:szCs w:val="24"/>
        </w:rPr>
        <w:t xml:space="preserve"> bądź</w:t>
      </w:r>
      <w:r w:rsidR="00C10A14">
        <w:rPr>
          <w:rFonts w:asciiTheme="minorHAnsi" w:hAnsiTheme="minorHAnsi" w:cstheme="minorHAnsi"/>
          <w:szCs w:val="24"/>
        </w:rPr>
        <w:t xml:space="preserve"> zgłoszenia </w:t>
      </w:r>
      <w:r w:rsidR="00001477">
        <w:rPr>
          <w:rFonts w:asciiTheme="minorHAnsi" w:hAnsiTheme="minorHAnsi" w:cstheme="minorHAnsi"/>
          <w:szCs w:val="24"/>
        </w:rPr>
        <w:t>budowy</w:t>
      </w:r>
      <w:r w:rsidR="001512DB">
        <w:rPr>
          <w:rFonts w:asciiTheme="minorHAnsi" w:hAnsiTheme="minorHAnsi" w:cstheme="minorHAnsi"/>
          <w:szCs w:val="24"/>
        </w:rPr>
        <w:t>,</w:t>
      </w:r>
      <w:r w:rsidR="00001477">
        <w:rPr>
          <w:rFonts w:asciiTheme="minorHAnsi" w:hAnsiTheme="minorHAnsi" w:cstheme="minorHAnsi"/>
          <w:szCs w:val="24"/>
        </w:rPr>
        <w:t xml:space="preserve"> </w:t>
      </w:r>
      <w:r w:rsidR="00C10A14">
        <w:rPr>
          <w:rFonts w:asciiTheme="minorHAnsi" w:hAnsiTheme="minorHAnsi" w:cstheme="minorHAnsi"/>
          <w:szCs w:val="24"/>
        </w:rPr>
        <w:t xml:space="preserve">zobowiązany jest przedłożyć </w:t>
      </w:r>
      <w:r w:rsidR="003D1463">
        <w:rPr>
          <w:rFonts w:asciiTheme="minorHAnsi" w:hAnsiTheme="minorHAnsi" w:cstheme="minorHAnsi"/>
          <w:szCs w:val="24"/>
        </w:rPr>
        <w:t>ww.</w:t>
      </w:r>
      <w:r w:rsidR="00C10A14">
        <w:rPr>
          <w:rFonts w:asciiTheme="minorHAnsi" w:hAnsiTheme="minorHAnsi" w:cstheme="minorHAnsi"/>
          <w:szCs w:val="24"/>
        </w:rPr>
        <w:t xml:space="preserve"> dokumenty. </w:t>
      </w:r>
      <w:r w:rsidRPr="0089006E">
        <w:rPr>
          <w:rFonts w:asciiTheme="minorHAnsi" w:hAnsiTheme="minorHAnsi" w:cstheme="minorHAnsi"/>
          <w:szCs w:val="24"/>
        </w:rPr>
        <w:t xml:space="preserve">Załączone </w:t>
      </w:r>
      <w:r w:rsidRPr="001670A5">
        <w:rPr>
          <w:rFonts w:asciiTheme="minorHAnsi" w:hAnsiTheme="minorHAnsi" w:cstheme="minorHAnsi"/>
          <w:szCs w:val="24"/>
          <w:u w:val="single"/>
        </w:rPr>
        <w:t xml:space="preserve">dokumenty powinny być </w:t>
      </w:r>
      <w:r w:rsidR="0039193B" w:rsidRPr="001670A5">
        <w:rPr>
          <w:rFonts w:asciiTheme="minorHAnsi" w:hAnsiTheme="minorHAnsi" w:cstheme="minorHAnsi"/>
          <w:szCs w:val="24"/>
          <w:u w:val="single"/>
        </w:rPr>
        <w:t>ostateczne</w:t>
      </w:r>
      <w:r w:rsidRPr="001670A5">
        <w:rPr>
          <w:rFonts w:asciiTheme="minorHAnsi" w:hAnsiTheme="minorHAnsi" w:cstheme="minorHAnsi"/>
          <w:szCs w:val="24"/>
          <w:u w:val="single"/>
        </w:rPr>
        <w:t xml:space="preserve"> i aktualne</w:t>
      </w:r>
      <w:r w:rsidRPr="0039193B">
        <w:rPr>
          <w:rFonts w:asciiTheme="minorHAnsi" w:hAnsiTheme="minorHAnsi" w:cstheme="minorHAnsi"/>
          <w:szCs w:val="24"/>
        </w:rPr>
        <w:t xml:space="preserve"> tzn.</w:t>
      </w:r>
      <w:r w:rsidR="00AF3D81">
        <w:rPr>
          <w:rFonts w:asciiTheme="minorHAnsi" w:hAnsiTheme="minorHAnsi" w:cstheme="minorHAnsi"/>
          <w:szCs w:val="24"/>
        </w:rPr>
        <w:t>:</w:t>
      </w:r>
    </w:p>
    <w:p w14:paraId="0614E88D" w14:textId="274B8E25" w:rsidR="0039193B" w:rsidRPr="0039193B" w:rsidRDefault="0089006E" w:rsidP="004D0859">
      <w:pPr>
        <w:pStyle w:val="Akapitzlist"/>
        <w:numPr>
          <w:ilvl w:val="0"/>
          <w:numId w:val="68"/>
        </w:numPr>
        <w:spacing w:before="120" w:after="40"/>
        <w:ind w:left="426"/>
        <w:rPr>
          <w:rFonts w:asciiTheme="minorHAnsi" w:hAnsiTheme="minorHAnsi" w:cstheme="minorHAnsi"/>
          <w:sz w:val="24"/>
          <w:szCs w:val="24"/>
        </w:rPr>
      </w:pPr>
      <w:r w:rsidRPr="0039193B">
        <w:rPr>
          <w:rFonts w:asciiTheme="minorHAnsi" w:hAnsiTheme="minorHAnsi" w:cstheme="minorHAnsi"/>
          <w:sz w:val="24"/>
          <w:szCs w:val="24"/>
        </w:rPr>
        <w:t xml:space="preserve">jeśli prace budowlane nie zostały rozpoczęte </w:t>
      </w:r>
      <w:r w:rsidRPr="0039193B">
        <w:rPr>
          <w:rFonts w:asciiTheme="minorHAnsi" w:hAnsiTheme="minorHAnsi" w:cstheme="minorHAnsi"/>
          <w:b/>
          <w:sz w:val="24"/>
          <w:szCs w:val="24"/>
        </w:rPr>
        <w:t xml:space="preserve">pozwolenie </w:t>
      </w:r>
      <w:r w:rsidR="00B1548F" w:rsidRPr="0039193B">
        <w:rPr>
          <w:rFonts w:asciiTheme="minorHAnsi" w:hAnsiTheme="minorHAnsi" w:cstheme="minorHAnsi"/>
          <w:b/>
          <w:sz w:val="24"/>
          <w:szCs w:val="24"/>
        </w:rPr>
        <w:t xml:space="preserve">na budowę </w:t>
      </w:r>
      <w:r w:rsidRPr="0039193B">
        <w:rPr>
          <w:rFonts w:asciiTheme="minorHAnsi" w:hAnsiTheme="minorHAnsi" w:cstheme="minorHAnsi"/>
          <w:b/>
          <w:sz w:val="24"/>
          <w:szCs w:val="24"/>
        </w:rPr>
        <w:t>nie powinno być starsze niż trzy lata</w:t>
      </w:r>
      <w:r w:rsidRPr="0039193B">
        <w:rPr>
          <w:rFonts w:asciiTheme="minorHAnsi" w:hAnsiTheme="minorHAnsi" w:cstheme="minorHAnsi"/>
          <w:sz w:val="24"/>
          <w:szCs w:val="24"/>
        </w:rPr>
        <w:t xml:space="preserve"> od dnia, w którym decyzja stała się ostateczna. </w:t>
      </w:r>
      <w:r w:rsidRPr="0039193B">
        <w:rPr>
          <w:rFonts w:asciiTheme="minorHAnsi" w:hAnsiTheme="minorHAnsi" w:cstheme="minorHAnsi"/>
          <w:sz w:val="24"/>
          <w:szCs w:val="24"/>
        </w:rPr>
        <w:br/>
        <w:t xml:space="preserve">Natomiast </w:t>
      </w:r>
      <w:r w:rsidRPr="0039193B">
        <w:rPr>
          <w:rFonts w:asciiTheme="minorHAnsi" w:hAnsiTheme="minorHAnsi" w:cstheme="minorHAnsi"/>
          <w:b/>
          <w:sz w:val="24"/>
          <w:szCs w:val="24"/>
        </w:rPr>
        <w:t>zgłoszenie budowy nie powinno być starsze niż trzy lata</w:t>
      </w:r>
      <w:r w:rsidRPr="0039193B">
        <w:rPr>
          <w:rFonts w:asciiTheme="minorHAnsi" w:hAnsiTheme="minorHAnsi" w:cstheme="minorHAnsi"/>
          <w:sz w:val="24"/>
          <w:szCs w:val="24"/>
        </w:rPr>
        <w:t xml:space="preserve"> od określonego </w:t>
      </w:r>
      <w:r w:rsidR="00A05EA4">
        <w:rPr>
          <w:rFonts w:asciiTheme="minorHAnsi" w:hAnsiTheme="minorHAnsi" w:cstheme="minorHAnsi"/>
          <w:sz w:val="24"/>
          <w:szCs w:val="24"/>
        </w:rPr>
        <w:br/>
      </w:r>
      <w:r w:rsidRPr="0039193B">
        <w:rPr>
          <w:rFonts w:asciiTheme="minorHAnsi" w:hAnsiTheme="minorHAnsi" w:cstheme="minorHAnsi"/>
          <w:sz w:val="24"/>
          <w:szCs w:val="24"/>
        </w:rPr>
        <w:t>w zgłoszeniu terminu rozpoczęcia prac budowlanych;</w:t>
      </w:r>
    </w:p>
    <w:p w14:paraId="4F2469B1" w14:textId="53026FCD" w:rsidR="0039193B" w:rsidRPr="0039193B" w:rsidRDefault="0089006E" w:rsidP="004D0859">
      <w:pPr>
        <w:pStyle w:val="Akapitzlist"/>
        <w:numPr>
          <w:ilvl w:val="0"/>
          <w:numId w:val="68"/>
        </w:numPr>
        <w:spacing w:before="120" w:after="40"/>
        <w:ind w:left="426"/>
        <w:rPr>
          <w:rFonts w:asciiTheme="minorHAnsi" w:hAnsiTheme="minorHAnsi" w:cstheme="minorHAnsi"/>
          <w:sz w:val="24"/>
          <w:szCs w:val="24"/>
        </w:rPr>
      </w:pPr>
      <w:r w:rsidRPr="0039193B">
        <w:rPr>
          <w:rFonts w:asciiTheme="minorHAnsi" w:hAnsiTheme="minorHAnsi" w:cstheme="minorHAnsi"/>
          <w:sz w:val="24"/>
          <w:szCs w:val="24"/>
        </w:rPr>
        <w:t xml:space="preserve">gdy prace budowlane zostały rozpoczęte, dodatkowo należy dostarczyć </w:t>
      </w:r>
      <w:r w:rsidR="0039193B" w:rsidRPr="0039193B">
        <w:rPr>
          <w:rFonts w:asciiTheme="minorHAnsi" w:hAnsiTheme="minorHAnsi" w:cstheme="minorHAnsi"/>
          <w:b/>
          <w:sz w:val="24"/>
          <w:szCs w:val="24"/>
        </w:rPr>
        <w:t xml:space="preserve">skan </w:t>
      </w:r>
      <w:r w:rsidRPr="0039193B">
        <w:rPr>
          <w:rFonts w:asciiTheme="minorHAnsi" w:hAnsiTheme="minorHAnsi" w:cstheme="minorHAnsi"/>
          <w:b/>
          <w:sz w:val="24"/>
          <w:szCs w:val="24"/>
        </w:rPr>
        <w:t>pierwszej strony dziennika budowy oraz stronę z ostatnim wpisem</w:t>
      </w:r>
      <w:r w:rsidRPr="0039193B">
        <w:rPr>
          <w:rFonts w:asciiTheme="minorHAnsi" w:hAnsiTheme="minorHAnsi" w:cstheme="minorHAnsi"/>
          <w:sz w:val="24"/>
          <w:szCs w:val="24"/>
        </w:rPr>
        <w:t>, który potwierdza ważność pozwolenia</w:t>
      </w:r>
      <w:r w:rsidR="00292431">
        <w:rPr>
          <w:rFonts w:asciiTheme="minorHAnsi" w:hAnsiTheme="minorHAnsi" w:cstheme="minorHAnsi"/>
          <w:sz w:val="24"/>
          <w:szCs w:val="24"/>
        </w:rPr>
        <w:t xml:space="preserve"> na budowę</w:t>
      </w:r>
      <w:r w:rsidR="00D74158" w:rsidRPr="0039193B">
        <w:rPr>
          <w:rFonts w:asciiTheme="minorHAnsi" w:hAnsiTheme="minorHAnsi" w:cstheme="minorHAnsi"/>
          <w:sz w:val="24"/>
          <w:szCs w:val="24"/>
        </w:rPr>
        <w:t>;</w:t>
      </w:r>
      <w:r w:rsidRPr="0039193B">
        <w:rPr>
          <w:rFonts w:asciiTheme="minorHAnsi" w:hAnsiTheme="minorHAnsi" w:cstheme="minorHAnsi"/>
          <w:sz w:val="24"/>
          <w:szCs w:val="24"/>
        </w:rPr>
        <w:t xml:space="preserve"> </w:t>
      </w:r>
    </w:p>
    <w:p w14:paraId="3A772B05" w14:textId="7E159BEB" w:rsidR="00AF3D81" w:rsidRPr="00AF3D81" w:rsidRDefault="00D74158" w:rsidP="00AF3D81">
      <w:pPr>
        <w:pStyle w:val="Akapitzlist"/>
        <w:numPr>
          <w:ilvl w:val="0"/>
          <w:numId w:val="68"/>
        </w:numPr>
        <w:spacing w:before="120" w:after="40"/>
        <w:ind w:left="426"/>
        <w:rPr>
          <w:rFonts w:asciiTheme="minorHAnsi" w:hAnsiTheme="minorHAnsi" w:cstheme="minorHAnsi"/>
          <w:sz w:val="24"/>
          <w:szCs w:val="24"/>
        </w:rPr>
      </w:pPr>
      <w:r w:rsidRPr="0039193B">
        <w:rPr>
          <w:rFonts w:asciiTheme="minorHAnsi" w:hAnsiTheme="minorHAnsi" w:cstheme="minorHAnsi"/>
          <w:sz w:val="24"/>
          <w:szCs w:val="24"/>
        </w:rPr>
        <w:t xml:space="preserve">niezbędna jest informacja o ostateczności decyzji </w:t>
      </w:r>
      <w:r w:rsidR="007F4476" w:rsidRPr="0039193B">
        <w:rPr>
          <w:rFonts w:asciiTheme="minorHAnsi" w:hAnsiTheme="minorHAnsi" w:cstheme="minorHAnsi"/>
          <w:sz w:val="24"/>
          <w:szCs w:val="24"/>
        </w:rPr>
        <w:t xml:space="preserve">o pozwoleniu na </w:t>
      </w:r>
      <w:r w:rsidR="0069698A" w:rsidRPr="0039193B">
        <w:rPr>
          <w:rFonts w:asciiTheme="minorHAnsi" w:hAnsiTheme="minorHAnsi" w:cstheme="minorHAnsi"/>
          <w:sz w:val="24"/>
          <w:szCs w:val="24"/>
        </w:rPr>
        <w:t>budow</w:t>
      </w:r>
      <w:r w:rsidR="007F4476" w:rsidRPr="0039193B">
        <w:rPr>
          <w:rFonts w:asciiTheme="minorHAnsi" w:hAnsiTheme="minorHAnsi" w:cstheme="minorHAnsi"/>
          <w:sz w:val="24"/>
          <w:szCs w:val="24"/>
        </w:rPr>
        <w:t>ę</w:t>
      </w:r>
      <w:r w:rsidR="0069698A" w:rsidRPr="0039193B">
        <w:rPr>
          <w:rFonts w:asciiTheme="minorHAnsi" w:hAnsiTheme="minorHAnsi" w:cstheme="minorHAnsi"/>
          <w:sz w:val="24"/>
          <w:szCs w:val="24"/>
        </w:rPr>
        <w:t xml:space="preserve"> </w:t>
      </w:r>
      <w:r w:rsidRPr="0039193B">
        <w:rPr>
          <w:rFonts w:asciiTheme="minorHAnsi" w:hAnsiTheme="minorHAnsi" w:cstheme="minorHAnsi"/>
          <w:sz w:val="24"/>
          <w:szCs w:val="24"/>
        </w:rPr>
        <w:t xml:space="preserve">w formie pieczęci o treści „decyzja ostateczna” lub adnotacji o tej treści na odpisie decyzji przez ten sam organ, który ją wydał lub </w:t>
      </w:r>
      <w:r w:rsidR="0069698A" w:rsidRPr="0039193B">
        <w:rPr>
          <w:rFonts w:asciiTheme="minorHAnsi" w:hAnsiTheme="minorHAnsi" w:cstheme="minorHAnsi"/>
          <w:sz w:val="24"/>
          <w:szCs w:val="24"/>
        </w:rPr>
        <w:t xml:space="preserve">zaświadczenia organu, że decyzja stała się ostateczna. </w:t>
      </w:r>
      <w:r w:rsidR="004269C0" w:rsidRPr="0039193B">
        <w:rPr>
          <w:rFonts w:asciiTheme="minorHAnsi" w:hAnsiTheme="minorHAnsi" w:cstheme="minorHAnsi"/>
          <w:sz w:val="24"/>
          <w:szCs w:val="24"/>
        </w:rPr>
        <w:t xml:space="preserve">W przypadku projektów realizowanych </w:t>
      </w:r>
      <w:r w:rsidR="00B06507" w:rsidRPr="0039193B">
        <w:rPr>
          <w:rFonts w:asciiTheme="minorHAnsi" w:hAnsiTheme="minorHAnsi" w:cstheme="minorHAnsi"/>
          <w:sz w:val="24"/>
          <w:szCs w:val="24"/>
        </w:rPr>
        <w:t>w oparciu o zgłoszenie budowy należy dostarczyć potwierdzenie organu, że nie wniósł sprzeciwu wobec zgłoszonego zamiaru wykonania robót budowlanych.</w:t>
      </w:r>
    </w:p>
    <w:p w14:paraId="18EEC7E4" w14:textId="77777777" w:rsidR="0089006E" w:rsidRPr="0089006E" w:rsidRDefault="0089006E" w:rsidP="00757490">
      <w:pPr>
        <w:spacing w:before="120" w:after="120" w:line="276" w:lineRule="auto"/>
        <w:rPr>
          <w:rFonts w:asciiTheme="minorHAnsi" w:hAnsiTheme="minorHAnsi" w:cstheme="minorHAnsi"/>
          <w:szCs w:val="24"/>
        </w:rPr>
      </w:pPr>
      <w:r w:rsidRPr="0089006E">
        <w:rPr>
          <w:rFonts w:asciiTheme="minorHAnsi" w:hAnsiTheme="minorHAnsi" w:cstheme="minorHAnsi"/>
          <w:szCs w:val="24"/>
        </w:rPr>
        <w:t>Informacje zawarte w pozwoleniu na budowę bądź zgłoszeniu budowy powinny być zbieżne z informacjami zawartymi we wniosku o dofinansowanie oraz pozostałych załącznikach.</w:t>
      </w:r>
    </w:p>
    <w:p w14:paraId="5D877976" w14:textId="6E6D7F88" w:rsidR="00E861E9" w:rsidRPr="0089006E" w:rsidRDefault="00E861E9" w:rsidP="00757490">
      <w:pPr>
        <w:spacing w:before="120" w:after="120" w:line="276" w:lineRule="auto"/>
        <w:rPr>
          <w:rFonts w:asciiTheme="minorHAnsi" w:hAnsiTheme="minorHAnsi" w:cstheme="minorHAnsi"/>
          <w:szCs w:val="24"/>
        </w:rPr>
      </w:pPr>
      <w:r>
        <w:rPr>
          <w:rFonts w:asciiTheme="minorHAnsi" w:hAnsiTheme="minorHAnsi" w:cstheme="minorHAnsi"/>
          <w:szCs w:val="24"/>
        </w:rPr>
        <w:t>R</w:t>
      </w:r>
      <w:r w:rsidRPr="0089006E">
        <w:rPr>
          <w:rFonts w:asciiTheme="minorHAnsi" w:hAnsiTheme="minorHAnsi" w:cstheme="minorHAnsi"/>
          <w:szCs w:val="24"/>
        </w:rPr>
        <w:t>ob</w:t>
      </w:r>
      <w:r>
        <w:rPr>
          <w:rFonts w:asciiTheme="minorHAnsi" w:hAnsiTheme="minorHAnsi" w:cstheme="minorHAnsi"/>
          <w:szCs w:val="24"/>
        </w:rPr>
        <w:t>o</w:t>
      </w:r>
      <w:r w:rsidRPr="0089006E">
        <w:rPr>
          <w:rFonts w:asciiTheme="minorHAnsi" w:hAnsiTheme="minorHAnsi" w:cstheme="minorHAnsi"/>
          <w:szCs w:val="24"/>
        </w:rPr>
        <w:t>t</w:t>
      </w:r>
      <w:r>
        <w:rPr>
          <w:rFonts w:asciiTheme="minorHAnsi" w:hAnsiTheme="minorHAnsi" w:cstheme="minorHAnsi"/>
          <w:szCs w:val="24"/>
        </w:rPr>
        <w:t>y</w:t>
      </w:r>
      <w:r w:rsidRPr="0089006E">
        <w:rPr>
          <w:rFonts w:asciiTheme="minorHAnsi" w:hAnsiTheme="minorHAnsi" w:cstheme="minorHAnsi"/>
          <w:szCs w:val="24"/>
        </w:rPr>
        <w:t xml:space="preserve"> budowlan</w:t>
      </w:r>
      <w:r>
        <w:rPr>
          <w:rFonts w:asciiTheme="minorHAnsi" w:hAnsiTheme="minorHAnsi" w:cstheme="minorHAnsi"/>
          <w:szCs w:val="24"/>
        </w:rPr>
        <w:t>e</w:t>
      </w:r>
      <w:r w:rsidRPr="0089006E">
        <w:rPr>
          <w:rFonts w:asciiTheme="minorHAnsi" w:hAnsiTheme="minorHAnsi" w:cstheme="minorHAnsi"/>
          <w:szCs w:val="24"/>
        </w:rPr>
        <w:t xml:space="preserve">, które wymagają zgłoszenia właściwemu organowi zostały określone w art. </w:t>
      </w:r>
      <w:r w:rsidR="00A937B9">
        <w:rPr>
          <w:rFonts w:asciiTheme="minorHAnsi" w:hAnsiTheme="minorHAnsi" w:cstheme="minorHAnsi"/>
          <w:szCs w:val="24"/>
        </w:rPr>
        <w:t>30</w:t>
      </w:r>
      <w:r w:rsidR="00001477" w:rsidRPr="0089006E">
        <w:rPr>
          <w:rFonts w:asciiTheme="minorHAnsi" w:hAnsiTheme="minorHAnsi" w:cstheme="minorHAnsi"/>
          <w:szCs w:val="24"/>
        </w:rPr>
        <w:t xml:space="preserve"> </w:t>
      </w:r>
      <w:r w:rsidRPr="0089006E">
        <w:rPr>
          <w:rFonts w:asciiTheme="minorHAnsi" w:hAnsiTheme="minorHAnsi" w:cstheme="minorHAnsi"/>
          <w:szCs w:val="24"/>
        </w:rPr>
        <w:t>Ustawy z dnia 7 lipca 1994 r. Prawo budowlane</w:t>
      </w:r>
      <w:r w:rsidR="000F31A8">
        <w:rPr>
          <w:rFonts w:asciiTheme="minorHAnsi" w:hAnsiTheme="minorHAnsi" w:cstheme="minorHAnsi"/>
          <w:szCs w:val="24"/>
        </w:rPr>
        <w:t>.</w:t>
      </w:r>
    </w:p>
    <w:p w14:paraId="6C14D5EF" w14:textId="25BB0954" w:rsidR="00AF3D81" w:rsidRDefault="00A937B9" w:rsidP="00757490">
      <w:pPr>
        <w:spacing w:before="120" w:after="120" w:line="276" w:lineRule="auto"/>
        <w:rPr>
          <w:rFonts w:asciiTheme="minorHAnsi" w:hAnsiTheme="minorHAnsi" w:cstheme="minorHAnsi"/>
          <w:b/>
          <w:szCs w:val="24"/>
          <w:u w:val="single"/>
        </w:rPr>
      </w:pPr>
      <w:r w:rsidRPr="00C02712">
        <w:rPr>
          <w:rFonts w:asciiTheme="minorHAnsi" w:hAnsiTheme="minorHAnsi" w:cstheme="minorHAnsi"/>
          <w:b/>
          <w:bCs/>
          <w:szCs w:val="24"/>
        </w:rPr>
        <w:t>W sytuacji, gdy na moment składania wniosku o dofinansowanie Wnioskodawca nie</w:t>
      </w:r>
      <w:r w:rsidR="001512DB">
        <w:rPr>
          <w:rFonts w:asciiTheme="minorHAnsi" w:hAnsiTheme="minorHAnsi" w:cstheme="minorHAnsi"/>
          <w:b/>
          <w:bCs/>
          <w:szCs w:val="24"/>
        </w:rPr>
        <w:t> </w:t>
      </w:r>
      <w:r w:rsidRPr="00C02712">
        <w:rPr>
          <w:rFonts w:asciiTheme="minorHAnsi" w:hAnsiTheme="minorHAnsi" w:cstheme="minorHAnsi"/>
          <w:b/>
          <w:bCs/>
          <w:szCs w:val="24"/>
        </w:rPr>
        <w:t>posiada jeszcze wyżej wymienionych dokumentów i jest w trakcie ich pozyskiwania</w:t>
      </w:r>
      <w:r w:rsidR="001512DB">
        <w:rPr>
          <w:rFonts w:asciiTheme="minorHAnsi" w:hAnsiTheme="minorHAnsi" w:cstheme="minorHAnsi"/>
          <w:b/>
          <w:bCs/>
          <w:szCs w:val="24"/>
        </w:rPr>
        <w:t>,</w:t>
      </w:r>
      <w:r w:rsidRPr="00C02712">
        <w:rPr>
          <w:rFonts w:asciiTheme="minorHAnsi" w:hAnsiTheme="minorHAnsi" w:cstheme="minorHAnsi"/>
          <w:b/>
          <w:bCs/>
          <w:szCs w:val="24"/>
        </w:rPr>
        <w:t xml:space="preserve"> zobowiązany jest złożyć stosowne oświadczenie z deklaracją dostarczenia wymaganych prawem budowlanym dokumentów </w:t>
      </w:r>
      <w:r w:rsidRPr="00BA2216">
        <w:rPr>
          <w:rFonts w:asciiTheme="minorHAnsi" w:hAnsiTheme="minorHAnsi" w:cstheme="minorHAnsi"/>
          <w:b/>
          <w:szCs w:val="24"/>
        </w:rPr>
        <w:t>w terminie nie dłuższym niż 60 dni kalendarzowych od</w:t>
      </w:r>
      <w:r w:rsidR="001512DB">
        <w:rPr>
          <w:rFonts w:asciiTheme="minorHAnsi" w:hAnsiTheme="minorHAnsi" w:cstheme="minorHAnsi"/>
          <w:b/>
          <w:szCs w:val="24"/>
        </w:rPr>
        <w:t> </w:t>
      </w:r>
      <w:r w:rsidRPr="00BA2216">
        <w:rPr>
          <w:rFonts w:asciiTheme="minorHAnsi" w:hAnsiTheme="minorHAnsi" w:cstheme="minorHAnsi"/>
          <w:b/>
          <w:szCs w:val="24"/>
        </w:rPr>
        <w:t xml:space="preserve">dnia podjęcia przez Zarząd Województwa Opolskiego – IZ FEO 2021-2027 uchwały </w:t>
      </w:r>
      <w:r>
        <w:rPr>
          <w:rFonts w:asciiTheme="minorHAnsi" w:hAnsiTheme="minorHAnsi" w:cstheme="minorHAnsi"/>
          <w:b/>
          <w:szCs w:val="24"/>
        </w:rPr>
        <w:br/>
      </w:r>
      <w:r w:rsidRPr="00BA2216">
        <w:rPr>
          <w:rFonts w:asciiTheme="minorHAnsi" w:hAnsiTheme="minorHAnsi" w:cstheme="minorHAnsi"/>
          <w:b/>
          <w:szCs w:val="24"/>
        </w:rPr>
        <w:t>o wyborze projektów do dofinansowania. W uzasadnionych przypadkach, na prośbę Wnioskodawcy, ZWO może wyrazić zgodę na wydłużenie ww. terminu.</w:t>
      </w:r>
      <w:r w:rsidR="00AF3D81" w:rsidRPr="00AF3D81">
        <w:rPr>
          <w:rFonts w:asciiTheme="minorHAnsi" w:hAnsiTheme="minorHAnsi" w:cstheme="minorHAnsi"/>
          <w:b/>
          <w:szCs w:val="24"/>
          <w:u w:val="single"/>
        </w:rPr>
        <w:t xml:space="preserve"> </w:t>
      </w:r>
    </w:p>
    <w:p w14:paraId="21F26A40" w14:textId="4BFA23BE" w:rsidR="00AF3D81" w:rsidRPr="00BB1A8E" w:rsidRDefault="00AF3D81" w:rsidP="00757490">
      <w:pPr>
        <w:spacing w:before="120" w:after="120" w:line="276" w:lineRule="auto"/>
        <w:rPr>
          <w:rFonts w:asciiTheme="minorHAnsi" w:hAnsiTheme="minorHAnsi" w:cstheme="minorHAnsi"/>
          <w:b/>
          <w:szCs w:val="24"/>
          <w:u w:val="single"/>
        </w:rPr>
      </w:pPr>
      <w:r w:rsidRPr="00BA2216">
        <w:rPr>
          <w:rFonts w:asciiTheme="minorHAnsi" w:hAnsiTheme="minorHAnsi" w:cstheme="minorHAnsi"/>
          <w:b/>
          <w:szCs w:val="24"/>
          <w:u w:val="single"/>
        </w:rPr>
        <w:t>W przypadku braku dostarczenia przez Wnioskodawcę przedmiotowych dokumentów w</w:t>
      </w:r>
      <w:r w:rsidR="001512DB">
        <w:rPr>
          <w:rFonts w:asciiTheme="minorHAnsi" w:hAnsiTheme="minorHAnsi" w:cstheme="minorHAnsi"/>
          <w:b/>
          <w:szCs w:val="24"/>
          <w:u w:val="single"/>
        </w:rPr>
        <w:t> </w:t>
      </w:r>
      <w:r w:rsidRPr="00BA2216">
        <w:rPr>
          <w:rFonts w:asciiTheme="minorHAnsi" w:hAnsiTheme="minorHAnsi" w:cstheme="minorHAnsi"/>
          <w:b/>
          <w:szCs w:val="24"/>
          <w:u w:val="single"/>
        </w:rPr>
        <w:t>ww. terminie, projekt utraci możliwość uzyskania dofinansowania.</w:t>
      </w:r>
    </w:p>
    <w:p w14:paraId="3C7BA601" w14:textId="77777777" w:rsidR="001512DB" w:rsidRDefault="00145E84" w:rsidP="001512DB">
      <w:pPr>
        <w:spacing w:before="240" w:line="276" w:lineRule="auto"/>
        <w:rPr>
          <w:rFonts w:asciiTheme="minorHAnsi" w:hAnsiTheme="minorHAnsi" w:cstheme="minorHAnsi"/>
          <w:szCs w:val="24"/>
        </w:rPr>
      </w:pPr>
      <w:r>
        <w:rPr>
          <w:rFonts w:asciiTheme="minorHAnsi" w:hAnsiTheme="minorHAnsi" w:cstheme="minorHAnsi"/>
          <w:b/>
          <w:bCs/>
          <w:szCs w:val="24"/>
        </w:rPr>
        <w:t>W przypadku, gdy prace budowlane planowane do realizacji w ramach danego przedsięwzięcia nie wymagają uzyskania pozwolenia na budowę lub zgłoszenia budowy, Wnioskodawca lub Partner (jeśli dotyczy) zobowiązany jest do przedłożenia oświadczenia o braku ww. wymogów.</w:t>
      </w:r>
      <w:r>
        <w:rPr>
          <w:rFonts w:asciiTheme="minorHAnsi" w:hAnsiTheme="minorHAnsi" w:cstheme="minorHAnsi"/>
          <w:b/>
          <w:bCs/>
          <w:szCs w:val="24"/>
        </w:rPr>
        <w:br/>
      </w:r>
    </w:p>
    <w:p w14:paraId="2E4C55DD" w14:textId="20AD895E" w:rsidR="001512DB" w:rsidRDefault="001512DB" w:rsidP="001512DB">
      <w:pPr>
        <w:spacing w:before="120" w:after="240" w:line="276" w:lineRule="auto"/>
        <w:rPr>
          <w:rFonts w:asciiTheme="minorHAnsi" w:hAnsiTheme="minorHAnsi" w:cstheme="minorHAnsi"/>
          <w:szCs w:val="24"/>
        </w:rPr>
      </w:pPr>
      <w:r>
        <w:rPr>
          <w:rFonts w:asciiTheme="minorHAnsi" w:hAnsiTheme="minorHAnsi" w:cstheme="minorHAnsi"/>
          <w:szCs w:val="24"/>
        </w:rPr>
        <w:t xml:space="preserve">Natomiast gdy Wnioskodawca planuje </w:t>
      </w:r>
      <w:r w:rsidRPr="001512DB">
        <w:rPr>
          <w:rFonts w:asciiTheme="minorHAnsi" w:hAnsiTheme="minorHAnsi" w:cstheme="minorHAnsi"/>
          <w:b/>
          <w:bCs/>
          <w:szCs w:val="24"/>
        </w:rPr>
        <w:t xml:space="preserve">realizować projekt w formule zaprojektuj i wybuduj, </w:t>
      </w:r>
      <w:r>
        <w:rPr>
          <w:rFonts w:asciiTheme="minorHAnsi" w:hAnsiTheme="minorHAnsi" w:cstheme="minorHAnsi"/>
          <w:szCs w:val="24"/>
        </w:rPr>
        <w:t xml:space="preserve">tj. na podstawie </w:t>
      </w:r>
      <w:r w:rsidRPr="0089006E">
        <w:rPr>
          <w:rFonts w:asciiTheme="minorHAnsi" w:hAnsiTheme="minorHAnsi" w:cstheme="minorHAnsi"/>
          <w:szCs w:val="24"/>
        </w:rPr>
        <w:t>program</w:t>
      </w:r>
      <w:r>
        <w:rPr>
          <w:rFonts w:asciiTheme="minorHAnsi" w:hAnsiTheme="minorHAnsi" w:cstheme="minorHAnsi"/>
          <w:szCs w:val="24"/>
        </w:rPr>
        <w:t>u</w:t>
      </w:r>
      <w:r w:rsidRPr="0089006E">
        <w:rPr>
          <w:rFonts w:asciiTheme="minorHAnsi" w:hAnsiTheme="minorHAnsi" w:cstheme="minorHAnsi"/>
          <w:szCs w:val="24"/>
        </w:rPr>
        <w:t xml:space="preserve"> funkcjonalno-użytkow</w:t>
      </w:r>
      <w:r>
        <w:rPr>
          <w:rFonts w:asciiTheme="minorHAnsi" w:hAnsiTheme="minorHAnsi" w:cstheme="minorHAnsi"/>
          <w:szCs w:val="24"/>
        </w:rPr>
        <w:t>ego</w:t>
      </w:r>
      <w:r w:rsidRPr="0089006E">
        <w:rPr>
          <w:rFonts w:asciiTheme="minorHAnsi" w:hAnsiTheme="minorHAnsi" w:cstheme="minorHAnsi"/>
          <w:szCs w:val="24"/>
        </w:rPr>
        <w:t xml:space="preserve"> dostarczenie pozwolenia na</w:t>
      </w:r>
      <w:r>
        <w:rPr>
          <w:rFonts w:asciiTheme="minorHAnsi" w:hAnsiTheme="minorHAnsi" w:cstheme="minorHAnsi"/>
          <w:szCs w:val="24"/>
        </w:rPr>
        <w:t> </w:t>
      </w:r>
      <w:r w:rsidRPr="0089006E">
        <w:rPr>
          <w:rFonts w:asciiTheme="minorHAnsi" w:hAnsiTheme="minorHAnsi" w:cstheme="minorHAnsi"/>
          <w:szCs w:val="24"/>
        </w:rPr>
        <w:t xml:space="preserve">budowę </w:t>
      </w:r>
      <w:r w:rsidRPr="0089006E">
        <w:rPr>
          <w:rFonts w:asciiTheme="minorHAnsi" w:hAnsiTheme="minorHAnsi" w:cstheme="minorHAnsi"/>
          <w:szCs w:val="24"/>
        </w:rPr>
        <w:lastRenderedPageBreak/>
        <w:t>przed podpisaniem umowy</w:t>
      </w:r>
      <w:r>
        <w:rPr>
          <w:rFonts w:asciiTheme="minorHAnsi" w:hAnsiTheme="minorHAnsi" w:cstheme="minorHAnsi"/>
          <w:szCs w:val="24"/>
        </w:rPr>
        <w:t>/podjęciem decyzji</w:t>
      </w:r>
      <w:r w:rsidRPr="0089006E">
        <w:rPr>
          <w:rFonts w:asciiTheme="minorHAnsi" w:hAnsiTheme="minorHAnsi" w:cstheme="minorHAnsi"/>
          <w:szCs w:val="24"/>
        </w:rPr>
        <w:t xml:space="preserve"> nie jest wymagane ze względu na specyfikę projektu. W</w:t>
      </w:r>
      <w:r>
        <w:rPr>
          <w:rFonts w:asciiTheme="minorHAnsi" w:hAnsiTheme="minorHAnsi" w:cstheme="minorHAnsi"/>
          <w:szCs w:val="24"/>
        </w:rPr>
        <w:t> tej sytuacji W</w:t>
      </w:r>
      <w:r w:rsidRPr="0089006E">
        <w:rPr>
          <w:rFonts w:asciiTheme="minorHAnsi" w:hAnsiTheme="minorHAnsi" w:cstheme="minorHAnsi"/>
          <w:szCs w:val="24"/>
        </w:rPr>
        <w:t>nioskodawcy na etapie składania wniosku o dofinansowanie zobowiązani są</w:t>
      </w:r>
      <w:r>
        <w:rPr>
          <w:rFonts w:asciiTheme="minorHAnsi" w:hAnsiTheme="minorHAnsi" w:cstheme="minorHAnsi"/>
          <w:szCs w:val="24"/>
        </w:rPr>
        <w:t> </w:t>
      </w:r>
      <w:r w:rsidRPr="0089006E">
        <w:rPr>
          <w:rFonts w:asciiTheme="minorHAnsi" w:hAnsiTheme="minorHAnsi" w:cstheme="minorHAnsi"/>
          <w:szCs w:val="24"/>
        </w:rPr>
        <w:t>dostarczyć jeden z dokumentów wymienionych w pkt. 3.2</w:t>
      </w:r>
      <w:r w:rsidRPr="00B1548F">
        <w:rPr>
          <w:rFonts w:asciiTheme="minorHAnsi" w:hAnsiTheme="minorHAnsi" w:cstheme="minorHAnsi"/>
          <w:szCs w:val="24"/>
        </w:rPr>
        <w:t xml:space="preserve"> </w:t>
      </w:r>
      <w:r>
        <w:rPr>
          <w:rFonts w:asciiTheme="minorHAnsi" w:hAnsiTheme="minorHAnsi" w:cstheme="minorHAnsi"/>
          <w:szCs w:val="24"/>
        </w:rPr>
        <w:t>dotyczących zagospodarowania przestrzennego uwzględniające wszystkie nieruchomości, na których realizowany jest projekt.</w:t>
      </w:r>
      <w:r w:rsidRPr="0089006E">
        <w:rPr>
          <w:rFonts w:asciiTheme="minorHAnsi" w:hAnsiTheme="minorHAnsi" w:cstheme="minorHAnsi"/>
          <w:szCs w:val="24"/>
        </w:rPr>
        <w:t xml:space="preserve"> </w:t>
      </w:r>
      <w:r>
        <w:rPr>
          <w:rFonts w:asciiTheme="minorHAnsi" w:hAnsiTheme="minorHAnsi" w:cstheme="minorHAnsi"/>
          <w:szCs w:val="24"/>
        </w:rPr>
        <w:t>P</w:t>
      </w:r>
      <w:r w:rsidRPr="0089006E">
        <w:rPr>
          <w:rFonts w:asciiTheme="minorHAnsi" w:hAnsiTheme="minorHAnsi" w:cstheme="minorHAnsi"/>
          <w:szCs w:val="24"/>
        </w:rPr>
        <w:t xml:space="preserve">ozwolenie budowlane </w:t>
      </w:r>
      <w:r>
        <w:rPr>
          <w:rFonts w:asciiTheme="minorHAnsi" w:hAnsiTheme="minorHAnsi" w:cstheme="minorHAnsi"/>
          <w:szCs w:val="24"/>
        </w:rPr>
        <w:t>należy</w:t>
      </w:r>
      <w:r w:rsidRPr="0089006E">
        <w:rPr>
          <w:rFonts w:asciiTheme="minorHAnsi" w:hAnsiTheme="minorHAnsi" w:cstheme="minorHAnsi"/>
          <w:szCs w:val="24"/>
        </w:rPr>
        <w:t xml:space="preserve"> dostarczyć niezwłocznie po jego </w:t>
      </w:r>
      <w:r>
        <w:rPr>
          <w:rFonts w:asciiTheme="minorHAnsi" w:hAnsiTheme="minorHAnsi" w:cstheme="minorHAnsi"/>
          <w:szCs w:val="24"/>
        </w:rPr>
        <w:t>uzyskaniu</w:t>
      </w:r>
      <w:r w:rsidRPr="0089006E">
        <w:rPr>
          <w:rFonts w:asciiTheme="minorHAnsi" w:hAnsiTheme="minorHAnsi" w:cstheme="minorHAnsi"/>
          <w:szCs w:val="24"/>
        </w:rPr>
        <w:t xml:space="preserve"> wraz z potwierdzeniem, iż decyzja stała się ostateczna.</w:t>
      </w:r>
      <w:r>
        <w:rPr>
          <w:rFonts w:asciiTheme="minorHAnsi" w:hAnsiTheme="minorHAnsi" w:cstheme="minorHAnsi"/>
          <w:szCs w:val="24"/>
        </w:rPr>
        <w:t xml:space="preserve"> Dokumenty wskazane w pkt. 3.2 wymagane są w szczególności, gdy wniosek obejmuje swoim zakresem np. budowę nowych obiektów, zmianę sposobu użytkowania obiektów co pozwoli podczas oceny projektu potwierdzić możliwość realizacji zaplanowanych przez Wnioskodawcę przedsięwzięć. </w:t>
      </w:r>
    </w:p>
    <w:p w14:paraId="485FAE2E" w14:textId="77777777" w:rsidR="0089006E" w:rsidRPr="0089006E" w:rsidRDefault="0089006E" w:rsidP="004D0859">
      <w:pPr>
        <w:numPr>
          <w:ilvl w:val="0"/>
          <w:numId w:val="65"/>
        </w:numPr>
        <w:tabs>
          <w:tab w:val="left" w:pos="709"/>
        </w:tabs>
        <w:suppressAutoHyphens w:val="0"/>
        <w:spacing w:after="120" w:line="276" w:lineRule="auto"/>
        <w:ind w:left="709" w:hanging="709"/>
        <w:rPr>
          <w:rFonts w:asciiTheme="minorHAnsi" w:hAnsiTheme="minorHAnsi" w:cstheme="minorHAnsi"/>
          <w:szCs w:val="24"/>
        </w:rPr>
      </w:pPr>
      <w:r w:rsidRPr="0089006E">
        <w:rPr>
          <w:rFonts w:asciiTheme="minorHAnsi" w:hAnsiTheme="minorHAnsi" w:cstheme="minorHAnsi"/>
          <w:b/>
          <w:szCs w:val="24"/>
        </w:rPr>
        <w:t>DOKUMENTY DOTYCZĄCE ZAGOSPODAROWANIA PRZESTRZENNEGO</w:t>
      </w:r>
    </w:p>
    <w:p w14:paraId="7F9667B0" w14:textId="62066357" w:rsidR="005568A6" w:rsidRDefault="0089006E" w:rsidP="001512DB">
      <w:pPr>
        <w:spacing w:before="120" w:after="120" w:line="276" w:lineRule="auto"/>
        <w:rPr>
          <w:rFonts w:asciiTheme="minorHAnsi" w:hAnsiTheme="minorHAnsi" w:cstheme="minorHAnsi"/>
          <w:szCs w:val="24"/>
        </w:rPr>
      </w:pPr>
      <w:r w:rsidRPr="0089006E">
        <w:rPr>
          <w:rFonts w:asciiTheme="minorHAnsi" w:hAnsiTheme="minorHAnsi" w:cstheme="minorHAnsi"/>
          <w:szCs w:val="24"/>
        </w:rPr>
        <w:t xml:space="preserve">W przypadku projektów </w:t>
      </w:r>
      <w:r w:rsidR="00E861E9">
        <w:rPr>
          <w:rFonts w:asciiTheme="minorHAnsi" w:hAnsiTheme="minorHAnsi" w:cstheme="minorHAnsi"/>
          <w:szCs w:val="24"/>
        </w:rPr>
        <w:t>realizowanych w formule zaprojektuj i wybuduj</w:t>
      </w:r>
      <w:r w:rsidR="00B069BD">
        <w:rPr>
          <w:rFonts w:asciiTheme="minorHAnsi" w:hAnsiTheme="minorHAnsi" w:cstheme="minorHAnsi"/>
          <w:szCs w:val="24"/>
        </w:rPr>
        <w:t>,</w:t>
      </w:r>
      <w:r w:rsidR="00E861E9">
        <w:rPr>
          <w:rFonts w:asciiTheme="minorHAnsi" w:hAnsiTheme="minorHAnsi" w:cstheme="minorHAnsi"/>
          <w:szCs w:val="24"/>
        </w:rPr>
        <w:t xml:space="preserve"> tj.</w:t>
      </w:r>
      <w:r w:rsidR="00145E84">
        <w:rPr>
          <w:rFonts w:asciiTheme="minorHAnsi" w:hAnsiTheme="minorHAnsi" w:cstheme="minorHAnsi"/>
          <w:szCs w:val="24"/>
        </w:rPr>
        <w:t xml:space="preserve"> </w:t>
      </w:r>
      <w:r w:rsidR="00E861E9">
        <w:rPr>
          <w:rFonts w:asciiTheme="minorHAnsi" w:hAnsiTheme="minorHAnsi" w:cstheme="minorHAnsi"/>
          <w:szCs w:val="24"/>
        </w:rPr>
        <w:t xml:space="preserve">na podstawie </w:t>
      </w:r>
      <w:r w:rsidR="00E861E9" w:rsidRPr="0089006E">
        <w:rPr>
          <w:rFonts w:asciiTheme="minorHAnsi" w:hAnsiTheme="minorHAnsi" w:cstheme="minorHAnsi"/>
          <w:szCs w:val="24"/>
        </w:rPr>
        <w:t>program</w:t>
      </w:r>
      <w:r w:rsidR="00E861E9">
        <w:rPr>
          <w:rFonts w:asciiTheme="minorHAnsi" w:hAnsiTheme="minorHAnsi" w:cstheme="minorHAnsi"/>
          <w:szCs w:val="24"/>
        </w:rPr>
        <w:t>u</w:t>
      </w:r>
      <w:r w:rsidR="00E861E9" w:rsidRPr="0089006E">
        <w:rPr>
          <w:rFonts w:asciiTheme="minorHAnsi" w:hAnsiTheme="minorHAnsi" w:cstheme="minorHAnsi"/>
          <w:szCs w:val="24"/>
        </w:rPr>
        <w:t xml:space="preserve"> funkcjonalno-użytkow</w:t>
      </w:r>
      <w:r w:rsidR="00E861E9">
        <w:rPr>
          <w:rFonts w:asciiTheme="minorHAnsi" w:hAnsiTheme="minorHAnsi" w:cstheme="minorHAnsi"/>
          <w:szCs w:val="24"/>
        </w:rPr>
        <w:t>ego</w:t>
      </w:r>
      <w:r w:rsidRPr="0089006E">
        <w:rPr>
          <w:rFonts w:asciiTheme="minorHAnsi" w:hAnsiTheme="minorHAnsi" w:cstheme="minorHAnsi"/>
          <w:szCs w:val="24"/>
        </w:rPr>
        <w:t xml:space="preserve">, do wniosku o dofinansowanie </w:t>
      </w:r>
      <w:r w:rsidR="00F850B4">
        <w:rPr>
          <w:rFonts w:asciiTheme="minorHAnsi" w:hAnsiTheme="minorHAnsi" w:cstheme="minorHAnsi"/>
          <w:szCs w:val="24"/>
        </w:rPr>
        <w:t>W</w:t>
      </w:r>
      <w:r w:rsidRPr="0089006E">
        <w:rPr>
          <w:rFonts w:asciiTheme="minorHAnsi" w:hAnsiTheme="minorHAnsi" w:cstheme="minorHAnsi"/>
          <w:szCs w:val="24"/>
        </w:rPr>
        <w:t>nioskodawca zobowiązany jest dołączyć właściwe dokumenty opisane w pkt. 3.2.1, 3.2.2 oraz 3.2.3.</w:t>
      </w:r>
      <w:r w:rsidR="005568A6">
        <w:rPr>
          <w:rFonts w:asciiTheme="minorHAnsi" w:hAnsiTheme="minorHAnsi" w:cstheme="minorHAnsi"/>
          <w:szCs w:val="24"/>
        </w:rPr>
        <w:t xml:space="preserve"> </w:t>
      </w:r>
      <w:r w:rsidRPr="0089006E">
        <w:rPr>
          <w:rFonts w:asciiTheme="minorHAnsi" w:hAnsiTheme="minorHAnsi" w:cstheme="minorHAnsi"/>
          <w:szCs w:val="24"/>
        </w:rPr>
        <w:t xml:space="preserve"> </w:t>
      </w:r>
    </w:p>
    <w:p w14:paraId="4B2FD2D5" w14:textId="77777777" w:rsidR="0089006E" w:rsidRPr="0089006E" w:rsidRDefault="0089006E" w:rsidP="0089006E">
      <w:pPr>
        <w:spacing w:before="360" w:after="120" w:line="276" w:lineRule="auto"/>
        <w:ind w:left="902" w:hanging="902"/>
        <w:rPr>
          <w:rFonts w:asciiTheme="minorHAnsi" w:hAnsiTheme="minorHAnsi" w:cstheme="minorHAnsi"/>
          <w:color w:val="000000"/>
          <w:szCs w:val="24"/>
        </w:rPr>
      </w:pPr>
      <w:r w:rsidRPr="0089006E">
        <w:rPr>
          <w:rFonts w:asciiTheme="minorHAnsi" w:hAnsiTheme="minorHAnsi" w:cstheme="minorHAnsi"/>
          <w:b/>
          <w:bCs/>
          <w:color w:val="000000"/>
          <w:szCs w:val="24"/>
        </w:rPr>
        <w:t>3.2.1</w:t>
      </w:r>
      <w:r w:rsidRPr="0089006E">
        <w:rPr>
          <w:rFonts w:asciiTheme="minorHAnsi" w:hAnsiTheme="minorHAnsi" w:cstheme="minorHAnsi"/>
          <w:color w:val="000000"/>
          <w:szCs w:val="24"/>
        </w:rPr>
        <w:t> </w:t>
      </w:r>
      <w:r w:rsidRPr="0089006E">
        <w:rPr>
          <w:rFonts w:asciiTheme="minorHAnsi" w:hAnsiTheme="minorHAnsi" w:cstheme="minorHAnsi"/>
          <w:b/>
          <w:bCs/>
          <w:color w:val="000000"/>
          <w:szCs w:val="24"/>
        </w:rPr>
        <w:t>WYPIS I WYRYS Z MIEJSCOWEGO PLANU ZAGOSPODAROWANIA PRZESTRZENNEGO</w:t>
      </w:r>
    </w:p>
    <w:p w14:paraId="04B81A03" w14:textId="59939726" w:rsidR="0089006E" w:rsidRPr="0089006E" w:rsidRDefault="0089006E" w:rsidP="001512DB">
      <w:pPr>
        <w:spacing w:before="120" w:after="240" w:line="276" w:lineRule="auto"/>
        <w:rPr>
          <w:rFonts w:asciiTheme="minorHAnsi" w:hAnsiTheme="minorHAnsi" w:cstheme="minorHAnsi"/>
          <w:color w:val="000000"/>
          <w:szCs w:val="24"/>
        </w:rPr>
      </w:pPr>
      <w:r w:rsidRPr="0089006E">
        <w:rPr>
          <w:rFonts w:asciiTheme="minorHAnsi" w:hAnsiTheme="minorHAnsi" w:cstheme="minorHAnsi"/>
          <w:color w:val="000000"/>
          <w:szCs w:val="24"/>
        </w:rPr>
        <w:t>Należy dołączyć aktualny wypis i wyrys z obowiązującego miejscowego planu zagospodarowania przestrzennego, określający przeznaczenie terenu</w:t>
      </w:r>
      <w:r w:rsidR="00612121" w:rsidRPr="00612121">
        <w:rPr>
          <w:rFonts w:asciiTheme="minorHAnsi" w:hAnsiTheme="minorHAnsi" w:cstheme="minorHAnsi"/>
          <w:color w:val="000000"/>
          <w:szCs w:val="24"/>
        </w:rPr>
        <w:t xml:space="preserve"> </w:t>
      </w:r>
      <w:r w:rsidR="00612121">
        <w:rPr>
          <w:rFonts w:asciiTheme="minorHAnsi" w:hAnsiTheme="minorHAnsi" w:cstheme="minorHAnsi"/>
          <w:color w:val="000000"/>
          <w:szCs w:val="24"/>
        </w:rPr>
        <w:t>oraz zawierający numery działek</w:t>
      </w:r>
      <w:r w:rsidRPr="0089006E">
        <w:rPr>
          <w:rFonts w:asciiTheme="minorHAnsi" w:hAnsiTheme="minorHAnsi" w:cstheme="minorHAnsi"/>
          <w:color w:val="000000"/>
          <w:szCs w:val="24"/>
        </w:rPr>
        <w:t>, na który</w:t>
      </w:r>
      <w:r w:rsidR="00612121">
        <w:rPr>
          <w:rFonts w:asciiTheme="minorHAnsi" w:hAnsiTheme="minorHAnsi" w:cstheme="minorHAnsi"/>
          <w:color w:val="000000"/>
          <w:szCs w:val="24"/>
        </w:rPr>
        <w:t>ch</w:t>
      </w:r>
      <w:r w:rsidRPr="0089006E">
        <w:rPr>
          <w:rFonts w:asciiTheme="minorHAnsi" w:hAnsiTheme="minorHAnsi" w:cstheme="minorHAnsi"/>
          <w:color w:val="000000"/>
          <w:szCs w:val="24"/>
        </w:rPr>
        <w:t xml:space="preserve"> będzie realizowany projekt.</w:t>
      </w:r>
    </w:p>
    <w:p w14:paraId="25CA9665" w14:textId="0B9B0210" w:rsidR="0089006E" w:rsidRPr="0089006E" w:rsidRDefault="009C07F8" w:rsidP="0089006E">
      <w:pPr>
        <w:spacing w:before="360" w:after="120" w:line="276" w:lineRule="auto"/>
        <w:ind w:left="902" w:hanging="851"/>
        <w:rPr>
          <w:rFonts w:asciiTheme="minorHAnsi" w:hAnsiTheme="minorHAnsi" w:cstheme="minorHAnsi"/>
          <w:color w:val="000000"/>
          <w:szCs w:val="24"/>
        </w:rPr>
      </w:pPr>
      <w:r w:rsidRPr="0089006E">
        <w:rPr>
          <w:rFonts w:asciiTheme="minorHAnsi" w:hAnsiTheme="minorHAnsi" w:cstheme="minorHAnsi"/>
          <w:b/>
          <w:bCs/>
          <w:color w:val="000000"/>
          <w:szCs w:val="24"/>
        </w:rPr>
        <w:t>3.2.2</w:t>
      </w:r>
      <w:r w:rsidRPr="0089006E">
        <w:rPr>
          <w:rFonts w:asciiTheme="minorHAnsi" w:hAnsiTheme="minorHAnsi" w:cstheme="minorHAnsi"/>
          <w:color w:val="000000"/>
          <w:szCs w:val="24"/>
        </w:rPr>
        <w:t xml:space="preserve"> </w:t>
      </w:r>
      <w:r w:rsidRPr="009C07F8">
        <w:rPr>
          <w:rFonts w:asciiTheme="minorHAnsi" w:hAnsiTheme="minorHAnsi" w:cstheme="minorHAnsi"/>
          <w:b/>
          <w:bCs/>
          <w:color w:val="000000"/>
          <w:szCs w:val="24"/>
        </w:rPr>
        <w:t>DECYZJA</w:t>
      </w:r>
      <w:r w:rsidR="0089006E" w:rsidRPr="009C07F8">
        <w:rPr>
          <w:rFonts w:asciiTheme="minorHAnsi" w:hAnsiTheme="minorHAnsi" w:cstheme="minorHAnsi"/>
          <w:b/>
          <w:bCs/>
          <w:color w:val="000000"/>
          <w:szCs w:val="24"/>
        </w:rPr>
        <w:t xml:space="preserve"> </w:t>
      </w:r>
      <w:r w:rsidR="0089006E" w:rsidRPr="0089006E">
        <w:rPr>
          <w:rFonts w:asciiTheme="minorHAnsi" w:hAnsiTheme="minorHAnsi" w:cstheme="minorHAnsi"/>
          <w:b/>
          <w:bCs/>
          <w:color w:val="000000"/>
          <w:szCs w:val="24"/>
        </w:rPr>
        <w:t>O USTALENIU LOKALIZACJI INWESTYCJI CELU PUBLICZNEGO</w:t>
      </w:r>
    </w:p>
    <w:p w14:paraId="09377A43" w14:textId="77777777" w:rsidR="006403DA" w:rsidRDefault="0089006E" w:rsidP="001512DB">
      <w:pPr>
        <w:spacing w:before="120" w:after="120" w:line="276" w:lineRule="auto"/>
        <w:rPr>
          <w:rFonts w:asciiTheme="minorHAnsi" w:hAnsiTheme="minorHAnsi" w:cstheme="minorHAnsi"/>
          <w:b/>
          <w:bCs/>
          <w:color w:val="000000"/>
          <w:szCs w:val="24"/>
        </w:rPr>
      </w:pPr>
      <w:r w:rsidRPr="0089006E">
        <w:rPr>
          <w:rFonts w:asciiTheme="minorHAnsi" w:hAnsiTheme="minorHAnsi" w:cstheme="minorHAnsi"/>
          <w:color w:val="000000"/>
          <w:szCs w:val="24"/>
        </w:rPr>
        <w:t>Dokument ten jest sporządzany w przypadku braku miejscowego planu zagospodarowania przestrzennego </w:t>
      </w:r>
      <w:r w:rsidRPr="0089006E">
        <w:rPr>
          <w:rFonts w:asciiTheme="minorHAnsi" w:hAnsiTheme="minorHAnsi" w:cstheme="minorHAnsi"/>
          <w:b/>
          <w:bCs/>
          <w:color w:val="000000"/>
          <w:szCs w:val="24"/>
        </w:rPr>
        <w:t>dla tych projektów</w:t>
      </w:r>
      <w:r w:rsidRPr="0089006E">
        <w:rPr>
          <w:rFonts w:asciiTheme="minorHAnsi" w:hAnsiTheme="minorHAnsi" w:cstheme="minorHAnsi"/>
          <w:color w:val="000000"/>
          <w:szCs w:val="24"/>
        </w:rPr>
        <w:t>, dla których jest on wymagany </w:t>
      </w:r>
      <w:r w:rsidRPr="0089006E">
        <w:rPr>
          <w:rFonts w:asciiTheme="minorHAnsi" w:hAnsiTheme="minorHAnsi" w:cstheme="minorHAnsi"/>
          <w:b/>
          <w:bCs/>
          <w:color w:val="000000"/>
          <w:szCs w:val="24"/>
        </w:rPr>
        <w:t>zgodnie z przepisami art. 50 ustawy z dnia 27 marca 2003 r. o planowaniu i zagospodarowaniu przestrzennym</w:t>
      </w:r>
      <w:r w:rsidR="00145E84">
        <w:rPr>
          <w:rFonts w:asciiTheme="minorHAnsi" w:hAnsiTheme="minorHAnsi" w:cstheme="minorHAnsi"/>
          <w:b/>
          <w:bCs/>
          <w:color w:val="000000"/>
          <w:szCs w:val="24"/>
        </w:rPr>
        <w:t>.</w:t>
      </w:r>
      <w:r w:rsidR="00A937B9">
        <w:rPr>
          <w:rFonts w:asciiTheme="minorHAnsi" w:hAnsiTheme="minorHAnsi" w:cstheme="minorHAnsi"/>
          <w:color w:val="000000"/>
          <w:szCs w:val="24"/>
        </w:rPr>
        <w:t xml:space="preserve"> </w:t>
      </w:r>
      <w:r w:rsidR="00145E84">
        <w:rPr>
          <w:rFonts w:asciiTheme="minorHAnsi" w:hAnsiTheme="minorHAnsi" w:cstheme="minorHAnsi"/>
          <w:color w:val="000000"/>
          <w:szCs w:val="24"/>
        </w:rPr>
        <w:br/>
      </w:r>
    </w:p>
    <w:p w14:paraId="3FBE64E5" w14:textId="783E4DB1" w:rsidR="0089006E" w:rsidRPr="0089006E" w:rsidRDefault="0089006E" w:rsidP="001512DB">
      <w:pPr>
        <w:spacing w:before="120" w:after="120" w:line="276" w:lineRule="auto"/>
        <w:rPr>
          <w:rFonts w:asciiTheme="minorHAnsi" w:hAnsiTheme="minorHAnsi" w:cstheme="minorHAnsi"/>
          <w:color w:val="000000"/>
          <w:szCs w:val="24"/>
        </w:rPr>
      </w:pPr>
      <w:r w:rsidRPr="0089006E">
        <w:rPr>
          <w:rFonts w:asciiTheme="minorHAnsi" w:hAnsiTheme="minorHAnsi" w:cstheme="minorHAnsi"/>
          <w:b/>
          <w:bCs/>
          <w:color w:val="000000"/>
          <w:szCs w:val="24"/>
        </w:rPr>
        <w:t>3.2.3 DECYZJ</w:t>
      </w:r>
      <w:r w:rsidR="00CE009D">
        <w:rPr>
          <w:rFonts w:asciiTheme="minorHAnsi" w:hAnsiTheme="minorHAnsi" w:cstheme="minorHAnsi"/>
          <w:b/>
          <w:bCs/>
          <w:color w:val="000000"/>
          <w:szCs w:val="24"/>
        </w:rPr>
        <w:t>A</w:t>
      </w:r>
      <w:r w:rsidRPr="0089006E">
        <w:rPr>
          <w:rFonts w:asciiTheme="minorHAnsi" w:hAnsiTheme="minorHAnsi" w:cstheme="minorHAnsi"/>
          <w:b/>
          <w:bCs/>
          <w:color w:val="000000"/>
          <w:szCs w:val="24"/>
        </w:rPr>
        <w:t xml:space="preserve"> O WARUNKACH ZABUDOWY </w:t>
      </w:r>
    </w:p>
    <w:p w14:paraId="0631688E" w14:textId="2D808112" w:rsidR="0089006E" w:rsidRPr="0089006E" w:rsidRDefault="0089006E" w:rsidP="001512DB">
      <w:pPr>
        <w:spacing w:before="120" w:after="120" w:line="276" w:lineRule="auto"/>
        <w:rPr>
          <w:rFonts w:asciiTheme="minorHAnsi" w:hAnsiTheme="minorHAnsi" w:cstheme="minorHAnsi"/>
          <w:color w:val="000000"/>
          <w:szCs w:val="24"/>
        </w:rPr>
      </w:pPr>
      <w:r w:rsidRPr="0089006E">
        <w:rPr>
          <w:rFonts w:asciiTheme="minorHAnsi" w:hAnsiTheme="minorHAnsi" w:cstheme="minorHAnsi"/>
          <w:color w:val="000000"/>
          <w:szCs w:val="24"/>
        </w:rPr>
        <w:t>Dokument ten jest sporządzany w przypadku braku miejscowego planu zagospodarowania przestrzennego </w:t>
      </w:r>
      <w:r w:rsidRPr="0089006E">
        <w:rPr>
          <w:rFonts w:asciiTheme="minorHAnsi" w:hAnsiTheme="minorHAnsi" w:cstheme="minorHAnsi"/>
          <w:b/>
          <w:bCs/>
          <w:color w:val="000000"/>
          <w:szCs w:val="24"/>
        </w:rPr>
        <w:t>dla tych projektów</w:t>
      </w:r>
      <w:r w:rsidRPr="0089006E">
        <w:rPr>
          <w:rFonts w:asciiTheme="minorHAnsi" w:hAnsiTheme="minorHAnsi" w:cstheme="minorHAnsi"/>
          <w:color w:val="000000"/>
          <w:szCs w:val="24"/>
        </w:rPr>
        <w:t xml:space="preserve">, dla których jest on wymagany </w:t>
      </w:r>
      <w:r w:rsidRPr="0089006E">
        <w:rPr>
          <w:rFonts w:asciiTheme="minorHAnsi" w:hAnsiTheme="minorHAnsi" w:cstheme="minorHAnsi"/>
          <w:b/>
          <w:bCs/>
          <w:color w:val="000000"/>
          <w:szCs w:val="24"/>
        </w:rPr>
        <w:t>zgodnie z art. 59 ustawy z</w:t>
      </w:r>
      <w:r w:rsidR="001512DB">
        <w:rPr>
          <w:rFonts w:asciiTheme="minorHAnsi" w:hAnsiTheme="minorHAnsi" w:cstheme="minorHAnsi"/>
          <w:b/>
          <w:bCs/>
          <w:color w:val="000000"/>
          <w:szCs w:val="24"/>
        </w:rPr>
        <w:t> </w:t>
      </w:r>
      <w:r w:rsidRPr="0089006E">
        <w:rPr>
          <w:rFonts w:asciiTheme="minorHAnsi" w:hAnsiTheme="minorHAnsi" w:cstheme="minorHAnsi"/>
          <w:b/>
          <w:bCs/>
          <w:color w:val="000000"/>
          <w:szCs w:val="24"/>
        </w:rPr>
        <w:t>dnia 27 marca 2003 r. o planowaniu i zagospodarowaniu przestrzennym</w:t>
      </w:r>
      <w:r w:rsidR="00B45093">
        <w:rPr>
          <w:rFonts w:asciiTheme="minorHAnsi" w:hAnsiTheme="minorHAnsi" w:cstheme="minorHAnsi"/>
          <w:color w:val="000000"/>
          <w:szCs w:val="24"/>
        </w:rPr>
        <w:t>.</w:t>
      </w:r>
    </w:p>
    <w:p w14:paraId="3084CE61" w14:textId="77777777" w:rsidR="0089006E" w:rsidRPr="0089006E" w:rsidRDefault="0089006E" w:rsidP="0089006E">
      <w:pPr>
        <w:spacing w:before="120" w:after="120" w:line="276" w:lineRule="auto"/>
        <w:rPr>
          <w:rFonts w:ascii="Calibri" w:hAnsi="Calibri"/>
          <w:szCs w:val="24"/>
        </w:rPr>
      </w:pPr>
    </w:p>
    <w:p w14:paraId="71EE1AF4" w14:textId="01B1D94B" w:rsidR="0089006E" w:rsidRPr="0089006E" w:rsidRDefault="00A937B9" w:rsidP="004D0859">
      <w:pPr>
        <w:keepNext/>
        <w:numPr>
          <w:ilvl w:val="0"/>
          <w:numId w:val="5"/>
        </w:numPr>
        <w:tabs>
          <w:tab w:val="clear" w:pos="360"/>
          <w:tab w:val="num" w:pos="284"/>
        </w:tabs>
        <w:suppressAutoHyphens w:val="0"/>
        <w:spacing w:before="120" w:after="120" w:line="276" w:lineRule="auto"/>
        <w:ind w:left="284" w:hanging="284"/>
        <w:outlineLvl w:val="2"/>
        <w:rPr>
          <w:rFonts w:ascii="Calibri" w:hAnsi="Calibri"/>
          <w:b/>
          <w:bCs/>
          <w:sz w:val="28"/>
          <w:szCs w:val="28"/>
        </w:rPr>
      </w:pPr>
      <w:bookmarkStart w:id="700" w:name="_Toc477857442"/>
      <w:bookmarkStart w:id="701" w:name="_Toc54688945"/>
      <w:bookmarkStart w:id="702" w:name="_Toc241839726"/>
      <w:bookmarkStart w:id="703" w:name="_Hlk191973505"/>
      <w:r>
        <w:rPr>
          <w:rFonts w:ascii="Calibri" w:hAnsi="Calibri"/>
          <w:b/>
          <w:bCs/>
          <w:sz w:val="28"/>
          <w:szCs w:val="28"/>
        </w:rPr>
        <w:t xml:space="preserve">WYCIĄG Z </w:t>
      </w:r>
      <w:r w:rsidR="0089006E" w:rsidRPr="0089006E">
        <w:rPr>
          <w:rFonts w:ascii="Calibri" w:hAnsi="Calibri"/>
          <w:b/>
          <w:bCs/>
          <w:sz w:val="28"/>
          <w:szCs w:val="28"/>
        </w:rPr>
        <w:t>DOK</w:t>
      </w:r>
      <w:bookmarkStart w:id="704" w:name="_Hlk191973546"/>
      <w:r w:rsidR="0089006E" w:rsidRPr="0089006E">
        <w:rPr>
          <w:rFonts w:ascii="Calibri" w:hAnsi="Calibri"/>
          <w:b/>
          <w:bCs/>
          <w:sz w:val="28"/>
          <w:szCs w:val="28"/>
        </w:rPr>
        <w:t>UMENTACJ</w:t>
      </w:r>
      <w:r>
        <w:rPr>
          <w:rFonts w:ascii="Calibri" w:hAnsi="Calibri"/>
          <w:b/>
          <w:bCs/>
          <w:sz w:val="28"/>
          <w:szCs w:val="28"/>
        </w:rPr>
        <w:t>I</w:t>
      </w:r>
      <w:r w:rsidR="0089006E" w:rsidRPr="0089006E">
        <w:rPr>
          <w:rFonts w:ascii="Calibri" w:hAnsi="Calibri"/>
          <w:b/>
          <w:bCs/>
          <w:sz w:val="28"/>
          <w:szCs w:val="28"/>
        </w:rPr>
        <w:t xml:space="preserve"> TECHNICZN</w:t>
      </w:r>
      <w:r>
        <w:rPr>
          <w:rFonts w:ascii="Calibri" w:hAnsi="Calibri"/>
          <w:b/>
          <w:bCs/>
          <w:sz w:val="28"/>
          <w:szCs w:val="28"/>
        </w:rPr>
        <w:t>EJ</w:t>
      </w:r>
      <w:r w:rsidR="0089006E" w:rsidRPr="0089006E">
        <w:rPr>
          <w:rFonts w:ascii="Calibri" w:hAnsi="Calibri"/>
          <w:b/>
          <w:bCs/>
          <w:sz w:val="28"/>
          <w:szCs w:val="28"/>
        </w:rPr>
        <w:t xml:space="preserve"> LUB PROGRAM FUNKCJONALNO-UŻYTKOWY</w:t>
      </w:r>
      <w:bookmarkEnd w:id="700"/>
      <w:bookmarkEnd w:id="701"/>
      <w:bookmarkEnd w:id="702"/>
    </w:p>
    <w:bookmarkEnd w:id="703"/>
    <w:bookmarkEnd w:id="704"/>
    <w:p w14:paraId="6667A2A9" w14:textId="1A519649" w:rsidR="001512DB" w:rsidRDefault="00533FCF" w:rsidP="001512DB">
      <w:pPr>
        <w:spacing w:before="120" w:after="120" w:line="276" w:lineRule="auto"/>
        <w:rPr>
          <w:rFonts w:ascii="Calibri" w:hAnsi="Calibri"/>
          <w:b/>
          <w:szCs w:val="24"/>
        </w:rPr>
      </w:pPr>
      <w:r>
        <w:rPr>
          <w:rFonts w:ascii="Calibri" w:hAnsi="Calibri"/>
          <w:szCs w:val="24"/>
        </w:rPr>
        <w:t>Dla projektów obejmujących swoim zakresem wykonanie robót budowlanych w rozumieniu ustawy Prawo budowlane j</w:t>
      </w:r>
      <w:r w:rsidR="0089006E" w:rsidRPr="0089006E">
        <w:rPr>
          <w:rFonts w:ascii="Calibri" w:hAnsi="Calibri"/>
          <w:szCs w:val="24"/>
        </w:rPr>
        <w:t xml:space="preserve">ako jeden z wymaganych załączników </w:t>
      </w:r>
      <w:r w:rsidR="00F850B4">
        <w:rPr>
          <w:rFonts w:ascii="Calibri" w:hAnsi="Calibri"/>
          <w:szCs w:val="24"/>
        </w:rPr>
        <w:t>W</w:t>
      </w:r>
      <w:r w:rsidR="0089006E" w:rsidRPr="0089006E">
        <w:rPr>
          <w:rFonts w:ascii="Calibri" w:hAnsi="Calibri"/>
          <w:szCs w:val="24"/>
        </w:rPr>
        <w:t xml:space="preserve">nioskodawca zobowiązany jest dostarczyć </w:t>
      </w:r>
      <w:r w:rsidR="0089006E" w:rsidRPr="0089006E">
        <w:rPr>
          <w:rFonts w:ascii="Calibri" w:hAnsi="Calibri"/>
          <w:b/>
          <w:szCs w:val="24"/>
        </w:rPr>
        <w:t>metrykę projektu budowlanego</w:t>
      </w:r>
      <w:r w:rsidR="0089006E" w:rsidRPr="0089006E">
        <w:rPr>
          <w:rFonts w:ascii="Calibri" w:hAnsi="Calibri"/>
          <w:szCs w:val="24"/>
        </w:rPr>
        <w:t xml:space="preserve"> </w:t>
      </w:r>
      <w:r w:rsidR="0089006E" w:rsidRPr="0089006E">
        <w:rPr>
          <w:rFonts w:ascii="Calibri" w:hAnsi="Calibri"/>
          <w:b/>
          <w:szCs w:val="24"/>
        </w:rPr>
        <w:t>oraz wyciąg z opisu technicznego</w:t>
      </w:r>
      <w:r w:rsidR="0089006E" w:rsidRPr="0089006E">
        <w:rPr>
          <w:rFonts w:ascii="Calibri" w:hAnsi="Calibri"/>
          <w:szCs w:val="24"/>
        </w:rPr>
        <w:t xml:space="preserve"> zawartego w dokumentacji technicznej. Dokumenty te pozwalają na</w:t>
      </w:r>
      <w:r w:rsidR="001512DB">
        <w:rPr>
          <w:rFonts w:ascii="Calibri" w:hAnsi="Calibri"/>
          <w:szCs w:val="24"/>
        </w:rPr>
        <w:t> </w:t>
      </w:r>
      <w:r w:rsidR="0089006E" w:rsidRPr="0089006E">
        <w:rPr>
          <w:rFonts w:ascii="Calibri" w:hAnsi="Calibri"/>
          <w:szCs w:val="24"/>
        </w:rPr>
        <w:t>weryfikację poprawności wybranych wskaźników produktu.</w:t>
      </w:r>
      <w:r w:rsidR="0089006E" w:rsidRPr="0011568C">
        <w:rPr>
          <w:rFonts w:ascii="Calibri" w:hAnsi="Calibri"/>
          <w:b/>
          <w:szCs w:val="24"/>
        </w:rPr>
        <w:t xml:space="preserve"> </w:t>
      </w:r>
    </w:p>
    <w:p w14:paraId="568CF9ED" w14:textId="7443C19D" w:rsidR="0089006E" w:rsidRPr="0089006E" w:rsidRDefault="0089006E" w:rsidP="001512DB">
      <w:pPr>
        <w:spacing w:before="120" w:after="120" w:line="276" w:lineRule="auto"/>
        <w:rPr>
          <w:rFonts w:ascii="Calibri" w:hAnsi="Calibri"/>
          <w:szCs w:val="24"/>
        </w:rPr>
      </w:pPr>
      <w:r w:rsidRPr="0089006E">
        <w:rPr>
          <w:rFonts w:ascii="Calibri" w:hAnsi="Calibri"/>
          <w:b/>
          <w:szCs w:val="24"/>
          <w:u w:val="single"/>
        </w:rPr>
        <w:lastRenderedPageBreak/>
        <w:t>Metryka projektu budowlanego</w:t>
      </w:r>
      <w:r w:rsidRPr="0089006E">
        <w:rPr>
          <w:rFonts w:ascii="Calibri" w:hAnsi="Calibri"/>
          <w:szCs w:val="24"/>
        </w:rPr>
        <w:t xml:space="preserve"> powinna zawierać:</w:t>
      </w:r>
    </w:p>
    <w:p w14:paraId="795CD987" w14:textId="0875C63D" w:rsidR="0089006E" w:rsidRPr="0089006E" w:rsidRDefault="0089006E" w:rsidP="004D0859">
      <w:pPr>
        <w:numPr>
          <w:ilvl w:val="1"/>
          <w:numId w:val="2"/>
        </w:numPr>
        <w:tabs>
          <w:tab w:val="num" w:pos="709"/>
        </w:tabs>
        <w:suppressAutoHyphens w:val="0"/>
        <w:spacing w:line="276" w:lineRule="auto"/>
        <w:ind w:left="714" w:hanging="357"/>
        <w:rPr>
          <w:rFonts w:ascii="Calibri" w:hAnsi="Calibri"/>
          <w:szCs w:val="24"/>
        </w:rPr>
      </w:pPr>
      <w:r w:rsidRPr="0089006E">
        <w:rPr>
          <w:rFonts w:ascii="Calibri" w:hAnsi="Calibri"/>
          <w:szCs w:val="24"/>
        </w:rPr>
        <w:t>numery tomów dokumentacji</w:t>
      </w:r>
      <w:r w:rsidR="00604D27">
        <w:rPr>
          <w:rFonts w:ascii="Calibri" w:hAnsi="Calibri"/>
          <w:szCs w:val="24"/>
        </w:rPr>
        <w:t xml:space="preserve"> (jeśli dotyczy)</w:t>
      </w:r>
      <w:r w:rsidRPr="0089006E">
        <w:rPr>
          <w:rFonts w:ascii="Calibri" w:hAnsi="Calibri"/>
          <w:szCs w:val="24"/>
        </w:rPr>
        <w:t xml:space="preserve">, </w:t>
      </w:r>
    </w:p>
    <w:p w14:paraId="7A12077A" w14:textId="79E2EC9B" w:rsidR="0089006E" w:rsidRDefault="00C34A0D" w:rsidP="004D0859">
      <w:pPr>
        <w:numPr>
          <w:ilvl w:val="1"/>
          <w:numId w:val="2"/>
        </w:numPr>
        <w:tabs>
          <w:tab w:val="num" w:pos="709"/>
        </w:tabs>
        <w:suppressAutoHyphens w:val="0"/>
        <w:spacing w:line="276" w:lineRule="auto"/>
        <w:ind w:left="714" w:hanging="357"/>
        <w:rPr>
          <w:rFonts w:ascii="Calibri" w:hAnsi="Calibri"/>
          <w:szCs w:val="24"/>
        </w:rPr>
      </w:pPr>
      <w:r w:rsidRPr="00B45093">
        <w:rPr>
          <w:rFonts w:ascii="Calibri" w:hAnsi="Calibri"/>
          <w:szCs w:val="24"/>
        </w:rPr>
        <w:t>nazwę zamierzenia budowlanego</w:t>
      </w:r>
      <w:r>
        <w:rPr>
          <w:rFonts w:ascii="Calibri" w:hAnsi="Calibri"/>
          <w:szCs w:val="24"/>
        </w:rPr>
        <w:t xml:space="preserve"> - </w:t>
      </w:r>
      <w:r w:rsidR="0089006E" w:rsidRPr="0089006E">
        <w:rPr>
          <w:rFonts w:ascii="Calibri" w:hAnsi="Calibri"/>
          <w:szCs w:val="24"/>
        </w:rPr>
        <w:t>tytuł opracowa</w:t>
      </w:r>
      <w:r>
        <w:rPr>
          <w:rFonts w:ascii="Calibri" w:hAnsi="Calibri"/>
          <w:szCs w:val="24"/>
        </w:rPr>
        <w:t>nia</w:t>
      </w:r>
      <w:r w:rsidR="0089006E" w:rsidRPr="0089006E">
        <w:rPr>
          <w:rFonts w:ascii="Calibri" w:hAnsi="Calibri"/>
          <w:szCs w:val="24"/>
        </w:rPr>
        <w:t xml:space="preserve">, </w:t>
      </w:r>
    </w:p>
    <w:p w14:paraId="772DC051" w14:textId="2C7CCCDD" w:rsidR="00C34A0D" w:rsidRDefault="00C34A0D" w:rsidP="004D0859">
      <w:pPr>
        <w:numPr>
          <w:ilvl w:val="1"/>
          <w:numId w:val="2"/>
        </w:numPr>
        <w:tabs>
          <w:tab w:val="num" w:pos="709"/>
        </w:tabs>
        <w:suppressAutoHyphens w:val="0"/>
        <w:spacing w:line="276" w:lineRule="auto"/>
        <w:ind w:left="714" w:hanging="357"/>
        <w:rPr>
          <w:rFonts w:ascii="Calibri" w:hAnsi="Calibri"/>
          <w:szCs w:val="24"/>
        </w:rPr>
      </w:pPr>
      <w:r w:rsidRPr="00C34A0D">
        <w:rPr>
          <w:rFonts w:ascii="Calibri" w:hAnsi="Calibri"/>
          <w:szCs w:val="24"/>
        </w:rPr>
        <w:t>adres i kategorię obiektu budowlanego</w:t>
      </w:r>
      <w:r>
        <w:rPr>
          <w:rFonts w:ascii="Calibri" w:hAnsi="Calibri"/>
          <w:szCs w:val="24"/>
        </w:rPr>
        <w:t>,</w:t>
      </w:r>
    </w:p>
    <w:p w14:paraId="551218FB" w14:textId="7A8A964C" w:rsidR="00C34A0D" w:rsidRDefault="00C34A0D" w:rsidP="004D0859">
      <w:pPr>
        <w:numPr>
          <w:ilvl w:val="1"/>
          <w:numId w:val="2"/>
        </w:numPr>
        <w:tabs>
          <w:tab w:val="num" w:pos="709"/>
        </w:tabs>
        <w:suppressAutoHyphens w:val="0"/>
        <w:spacing w:line="276" w:lineRule="auto"/>
        <w:ind w:left="714" w:hanging="357"/>
        <w:rPr>
          <w:rFonts w:ascii="Calibri" w:hAnsi="Calibri"/>
          <w:szCs w:val="24"/>
        </w:rPr>
      </w:pPr>
      <w:r w:rsidRPr="00C34A0D">
        <w:rPr>
          <w:rFonts w:ascii="Calibri" w:hAnsi="Calibri"/>
          <w:szCs w:val="24"/>
        </w:rPr>
        <w:t>identyfikatory działek ewidencyjnych, na których obiekt budowlany jest usytuowany</w:t>
      </w:r>
      <w:r w:rsidR="006B25B8">
        <w:rPr>
          <w:rFonts w:ascii="Calibri" w:hAnsi="Calibri"/>
          <w:szCs w:val="24"/>
        </w:rPr>
        <w:t xml:space="preserve"> (lokalizacja projektu)</w:t>
      </w:r>
      <w:r>
        <w:rPr>
          <w:rFonts w:ascii="Calibri" w:hAnsi="Calibri"/>
          <w:szCs w:val="24"/>
        </w:rPr>
        <w:t>,</w:t>
      </w:r>
    </w:p>
    <w:p w14:paraId="549BCAE0" w14:textId="08C501DA" w:rsidR="00C34A0D" w:rsidRDefault="00C34A0D" w:rsidP="004D0859">
      <w:pPr>
        <w:numPr>
          <w:ilvl w:val="1"/>
          <w:numId w:val="2"/>
        </w:numPr>
        <w:tabs>
          <w:tab w:val="num" w:pos="709"/>
        </w:tabs>
        <w:suppressAutoHyphens w:val="0"/>
        <w:spacing w:line="276" w:lineRule="auto"/>
        <w:ind w:left="714" w:hanging="357"/>
        <w:rPr>
          <w:rFonts w:ascii="Calibri" w:hAnsi="Calibri"/>
          <w:szCs w:val="24"/>
        </w:rPr>
      </w:pPr>
      <w:r w:rsidRPr="00B45093">
        <w:rPr>
          <w:rFonts w:ascii="Calibri" w:hAnsi="Calibri"/>
          <w:szCs w:val="24"/>
        </w:rPr>
        <w:t>imię i nazwisko lub nazwę inwestora oraz jego adres</w:t>
      </w:r>
      <w:r>
        <w:rPr>
          <w:rFonts w:ascii="Calibri" w:hAnsi="Calibri"/>
          <w:szCs w:val="24"/>
        </w:rPr>
        <w:t>,</w:t>
      </w:r>
    </w:p>
    <w:p w14:paraId="6C73B0F3" w14:textId="569E4326" w:rsidR="00C34A0D" w:rsidRPr="0089006E" w:rsidRDefault="00C34A0D" w:rsidP="004D0859">
      <w:pPr>
        <w:numPr>
          <w:ilvl w:val="1"/>
          <w:numId w:val="2"/>
        </w:numPr>
        <w:tabs>
          <w:tab w:val="num" w:pos="709"/>
        </w:tabs>
        <w:suppressAutoHyphens w:val="0"/>
        <w:spacing w:line="276" w:lineRule="auto"/>
        <w:ind w:left="714" w:hanging="357"/>
        <w:rPr>
          <w:rFonts w:ascii="Calibri" w:hAnsi="Calibri"/>
          <w:szCs w:val="24"/>
        </w:rPr>
      </w:pPr>
      <w:r w:rsidRPr="00C34A0D">
        <w:rPr>
          <w:rFonts w:ascii="Calibri" w:hAnsi="Calibri"/>
          <w:szCs w:val="24"/>
        </w:rPr>
        <w:t>datę opracowania</w:t>
      </w:r>
      <w:r>
        <w:rPr>
          <w:rFonts w:ascii="Calibri" w:hAnsi="Calibri"/>
          <w:szCs w:val="24"/>
        </w:rPr>
        <w:t>,</w:t>
      </w:r>
    </w:p>
    <w:p w14:paraId="5B61BEF2" w14:textId="17AB9646" w:rsidR="00697C93" w:rsidRDefault="00697C93" w:rsidP="004D0859">
      <w:pPr>
        <w:numPr>
          <w:ilvl w:val="1"/>
          <w:numId w:val="2"/>
        </w:numPr>
        <w:tabs>
          <w:tab w:val="num" w:pos="709"/>
        </w:tabs>
        <w:suppressAutoHyphens w:val="0"/>
        <w:spacing w:line="276" w:lineRule="auto"/>
        <w:ind w:left="714" w:hanging="357"/>
        <w:rPr>
          <w:rFonts w:ascii="Calibri" w:hAnsi="Calibri"/>
          <w:szCs w:val="24"/>
        </w:rPr>
      </w:pPr>
      <w:r>
        <w:rPr>
          <w:rFonts w:ascii="Calibri" w:hAnsi="Calibri"/>
          <w:szCs w:val="24"/>
        </w:rPr>
        <w:t xml:space="preserve">imię i </w:t>
      </w:r>
      <w:r w:rsidR="0089006E" w:rsidRPr="0089006E">
        <w:rPr>
          <w:rFonts w:ascii="Calibri" w:hAnsi="Calibri"/>
          <w:szCs w:val="24"/>
        </w:rPr>
        <w:t>nazwisk</w:t>
      </w:r>
      <w:r>
        <w:rPr>
          <w:rFonts w:ascii="Calibri" w:hAnsi="Calibri"/>
          <w:szCs w:val="24"/>
        </w:rPr>
        <w:t>o</w:t>
      </w:r>
      <w:r w:rsidR="0089006E" w:rsidRPr="0089006E">
        <w:rPr>
          <w:rFonts w:ascii="Calibri" w:hAnsi="Calibri"/>
          <w:szCs w:val="24"/>
        </w:rPr>
        <w:t xml:space="preserve"> </w:t>
      </w:r>
      <w:r>
        <w:rPr>
          <w:rFonts w:ascii="Calibri" w:hAnsi="Calibri"/>
          <w:szCs w:val="24"/>
        </w:rPr>
        <w:t>autora/</w:t>
      </w:r>
      <w:r w:rsidR="0089006E" w:rsidRPr="0089006E">
        <w:rPr>
          <w:rFonts w:ascii="Calibri" w:hAnsi="Calibri"/>
          <w:szCs w:val="24"/>
        </w:rPr>
        <w:t xml:space="preserve">autorów </w:t>
      </w:r>
      <w:r w:rsidRPr="0089006E">
        <w:rPr>
          <w:rFonts w:ascii="Calibri" w:hAnsi="Calibri"/>
          <w:szCs w:val="24"/>
        </w:rPr>
        <w:t>opracowa</w:t>
      </w:r>
      <w:r w:rsidR="00187F19">
        <w:rPr>
          <w:rFonts w:ascii="Calibri" w:hAnsi="Calibri"/>
          <w:szCs w:val="24"/>
        </w:rPr>
        <w:t>ń</w:t>
      </w:r>
      <w:r w:rsidR="00C34A0D">
        <w:rPr>
          <w:rFonts w:ascii="Calibri" w:hAnsi="Calibri"/>
          <w:szCs w:val="24"/>
        </w:rPr>
        <w:t>, specjalność</w:t>
      </w:r>
      <w:r w:rsidRPr="0089006E">
        <w:rPr>
          <w:rFonts w:ascii="Calibri" w:hAnsi="Calibri"/>
          <w:szCs w:val="24"/>
        </w:rPr>
        <w:t xml:space="preserve"> </w:t>
      </w:r>
      <w:r w:rsidR="0089006E" w:rsidRPr="0089006E">
        <w:rPr>
          <w:rFonts w:ascii="Calibri" w:hAnsi="Calibri"/>
          <w:szCs w:val="24"/>
        </w:rPr>
        <w:t xml:space="preserve">wraz z numerami </w:t>
      </w:r>
      <w:r>
        <w:rPr>
          <w:rFonts w:ascii="Calibri" w:hAnsi="Calibri"/>
          <w:szCs w:val="24"/>
        </w:rPr>
        <w:t xml:space="preserve">posiadanych </w:t>
      </w:r>
      <w:r w:rsidR="0089006E" w:rsidRPr="0089006E">
        <w:rPr>
          <w:rFonts w:ascii="Calibri" w:hAnsi="Calibri"/>
          <w:szCs w:val="24"/>
        </w:rPr>
        <w:t>uprawnień</w:t>
      </w:r>
      <w:r>
        <w:rPr>
          <w:rFonts w:ascii="Calibri" w:hAnsi="Calibri"/>
          <w:szCs w:val="24"/>
        </w:rPr>
        <w:t xml:space="preserve"> budowlanych</w:t>
      </w:r>
      <w:r w:rsidR="0089006E" w:rsidRPr="0089006E">
        <w:rPr>
          <w:rFonts w:ascii="Calibri" w:hAnsi="Calibri"/>
          <w:szCs w:val="24"/>
        </w:rPr>
        <w:t>.</w:t>
      </w:r>
    </w:p>
    <w:p w14:paraId="20B5C1D7" w14:textId="18ADEE02" w:rsidR="0089006E" w:rsidRPr="0089006E" w:rsidRDefault="00697C93" w:rsidP="004D0859">
      <w:pPr>
        <w:numPr>
          <w:ilvl w:val="1"/>
          <w:numId w:val="2"/>
        </w:numPr>
        <w:tabs>
          <w:tab w:val="num" w:pos="709"/>
        </w:tabs>
        <w:suppressAutoHyphens w:val="0"/>
        <w:spacing w:line="276" w:lineRule="auto"/>
        <w:ind w:left="714" w:hanging="357"/>
        <w:rPr>
          <w:rFonts w:ascii="Calibri" w:hAnsi="Calibri"/>
          <w:szCs w:val="24"/>
        </w:rPr>
      </w:pPr>
      <w:r w:rsidRPr="00697C93">
        <w:rPr>
          <w:rFonts w:ascii="Calibri" w:hAnsi="Calibri"/>
          <w:szCs w:val="24"/>
        </w:rPr>
        <w:t>podpis projektanta</w:t>
      </w:r>
      <w:r>
        <w:rPr>
          <w:rFonts w:ascii="Calibri" w:hAnsi="Calibri"/>
          <w:szCs w:val="24"/>
        </w:rPr>
        <w:t>/projektantów</w:t>
      </w:r>
      <w:r w:rsidR="00690370">
        <w:rPr>
          <w:rFonts w:ascii="Calibri" w:hAnsi="Calibri"/>
          <w:szCs w:val="24"/>
        </w:rPr>
        <w:t>.</w:t>
      </w:r>
    </w:p>
    <w:p w14:paraId="07D4D0C3" w14:textId="2107401E" w:rsidR="0089006E" w:rsidRPr="0089006E" w:rsidRDefault="0089006E" w:rsidP="001512DB">
      <w:pPr>
        <w:spacing w:before="120" w:after="120" w:line="276" w:lineRule="auto"/>
        <w:rPr>
          <w:rFonts w:ascii="Calibri" w:hAnsi="Calibri"/>
          <w:szCs w:val="24"/>
        </w:rPr>
      </w:pPr>
      <w:r w:rsidRPr="0089006E">
        <w:rPr>
          <w:rFonts w:ascii="Calibri" w:hAnsi="Calibri"/>
          <w:szCs w:val="24"/>
        </w:rPr>
        <w:t xml:space="preserve">Ponadto </w:t>
      </w:r>
      <w:r w:rsidR="00F850B4">
        <w:rPr>
          <w:rFonts w:ascii="Calibri" w:hAnsi="Calibri"/>
          <w:szCs w:val="24"/>
        </w:rPr>
        <w:t>W</w:t>
      </w:r>
      <w:r w:rsidR="00690370" w:rsidRPr="0089006E">
        <w:rPr>
          <w:rFonts w:ascii="Calibri" w:hAnsi="Calibri"/>
          <w:szCs w:val="24"/>
        </w:rPr>
        <w:t xml:space="preserve">nioskodawca zobowiązany jest dostarczyć </w:t>
      </w:r>
      <w:r w:rsidR="00690370">
        <w:rPr>
          <w:rFonts w:ascii="Calibri" w:hAnsi="Calibri"/>
          <w:szCs w:val="24"/>
        </w:rPr>
        <w:t xml:space="preserve">wyciąg z </w:t>
      </w:r>
      <w:r w:rsidR="00690370" w:rsidRPr="0089006E">
        <w:rPr>
          <w:rFonts w:ascii="Calibri" w:hAnsi="Calibri"/>
          <w:szCs w:val="24"/>
        </w:rPr>
        <w:t>opis</w:t>
      </w:r>
      <w:r w:rsidR="00690370">
        <w:rPr>
          <w:rFonts w:ascii="Calibri" w:hAnsi="Calibri"/>
          <w:szCs w:val="24"/>
        </w:rPr>
        <w:t>u</w:t>
      </w:r>
      <w:r w:rsidR="00690370" w:rsidRPr="0089006E">
        <w:rPr>
          <w:rFonts w:ascii="Calibri" w:hAnsi="Calibri"/>
          <w:szCs w:val="24"/>
        </w:rPr>
        <w:t xml:space="preserve"> techniczn</w:t>
      </w:r>
      <w:r w:rsidR="00690370">
        <w:rPr>
          <w:rFonts w:ascii="Calibri" w:hAnsi="Calibri"/>
          <w:szCs w:val="24"/>
        </w:rPr>
        <w:t>ego</w:t>
      </w:r>
      <w:r w:rsidR="00690370" w:rsidRPr="0089006E">
        <w:rPr>
          <w:rFonts w:ascii="Calibri" w:hAnsi="Calibri"/>
          <w:szCs w:val="24"/>
        </w:rPr>
        <w:t xml:space="preserve"> </w:t>
      </w:r>
      <w:r w:rsidR="00690370">
        <w:rPr>
          <w:rFonts w:ascii="Calibri" w:hAnsi="Calibri"/>
          <w:szCs w:val="24"/>
        </w:rPr>
        <w:t xml:space="preserve">bądź opcjonalnie </w:t>
      </w:r>
      <w:r w:rsidRPr="0089006E">
        <w:rPr>
          <w:rFonts w:ascii="Calibri" w:hAnsi="Calibri"/>
          <w:szCs w:val="24"/>
        </w:rPr>
        <w:t>pełną dokumentację techniczną projektu.</w:t>
      </w:r>
    </w:p>
    <w:p w14:paraId="0A598769" w14:textId="1F5A4F3C" w:rsidR="0089006E" w:rsidRPr="0089006E" w:rsidRDefault="0042212E" w:rsidP="001512DB">
      <w:pPr>
        <w:spacing w:before="120" w:after="120" w:line="276" w:lineRule="auto"/>
        <w:rPr>
          <w:rFonts w:ascii="Calibri" w:hAnsi="Calibri"/>
          <w:szCs w:val="24"/>
        </w:rPr>
      </w:pPr>
      <w:r>
        <w:rPr>
          <w:rFonts w:ascii="Calibri" w:hAnsi="Calibri"/>
          <w:szCs w:val="24"/>
        </w:rPr>
        <w:t>W przypadku zgłoszenia budowy należy przedłożyć wyciąg z dokumentacji technicznej załączon</w:t>
      </w:r>
      <w:r w:rsidR="00FA6288">
        <w:rPr>
          <w:rFonts w:ascii="Calibri" w:hAnsi="Calibri"/>
          <w:szCs w:val="24"/>
        </w:rPr>
        <w:t>ej</w:t>
      </w:r>
      <w:r>
        <w:rPr>
          <w:rFonts w:ascii="Calibri" w:hAnsi="Calibri"/>
          <w:szCs w:val="24"/>
        </w:rPr>
        <w:t xml:space="preserve"> do zgłoszenia. </w:t>
      </w:r>
    </w:p>
    <w:p w14:paraId="33568690" w14:textId="77777777" w:rsidR="00533FCF" w:rsidRDefault="00533FCF" w:rsidP="00533FCF">
      <w:pPr>
        <w:spacing w:before="120" w:after="120" w:line="276" w:lineRule="auto"/>
        <w:rPr>
          <w:rFonts w:ascii="Calibri" w:hAnsi="Calibri"/>
          <w:b/>
          <w:szCs w:val="24"/>
          <w:u w:val="single"/>
        </w:rPr>
      </w:pPr>
      <w:r w:rsidRPr="0089006E">
        <w:rPr>
          <w:rFonts w:ascii="Calibri" w:hAnsi="Calibri"/>
          <w:b/>
          <w:szCs w:val="24"/>
          <w:u w:val="single"/>
        </w:rPr>
        <w:t xml:space="preserve">Projekty </w:t>
      </w:r>
      <w:r>
        <w:rPr>
          <w:rFonts w:ascii="Calibri" w:hAnsi="Calibri"/>
          <w:b/>
          <w:szCs w:val="24"/>
          <w:u w:val="single"/>
        </w:rPr>
        <w:t xml:space="preserve">realizowane w formule zaprojektuj i wybuduj na podstawie </w:t>
      </w:r>
      <w:r w:rsidRPr="0089006E">
        <w:rPr>
          <w:rFonts w:ascii="Calibri" w:hAnsi="Calibri"/>
          <w:b/>
          <w:szCs w:val="24"/>
          <w:u w:val="single"/>
        </w:rPr>
        <w:t>program</w:t>
      </w:r>
      <w:r>
        <w:rPr>
          <w:rFonts w:ascii="Calibri" w:hAnsi="Calibri"/>
          <w:b/>
          <w:szCs w:val="24"/>
          <w:u w:val="single"/>
        </w:rPr>
        <w:t>u</w:t>
      </w:r>
      <w:r w:rsidRPr="0089006E">
        <w:rPr>
          <w:rFonts w:ascii="Calibri" w:hAnsi="Calibri"/>
          <w:b/>
          <w:szCs w:val="24"/>
          <w:u w:val="single"/>
        </w:rPr>
        <w:t xml:space="preserve"> funkcjonalno-użytkow</w:t>
      </w:r>
      <w:r>
        <w:rPr>
          <w:rFonts w:ascii="Calibri" w:hAnsi="Calibri"/>
          <w:b/>
          <w:szCs w:val="24"/>
          <w:u w:val="single"/>
        </w:rPr>
        <w:t>ego</w:t>
      </w:r>
    </w:p>
    <w:p w14:paraId="4E3DC57A" w14:textId="1C27BB7B" w:rsidR="0046497A" w:rsidRDefault="0046497A" w:rsidP="00533FCF">
      <w:pPr>
        <w:spacing w:before="120" w:after="120" w:line="276" w:lineRule="auto"/>
        <w:rPr>
          <w:rFonts w:ascii="Calibri" w:hAnsi="Calibri"/>
          <w:b/>
          <w:bCs/>
          <w:szCs w:val="24"/>
        </w:rPr>
      </w:pPr>
      <w:r w:rsidRPr="006351C4">
        <w:rPr>
          <w:rFonts w:ascii="Calibri" w:hAnsi="Calibri"/>
          <w:szCs w:val="24"/>
        </w:rPr>
        <w:t>W przypadku projektów realizowanych w formule „zaprojektuj i wybuduj”, przedmiotem dofinansowania są zarówno prace projektowe, jak i roboty budowlane. Wnioskodawca</w:t>
      </w:r>
      <w:r w:rsidR="00606ACF">
        <w:rPr>
          <w:rFonts w:ascii="Calibri" w:hAnsi="Calibri"/>
          <w:szCs w:val="24"/>
        </w:rPr>
        <w:t>, który</w:t>
      </w:r>
      <w:r w:rsidRPr="006351C4">
        <w:rPr>
          <w:rFonts w:ascii="Calibri" w:hAnsi="Calibri"/>
          <w:szCs w:val="24"/>
        </w:rPr>
        <w:t xml:space="preserve"> </w:t>
      </w:r>
      <w:r>
        <w:rPr>
          <w:rFonts w:ascii="Calibri" w:hAnsi="Calibri"/>
          <w:szCs w:val="24"/>
        </w:rPr>
        <w:br/>
      </w:r>
      <w:r w:rsidRPr="006351C4">
        <w:rPr>
          <w:rFonts w:ascii="Calibri" w:hAnsi="Calibri"/>
          <w:szCs w:val="24"/>
        </w:rPr>
        <w:t>nie posiada ostatecznej decyzji o pozwoleniu na budowę (lub zgłoszenia z projektem budowlanym, wobec którego organ nie wniósł sprzeciwu) w zakresie robót objętych projektem</w:t>
      </w:r>
      <w:r w:rsidR="004D7C7E">
        <w:rPr>
          <w:rFonts w:ascii="Calibri" w:hAnsi="Calibri"/>
          <w:szCs w:val="24"/>
        </w:rPr>
        <w:t>,</w:t>
      </w:r>
      <w:r w:rsidRPr="006351C4">
        <w:rPr>
          <w:rFonts w:ascii="Calibri" w:hAnsi="Calibri"/>
          <w:szCs w:val="24"/>
        </w:rPr>
        <w:t xml:space="preserve"> </w:t>
      </w:r>
      <w:r w:rsidRPr="00900E25">
        <w:rPr>
          <w:rFonts w:ascii="Calibri" w:hAnsi="Calibri"/>
          <w:szCs w:val="24"/>
        </w:rPr>
        <w:t>na dzień złożenia wniosku o dofinansowanie</w:t>
      </w:r>
      <w:r w:rsidR="004D7C7E">
        <w:rPr>
          <w:rFonts w:ascii="Calibri" w:hAnsi="Calibri"/>
          <w:szCs w:val="24"/>
        </w:rPr>
        <w:t>,</w:t>
      </w:r>
      <w:r w:rsidR="00606ACF" w:rsidRPr="00900E25">
        <w:rPr>
          <w:rFonts w:ascii="Calibri" w:hAnsi="Calibri"/>
          <w:szCs w:val="24"/>
        </w:rPr>
        <w:t xml:space="preserve"> przedkłada Program Funkcjonalno-Użytkowy oraz jeden z dokumentów wskazanych w rozdziale 3.2.</w:t>
      </w:r>
    </w:p>
    <w:p w14:paraId="2249F553" w14:textId="7A463CD6" w:rsidR="0046497A" w:rsidRPr="00757490" w:rsidRDefault="0046497A" w:rsidP="00533FCF">
      <w:pPr>
        <w:spacing w:before="120" w:after="120" w:line="276" w:lineRule="auto"/>
        <w:rPr>
          <w:rFonts w:ascii="Calibri" w:hAnsi="Calibri"/>
          <w:szCs w:val="24"/>
        </w:rPr>
      </w:pPr>
      <w:r w:rsidRPr="0046497A">
        <w:rPr>
          <w:rFonts w:ascii="Calibri" w:hAnsi="Calibri"/>
          <w:szCs w:val="24"/>
        </w:rPr>
        <w:t xml:space="preserve">Wnioskodawca jest zobowiązany do natychmiastowego, pisemnego poinformowania </w:t>
      </w:r>
      <w:r>
        <w:rPr>
          <w:rFonts w:ascii="Calibri" w:hAnsi="Calibri"/>
          <w:szCs w:val="24"/>
        </w:rPr>
        <w:t>IZ</w:t>
      </w:r>
      <w:r w:rsidRPr="0046497A">
        <w:rPr>
          <w:rFonts w:ascii="Calibri" w:hAnsi="Calibri"/>
          <w:szCs w:val="24"/>
        </w:rPr>
        <w:t xml:space="preserve"> o</w:t>
      </w:r>
      <w:r w:rsidR="00143F9D">
        <w:rPr>
          <w:rFonts w:ascii="Calibri" w:hAnsi="Calibri"/>
          <w:szCs w:val="24"/>
        </w:rPr>
        <w:t> </w:t>
      </w:r>
      <w:r w:rsidRPr="0046497A">
        <w:rPr>
          <w:rFonts w:ascii="Calibri" w:hAnsi="Calibri"/>
          <w:szCs w:val="24"/>
        </w:rPr>
        <w:t>każdej zmianie stanu faktycznego lub prawnego mającej wpływ na realizację projektu, która wystąpiła po dniu złożenia wniosku, a w szczególności o uzyskaniu pozwolenia na budowę lub dokonaniu zgłoszenia przed podpisaniem umowy o dofinansowanie.</w:t>
      </w:r>
    </w:p>
    <w:tbl>
      <w:tblPr>
        <w:tblStyle w:val="Tabela-Siatka"/>
        <w:tblW w:w="0" w:type="auto"/>
        <w:tblInd w:w="-15" w:type="dxa"/>
        <w:tblBorders>
          <w:top w:val="single" w:sz="12" w:space="0" w:color="FF0000"/>
          <w:left w:val="single" w:sz="12" w:space="0" w:color="FF0000"/>
          <w:bottom w:val="single" w:sz="12" w:space="0" w:color="FF0000"/>
          <w:right w:val="single" w:sz="12" w:space="0" w:color="FF0000"/>
          <w:insideH w:val="single" w:sz="12" w:space="0" w:color="FF0000"/>
          <w:insideV w:val="single" w:sz="12" w:space="0" w:color="FF0000"/>
        </w:tblBorders>
        <w:tblLook w:val="04A0" w:firstRow="1" w:lastRow="0" w:firstColumn="1" w:lastColumn="0" w:noHBand="0" w:noVBand="1"/>
      </w:tblPr>
      <w:tblGrid>
        <w:gridCol w:w="9055"/>
      </w:tblGrid>
      <w:tr w:rsidR="0064104A" w:rsidRPr="004B77D6" w14:paraId="25B0CD34" w14:textId="77777777" w:rsidTr="00A767BD">
        <w:trPr>
          <w:trHeight w:val="1672"/>
        </w:trPr>
        <w:tc>
          <w:tcPr>
            <w:tcW w:w="9055" w:type="dxa"/>
          </w:tcPr>
          <w:p w14:paraId="09420E3C" w14:textId="6303185E" w:rsidR="00D66998" w:rsidRPr="00757490" w:rsidRDefault="00D66998" w:rsidP="00145E84">
            <w:pPr>
              <w:pStyle w:val="NormalnyWeb"/>
              <w:spacing w:before="120" w:beforeAutospacing="0" w:after="120" w:afterAutospacing="0" w:line="276" w:lineRule="auto"/>
              <w:rPr>
                <w:rFonts w:ascii="Calibri" w:hAnsi="Calibri"/>
                <w:b/>
                <w:bCs/>
              </w:rPr>
            </w:pPr>
            <w:bookmarkStart w:id="705" w:name="_Hlk129941131"/>
            <w:r w:rsidRPr="00757490">
              <w:rPr>
                <w:rFonts w:ascii="Calibri" w:hAnsi="Calibri"/>
                <w:b/>
                <w:bCs/>
              </w:rPr>
              <w:t>UWAGA!</w:t>
            </w:r>
          </w:p>
          <w:p w14:paraId="5B995DD0" w14:textId="345BCED7" w:rsidR="006351C4" w:rsidRPr="00A967AA" w:rsidRDefault="00533FCF" w:rsidP="00145E84">
            <w:pPr>
              <w:pStyle w:val="NormalnyWeb"/>
              <w:spacing w:before="120" w:beforeAutospacing="0" w:after="120" w:afterAutospacing="0" w:line="276" w:lineRule="auto"/>
              <w:rPr>
                <w:rFonts w:ascii="Calibri" w:hAnsi="Calibri"/>
              </w:rPr>
            </w:pPr>
            <w:r w:rsidRPr="0089006E">
              <w:rPr>
                <w:rFonts w:ascii="Calibri" w:hAnsi="Calibri"/>
              </w:rPr>
              <w:t xml:space="preserve">W przypadku, gdy </w:t>
            </w:r>
            <w:r w:rsidR="00F850B4">
              <w:rPr>
                <w:rFonts w:ascii="Calibri" w:hAnsi="Calibri"/>
              </w:rPr>
              <w:t>W</w:t>
            </w:r>
            <w:r w:rsidRPr="0089006E">
              <w:rPr>
                <w:rFonts w:ascii="Calibri" w:hAnsi="Calibri"/>
              </w:rPr>
              <w:t xml:space="preserve">nioskodawca zdecyduje się realizować projekt </w:t>
            </w:r>
            <w:r>
              <w:rPr>
                <w:rFonts w:ascii="Calibri" w:hAnsi="Calibri"/>
              </w:rPr>
              <w:t xml:space="preserve">w formule zaprojektuj </w:t>
            </w:r>
            <w:r w:rsidR="00F16CD4">
              <w:rPr>
                <w:rFonts w:ascii="Calibri" w:hAnsi="Calibri"/>
              </w:rPr>
              <w:br/>
            </w:r>
            <w:r>
              <w:rPr>
                <w:rFonts w:ascii="Calibri" w:hAnsi="Calibri"/>
              </w:rPr>
              <w:t>i wybuduj na podstawie</w:t>
            </w:r>
            <w:r w:rsidRPr="0089006E">
              <w:rPr>
                <w:rFonts w:ascii="Calibri" w:hAnsi="Calibri"/>
              </w:rPr>
              <w:t xml:space="preserve"> program</w:t>
            </w:r>
            <w:r>
              <w:rPr>
                <w:rFonts w:ascii="Calibri" w:hAnsi="Calibri"/>
              </w:rPr>
              <w:t>u</w:t>
            </w:r>
            <w:r w:rsidRPr="0089006E">
              <w:rPr>
                <w:rFonts w:ascii="Calibri" w:hAnsi="Calibri"/>
              </w:rPr>
              <w:t xml:space="preserve"> funkcjonalno-użytkow</w:t>
            </w:r>
            <w:r>
              <w:rPr>
                <w:rFonts w:ascii="Calibri" w:hAnsi="Calibri"/>
              </w:rPr>
              <w:t>ego,</w:t>
            </w:r>
            <w:r w:rsidRPr="0089006E">
              <w:rPr>
                <w:rFonts w:ascii="Calibri" w:hAnsi="Calibri"/>
              </w:rPr>
              <w:t xml:space="preserve"> obowiązek przygotowania projektów</w:t>
            </w:r>
            <w:r w:rsidR="00CD4855">
              <w:rPr>
                <w:rFonts w:ascii="Calibri" w:hAnsi="Calibri"/>
              </w:rPr>
              <w:t xml:space="preserve"> niezbędnych do pozyskania pozwolenia na </w:t>
            </w:r>
            <w:r w:rsidR="00F16CD4">
              <w:rPr>
                <w:rFonts w:ascii="Calibri" w:hAnsi="Calibri"/>
              </w:rPr>
              <w:t>budowę</w:t>
            </w:r>
            <w:r w:rsidR="00F16CD4" w:rsidRPr="0089006E">
              <w:rPr>
                <w:rFonts w:ascii="Calibri" w:hAnsi="Calibri"/>
              </w:rPr>
              <w:t xml:space="preserve"> </w:t>
            </w:r>
            <w:r w:rsidR="00F16CD4">
              <w:rPr>
                <w:rFonts w:ascii="Calibri" w:hAnsi="Calibri"/>
              </w:rPr>
              <w:t>oraz</w:t>
            </w:r>
            <w:r w:rsidR="00D347A5">
              <w:rPr>
                <w:rFonts w:ascii="Calibri" w:hAnsi="Calibri"/>
              </w:rPr>
              <w:t xml:space="preserve"> </w:t>
            </w:r>
            <w:r w:rsidRPr="0089006E">
              <w:rPr>
                <w:rFonts w:ascii="Calibri" w:hAnsi="Calibri"/>
              </w:rPr>
              <w:t xml:space="preserve">zgłoszenia prac </w:t>
            </w:r>
            <w:r w:rsidR="00F16CD4">
              <w:rPr>
                <w:rFonts w:ascii="Calibri" w:hAnsi="Calibri"/>
              </w:rPr>
              <w:br/>
            </w:r>
            <w:r w:rsidRPr="0089006E">
              <w:rPr>
                <w:rFonts w:ascii="Calibri" w:hAnsi="Calibri"/>
              </w:rPr>
              <w:t>i uzyskania prawomocnych pozwoleń dla takich projektów spoczywa na wykonawcy wyłonionym do realizacji zadania w ramach projektu.</w:t>
            </w:r>
          </w:p>
        </w:tc>
      </w:tr>
    </w:tbl>
    <w:bookmarkEnd w:id="705"/>
    <w:p w14:paraId="29F34064" w14:textId="3CD7DC27" w:rsidR="009779D4" w:rsidRPr="00E639AC" w:rsidRDefault="009779D4" w:rsidP="00E639AC">
      <w:pPr>
        <w:tabs>
          <w:tab w:val="left" w:pos="709"/>
          <w:tab w:val="left" w:pos="9070"/>
        </w:tabs>
        <w:autoSpaceDE w:val="0"/>
        <w:autoSpaceDN w:val="0"/>
        <w:adjustRightInd w:val="0"/>
        <w:spacing w:before="360" w:after="360" w:line="276" w:lineRule="auto"/>
        <w:rPr>
          <w:rFonts w:ascii="Calibri" w:hAnsi="Calibri"/>
        </w:rPr>
      </w:pPr>
      <w:r>
        <w:rPr>
          <w:rFonts w:ascii="Calibri" w:hAnsi="Calibri"/>
        </w:rPr>
        <w:t xml:space="preserve">W sytuacji realizacji projektu w formule zaprojektuj i </w:t>
      </w:r>
      <w:r w:rsidR="009C07F8">
        <w:rPr>
          <w:rFonts w:ascii="Calibri" w:hAnsi="Calibri"/>
        </w:rPr>
        <w:t>wybuduj do</w:t>
      </w:r>
      <w:r w:rsidRPr="0089006E">
        <w:rPr>
          <w:rFonts w:ascii="Calibri" w:hAnsi="Calibri"/>
        </w:rPr>
        <w:t xml:space="preserve"> wniosku o</w:t>
      </w:r>
      <w:r>
        <w:rPr>
          <w:rFonts w:ascii="Calibri" w:hAnsi="Calibri"/>
        </w:rPr>
        <w:t> </w:t>
      </w:r>
      <w:r w:rsidRPr="0089006E">
        <w:rPr>
          <w:rFonts w:ascii="Calibri" w:hAnsi="Calibri"/>
        </w:rPr>
        <w:t xml:space="preserve">dofinansowanie </w:t>
      </w:r>
      <w:r>
        <w:rPr>
          <w:rFonts w:ascii="Calibri" w:hAnsi="Calibri"/>
        </w:rPr>
        <w:t xml:space="preserve">obowiązkowe jest załączenie </w:t>
      </w:r>
      <w:r w:rsidRPr="0089006E">
        <w:rPr>
          <w:rFonts w:ascii="Calibri" w:hAnsi="Calibri"/>
          <w:b/>
        </w:rPr>
        <w:t>programu funkcjonalno-użytkowego</w:t>
      </w:r>
      <w:r w:rsidRPr="0089006E">
        <w:rPr>
          <w:rFonts w:ascii="Calibri" w:hAnsi="Calibri"/>
        </w:rPr>
        <w:t>.</w:t>
      </w:r>
      <w:r w:rsidR="00E10F99">
        <w:rPr>
          <w:rFonts w:ascii="Calibri" w:hAnsi="Calibri"/>
        </w:rPr>
        <w:t xml:space="preserve"> Jeżeli dokument nie </w:t>
      </w:r>
      <w:r w:rsidR="00E10F99">
        <w:rPr>
          <w:rFonts w:ascii="Calibri" w:hAnsi="Calibri"/>
        </w:rPr>
        <w:lastRenderedPageBreak/>
        <w:t>zostanie złożony w terminie naboru wniosków</w:t>
      </w:r>
      <w:r w:rsidR="00607F0F">
        <w:rPr>
          <w:rFonts w:ascii="Calibri" w:hAnsi="Calibri"/>
        </w:rPr>
        <w:t>,</w:t>
      </w:r>
      <w:r w:rsidR="00E10F99">
        <w:rPr>
          <w:rFonts w:ascii="Calibri" w:hAnsi="Calibri"/>
        </w:rPr>
        <w:t xml:space="preserve"> </w:t>
      </w:r>
      <w:r w:rsidR="00F850B4">
        <w:rPr>
          <w:rFonts w:ascii="Calibri" w:hAnsi="Calibri"/>
        </w:rPr>
        <w:t>W</w:t>
      </w:r>
      <w:r w:rsidR="00607F0F">
        <w:rPr>
          <w:rFonts w:ascii="Calibri" w:hAnsi="Calibri"/>
        </w:rPr>
        <w:t xml:space="preserve">nioskodawca zostanie wezwany do jego </w:t>
      </w:r>
      <w:r w:rsidR="00E10F99">
        <w:rPr>
          <w:rFonts w:ascii="Calibri" w:hAnsi="Calibri"/>
        </w:rPr>
        <w:t>przedłożeni</w:t>
      </w:r>
      <w:r w:rsidR="00607F0F">
        <w:rPr>
          <w:rFonts w:ascii="Calibri" w:hAnsi="Calibri"/>
        </w:rPr>
        <w:t>a</w:t>
      </w:r>
      <w:r w:rsidR="00E10F99">
        <w:rPr>
          <w:rFonts w:ascii="Calibri" w:hAnsi="Calibri"/>
        </w:rPr>
        <w:t xml:space="preserve"> na etapie oceny formalnej. </w:t>
      </w:r>
    </w:p>
    <w:tbl>
      <w:tblPr>
        <w:tblStyle w:val="Tabela-Siatka"/>
        <w:tblW w:w="0" w:type="auto"/>
        <w:tblInd w:w="-15" w:type="dxa"/>
        <w:tblBorders>
          <w:top w:val="single" w:sz="12" w:space="0" w:color="FF0000"/>
          <w:left w:val="single" w:sz="12" w:space="0" w:color="FF0000"/>
          <w:bottom w:val="single" w:sz="12" w:space="0" w:color="FF0000"/>
          <w:right w:val="single" w:sz="12" w:space="0" w:color="FF0000"/>
          <w:insideH w:val="single" w:sz="12" w:space="0" w:color="FF0000"/>
          <w:insideV w:val="single" w:sz="12" w:space="0" w:color="FF0000"/>
        </w:tblBorders>
        <w:tblLook w:val="04A0" w:firstRow="1" w:lastRow="0" w:firstColumn="1" w:lastColumn="0" w:noHBand="0" w:noVBand="1"/>
      </w:tblPr>
      <w:tblGrid>
        <w:gridCol w:w="9055"/>
      </w:tblGrid>
      <w:tr w:rsidR="0064104A" w:rsidRPr="004B77D6" w14:paraId="52378F32" w14:textId="77777777" w:rsidTr="00044260">
        <w:tc>
          <w:tcPr>
            <w:tcW w:w="9055" w:type="dxa"/>
          </w:tcPr>
          <w:p w14:paraId="60CF5265" w14:textId="5AA9FCCC" w:rsidR="009779D4" w:rsidRPr="00A5756A" w:rsidRDefault="00D66998" w:rsidP="009779D4">
            <w:pPr>
              <w:pStyle w:val="NormalnyWeb"/>
              <w:spacing w:before="120" w:beforeAutospacing="0" w:after="0" w:afterAutospacing="0"/>
              <w:rPr>
                <w:rFonts w:ascii="Calibri" w:hAnsi="Calibri" w:cs="Times New Roman"/>
                <w:b/>
                <w:color w:val="auto"/>
                <w:szCs w:val="22"/>
              </w:rPr>
            </w:pPr>
            <w:r>
              <w:rPr>
                <w:rFonts w:ascii="Calibri" w:hAnsi="Calibri" w:cs="Times New Roman"/>
                <w:b/>
                <w:color w:val="auto"/>
                <w:szCs w:val="22"/>
              </w:rPr>
              <w:t>UWAGA</w:t>
            </w:r>
            <w:r w:rsidR="009779D4" w:rsidRPr="00A5756A">
              <w:rPr>
                <w:rFonts w:ascii="Calibri" w:hAnsi="Calibri" w:cs="Times New Roman"/>
                <w:b/>
                <w:color w:val="auto"/>
                <w:szCs w:val="22"/>
              </w:rPr>
              <w:t>!</w:t>
            </w:r>
          </w:p>
          <w:p w14:paraId="2B2C0138" w14:textId="5C58EE69" w:rsidR="0064104A" w:rsidRPr="0064104A" w:rsidRDefault="009779D4" w:rsidP="009779D4">
            <w:pPr>
              <w:tabs>
                <w:tab w:val="left" w:pos="709"/>
                <w:tab w:val="left" w:pos="9070"/>
              </w:tabs>
              <w:autoSpaceDE w:val="0"/>
              <w:autoSpaceDN w:val="0"/>
              <w:adjustRightInd w:val="0"/>
              <w:spacing w:before="120" w:after="120" w:line="276" w:lineRule="auto"/>
              <w:rPr>
                <w:rFonts w:ascii="Calibri" w:hAnsi="Calibri"/>
                <w:szCs w:val="22"/>
              </w:rPr>
            </w:pPr>
            <w:r w:rsidRPr="00A5756A">
              <w:rPr>
                <w:rFonts w:ascii="Calibri" w:hAnsi="Calibri"/>
                <w:szCs w:val="22"/>
              </w:rPr>
              <w:t xml:space="preserve">Szczegółowy zakres i formę programu funkcjonalno-użytkowego określa Rozporządzenie </w:t>
            </w:r>
            <w:r w:rsidRPr="00323092">
              <w:rPr>
                <w:rFonts w:ascii="Calibri" w:hAnsi="Calibri"/>
                <w:szCs w:val="22"/>
              </w:rPr>
              <w:t>M</w:t>
            </w:r>
            <w:r>
              <w:rPr>
                <w:rFonts w:ascii="Calibri" w:hAnsi="Calibri"/>
                <w:szCs w:val="22"/>
              </w:rPr>
              <w:t xml:space="preserve">inistra Rozwoju i Technologii </w:t>
            </w:r>
            <w:r w:rsidRPr="00323092">
              <w:rPr>
                <w:rFonts w:ascii="Calibri" w:hAnsi="Calibri"/>
                <w:szCs w:val="22"/>
              </w:rPr>
              <w:t>z dnia 20 grudnia 2021 r.</w:t>
            </w:r>
            <w:r>
              <w:rPr>
                <w:rFonts w:ascii="Calibri" w:hAnsi="Calibri"/>
                <w:szCs w:val="22"/>
              </w:rPr>
              <w:t xml:space="preserve"> </w:t>
            </w:r>
            <w:r w:rsidRPr="00323092">
              <w:rPr>
                <w:rFonts w:ascii="Calibri" w:hAnsi="Calibri"/>
                <w:szCs w:val="22"/>
              </w:rPr>
              <w:t xml:space="preserve">w sprawie szczegółowego zakresu i formy dokumentacji projektowej, specyfikacji technicznych wykonania i odbioru robót budowlanych oraz programu funkcjonalno-użytkowego </w:t>
            </w:r>
            <w:r w:rsidRPr="00A5756A">
              <w:rPr>
                <w:rFonts w:ascii="Calibri" w:hAnsi="Calibri"/>
                <w:szCs w:val="22"/>
              </w:rPr>
              <w:t>(Dz.</w:t>
            </w:r>
            <w:r>
              <w:rPr>
                <w:rFonts w:ascii="Calibri" w:hAnsi="Calibri"/>
                <w:szCs w:val="22"/>
              </w:rPr>
              <w:t xml:space="preserve"> </w:t>
            </w:r>
            <w:r w:rsidRPr="00A5756A">
              <w:rPr>
                <w:rFonts w:ascii="Calibri" w:hAnsi="Calibri"/>
                <w:szCs w:val="22"/>
              </w:rPr>
              <w:t xml:space="preserve">U. </w:t>
            </w:r>
            <w:r>
              <w:rPr>
                <w:rFonts w:ascii="Calibri" w:hAnsi="Calibri"/>
                <w:szCs w:val="22"/>
              </w:rPr>
              <w:t xml:space="preserve">z 2021 r. </w:t>
            </w:r>
            <w:r w:rsidRPr="00A5756A">
              <w:rPr>
                <w:rFonts w:ascii="Calibri" w:hAnsi="Calibri"/>
                <w:szCs w:val="22"/>
              </w:rPr>
              <w:t xml:space="preserve">poz. </w:t>
            </w:r>
            <w:r>
              <w:rPr>
                <w:rFonts w:ascii="Calibri" w:hAnsi="Calibri"/>
                <w:szCs w:val="22"/>
              </w:rPr>
              <w:t>2454</w:t>
            </w:r>
            <w:r w:rsidRPr="00A5756A">
              <w:rPr>
                <w:rFonts w:ascii="Calibri" w:hAnsi="Calibri"/>
                <w:szCs w:val="22"/>
              </w:rPr>
              <w:t>).</w:t>
            </w:r>
          </w:p>
        </w:tc>
      </w:tr>
    </w:tbl>
    <w:p w14:paraId="198A2042" w14:textId="79BFDC45" w:rsidR="0064104A" w:rsidRDefault="00A967AA" w:rsidP="0089006E">
      <w:pPr>
        <w:tabs>
          <w:tab w:val="left" w:pos="709"/>
          <w:tab w:val="left" w:pos="9070"/>
        </w:tabs>
        <w:autoSpaceDE w:val="0"/>
        <w:autoSpaceDN w:val="0"/>
        <w:adjustRightInd w:val="0"/>
        <w:spacing w:before="120" w:after="120" w:line="276" w:lineRule="auto"/>
        <w:rPr>
          <w:rFonts w:ascii="Calibri" w:hAnsi="Calibri"/>
          <w:szCs w:val="24"/>
        </w:rPr>
      </w:pPr>
      <w:r>
        <w:rPr>
          <w:rFonts w:ascii="Calibri" w:hAnsi="Calibri"/>
          <w:szCs w:val="24"/>
        </w:rPr>
        <w:t>N</w:t>
      </w:r>
      <w:r w:rsidR="009779D4" w:rsidRPr="0089006E">
        <w:rPr>
          <w:rFonts w:ascii="Calibri" w:hAnsi="Calibri"/>
          <w:szCs w:val="24"/>
        </w:rPr>
        <w:t xml:space="preserve">ależy </w:t>
      </w:r>
      <w:r>
        <w:rPr>
          <w:rFonts w:ascii="Calibri" w:hAnsi="Calibri"/>
          <w:szCs w:val="24"/>
        </w:rPr>
        <w:t xml:space="preserve">również </w:t>
      </w:r>
      <w:r w:rsidR="009779D4" w:rsidRPr="0089006E">
        <w:rPr>
          <w:rFonts w:ascii="Calibri" w:hAnsi="Calibri"/>
          <w:szCs w:val="24"/>
        </w:rPr>
        <w:t xml:space="preserve">pamiętać, </w:t>
      </w:r>
      <w:r>
        <w:rPr>
          <w:rFonts w:ascii="Calibri" w:hAnsi="Calibri"/>
          <w:szCs w:val="24"/>
        </w:rPr>
        <w:t>że</w:t>
      </w:r>
      <w:r w:rsidR="009779D4" w:rsidRPr="0089006E">
        <w:rPr>
          <w:rFonts w:ascii="Calibri" w:hAnsi="Calibri"/>
          <w:szCs w:val="24"/>
        </w:rPr>
        <w:t xml:space="preserve"> zgodnie z </w:t>
      </w:r>
      <w:r w:rsidR="009779D4">
        <w:rPr>
          <w:rFonts w:ascii="Calibri" w:hAnsi="Calibri"/>
          <w:szCs w:val="24"/>
        </w:rPr>
        <w:t xml:space="preserve">art. 103 </w:t>
      </w:r>
      <w:r w:rsidR="009779D4" w:rsidRPr="00044260">
        <w:rPr>
          <w:rFonts w:ascii="Calibri" w:hAnsi="Calibri"/>
          <w:szCs w:val="24"/>
        </w:rPr>
        <w:t>ustaw</w:t>
      </w:r>
      <w:r w:rsidR="009779D4">
        <w:rPr>
          <w:rFonts w:ascii="Calibri" w:hAnsi="Calibri"/>
          <w:szCs w:val="24"/>
        </w:rPr>
        <w:t>y</w:t>
      </w:r>
      <w:r w:rsidR="009779D4" w:rsidRPr="00044260">
        <w:rPr>
          <w:rFonts w:ascii="Calibri" w:hAnsi="Calibri"/>
          <w:szCs w:val="24"/>
        </w:rPr>
        <w:t xml:space="preserve"> z dnia 11 września 2019 r.</w:t>
      </w:r>
      <w:r w:rsidR="009779D4">
        <w:rPr>
          <w:rFonts w:ascii="Calibri" w:hAnsi="Calibri"/>
          <w:szCs w:val="24"/>
        </w:rPr>
        <w:t xml:space="preserve"> </w:t>
      </w:r>
      <w:r w:rsidR="009779D4" w:rsidRPr="00044260">
        <w:rPr>
          <w:rFonts w:ascii="Calibri" w:hAnsi="Calibri"/>
          <w:szCs w:val="24"/>
        </w:rPr>
        <w:t>Prawo zamówień publicznych</w:t>
      </w:r>
      <w:r w:rsidR="009779D4" w:rsidRPr="0089006E">
        <w:rPr>
          <w:rFonts w:ascii="Calibri" w:hAnsi="Calibri"/>
          <w:i/>
          <w:szCs w:val="24"/>
        </w:rPr>
        <w:t>,</w:t>
      </w:r>
      <w:r w:rsidR="009779D4" w:rsidRPr="0089006E">
        <w:rPr>
          <w:rFonts w:ascii="Calibri" w:hAnsi="Calibri"/>
          <w:szCs w:val="24"/>
        </w:rPr>
        <w:t xml:space="preserve"> jeżeli </w:t>
      </w:r>
      <w:r w:rsidR="009779D4" w:rsidRPr="0089006E">
        <w:rPr>
          <w:rFonts w:ascii="Calibri" w:hAnsi="Calibri"/>
          <w:szCs w:val="24"/>
          <w:u w:val="single"/>
        </w:rPr>
        <w:t>przedmiotem zamówienia jest zaprojektowanie i wykonanie robót budowlanych</w:t>
      </w:r>
      <w:r w:rsidR="009779D4" w:rsidRPr="0089006E">
        <w:rPr>
          <w:rFonts w:ascii="Calibri" w:hAnsi="Calibri"/>
          <w:szCs w:val="24"/>
        </w:rPr>
        <w:t xml:space="preserve"> w rozumieniu </w:t>
      </w:r>
      <w:r w:rsidR="009779D4" w:rsidRPr="0089006E">
        <w:rPr>
          <w:rFonts w:asciiTheme="minorHAnsi" w:hAnsiTheme="minorHAnsi" w:cstheme="minorHAnsi"/>
          <w:szCs w:val="24"/>
        </w:rPr>
        <w:t>Ustawy z dnia 7 lipca 1994 r. Prawo budowlane</w:t>
      </w:r>
      <w:r w:rsidR="009779D4">
        <w:rPr>
          <w:rFonts w:asciiTheme="minorHAnsi" w:hAnsiTheme="minorHAnsi" w:cstheme="minorHAnsi"/>
          <w:szCs w:val="24"/>
        </w:rPr>
        <w:t>,</w:t>
      </w:r>
      <w:r w:rsidR="009779D4" w:rsidRPr="0089006E">
        <w:rPr>
          <w:rFonts w:ascii="Calibri" w:hAnsi="Calibri"/>
          <w:szCs w:val="24"/>
        </w:rPr>
        <w:t xml:space="preserve"> zamawiający opisuje przedmiot zamówienia za pomocą programu funkcjonalno-użytkowego</w:t>
      </w:r>
      <w:r w:rsidR="009779D4">
        <w:rPr>
          <w:rFonts w:ascii="Calibri" w:hAnsi="Calibri"/>
          <w:szCs w:val="24"/>
        </w:rPr>
        <w:t>.</w:t>
      </w:r>
    </w:p>
    <w:p w14:paraId="4E831DC5" w14:textId="77777777" w:rsidR="00A937B9" w:rsidRPr="0089006E" w:rsidRDefault="00A937B9" w:rsidP="00A937B9">
      <w:pPr>
        <w:tabs>
          <w:tab w:val="left" w:pos="709"/>
          <w:tab w:val="left" w:pos="9070"/>
        </w:tabs>
        <w:autoSpaceDE w:val="0"/>
        <w:autoSpaceDN w:val="0"/>
        <w:adjustRightInd w:val="0"/>
        <w:spacing w:before="120" w:after="120" w:line="276" w:lineRule="auto"/>
        <w:rPr>
          <w:rFonts w:ascii="Calibri" w:hAnsi="Calibri"/>
          <w:szCs w:val="24"/>
        </w:rPr>
      </w:pPr>
      <w:r w:rsidRPr="0089006E">
        <w:rPr>
          <w:rFonts w:ascii="Calibri" w:hAnsi="Calibri"/>
          <w:szCs w:val="24"/>
          <w:u w:val="single"/>
        </w:rPr>
        <w:t>Program funkcjonalno-użytkowy</w:t>
      </w:r>
      <w:r w:rsidRPr="0089006E">
        <w:rPr>
          <w:rFonts w:ascii="Calibri" w:hAnsi="Calibri"/>
          <w:szCs w:val="24"/>
        </w:rPr>
        <w:t xml:space="preserve"> obejmuje opis zadania budowlanego,</w:t>
      </w:r>
      <w:r>
        <w:rPr>
          <w:rFonts w:ascii="Calibri" w:hAnsi="Calibri"/>
          <w:szCs w:val="24"/>
        </w:rPr>
        <w:t xml:space="preserve"> prac budowlano-montażowych,</w:t>
      </w:r>
      <w:r w:rsidRPr="0089006E">
        <w:rPr>
          <w:rFonts w:ascii="Calibri" w:hAnsi="Calibri"/>
          <w:szCs w:val="24"/>
        </w:rPr>
        <w:t xml:space="preserve"> w którym podaje się przeznaczenie ukończonych robót budowlanych oraz stawiane im wymagania techniczne, ekonomiczne, architektoniczne, materiałowe i funkcjonalne</w:t>
      </w:r>
      <w:r>
        <w:rPr>
          <w:rFonts w:ascii="Calibri" w:hAnsi="Calibri"/>
          <w:szCs w:val="24"/>
        </w:rPr>
        <w:t>.</w:t>
      </w:r>
    </w:p>
    <w:p w14:paraId="1719EBA1" w14:textId="522357EC" w:rsidR="00A937B9" w:rsidRDefault="00A937B9" w:rsidP="006E7082">
      <w:pPr>
        <w:tabs>
          <w:tab w:val="left" w:pos="567"/>
          <w:tab w:val="left" w:pos="8820"/>
        </w:tabs>
        <w:autoSpaceDE w:val="0"/>
        <w:autoSpaceDN w:val="0"/>
        <w:adjustRightInd w:val="0"/>
        <w:spacing w:before="120" w:after="120" w:line="276" w:lineRule="auto"/>
        <w:rPr>
          <w:rFonts w:ascii="Calibri" w:hAnsi="Calibri"/>
          <w:szCs w:val="24"/>
        </w:rPr>
      </w:pPr>
      <w:r w:rsidRPr="0089006E">
        <w:rPr>
          <w:rFonts w:ascii="Calibri" w:hAnsi="Calibri"/>
          <w:szCs w:val="24"/>
        </w:rPr>
        <w:t>Dla projektów z programem funkcjonalno-użytkowym należy również załączyć dokumenty</w:t>
      </w:r>
      <w:r>
        <w:rPr>
          <w:rFonts w:ascii="Calibri" w:hAnsi="Calibri"/>
          <w:szCs w:val="24"/>
        </w:rPr>
        <w:t>,</w:t>
      </w:r>
      <w:r w:rsidRPr="0089006E">
        <w:rPr>
          <w:rFonts w:ascii="Calibri" w:hAnsi="Calibri"/>
          <w:szCs w:val="24"/>
        </w:rPr>
        <w:t xml:space="preserve"> o</w:t>
      </w:r>
      <w:r w:rsidR="006E7082">
        <w:rPr>
          <w:rFonts w:ascii="Calibri" w:hAnsi="Calibri"/>
          <w:szCs w:val="24"/>
        </w:rPr>
        <w:t> </w:t>
      </w:r>
      <w:r w:rsidRPr="0089006E">
        <w:rPr>
          <w:rFonts w:ascii="Calibri" w:hAnsi="Calibri"/>
          <w:szCs w:val="24"/>
        </w:rPr>
        <w:t>których mowa w pkt. 3.2</w:t>
      </w:r>
      <w:r>
        <w:rPr>
          <w:rFonts w:ascii="Calibri" w:hAnsi="Calibri"/>
          <w:szCs w:val="24"/>
        </w:rPr>
        <w:t>,</w:t>
      </w:r>
      <w:r w:rsidRPr="0089006E">
        <w:rPr>
          <w:rFonts w:ascii="Calibri" w:hAnsi="Calibri"/>
          <w:szCs w:val="24"/>
        </w:rPr>
        <w:t xml:space="preserve"> tj. dotyczące zagospodarowania przestrzennego (</w:t>
      </w:r>
      <w:r>
        <w:rPr>
          <w:rFonts w:ascii="Calibri" w:hAnsi="Calibri"/>
          <w:szCs w:val="24"/>
        </w:rPr>
        <w:t>skan</w:t>
      </w:r>
      <w:r w:rsidRPr="0089006E">
        <w:rPr>
          <w:rFonts w:ascii="Calibri" w:hAnsi="Calibri"/>
          <w:szCs w:val="24"/>
        </w:rPr>
        <w:t xml:space="preserve"> decyzji o</w:t>
      </w:r>
      <w:r w:rsidR="006E7082">
        <w:rPr>
          <w:rFonts w:ascii="Calibri" w:hAnsi="Calibri"/>
          <w:szCs w:val="24"/>
        </w:rPr>
        <w:t> </w:t>
      </w:r>
      <w:r w:rsidRPr="0089006E">
        <w:rPr>
          <w:rFonts w:ascii="Calibri" w:hAnsi="Calibri"/>
          <w:szCs w:val="24"/>
        </w:rPr>
        <w:t xml:space="preserve">warunkach zabudowy lub </w:t>
      </w:r>
      <w:r>
        <w:rPr>
          <w:rFonts w:ascii="Calibri" w:hAnsi="Calibri"/>
          <w:szCs w:val="24"/>
        </w:rPr>
        <w:t>skan</w:t>
      </w:r>
      <w:r w:rsidRPr="0089006E">
        <w:rPr>
          <w:rFonts w:ascii="Calibri" w:hAnsi="Calibri"/>
          <w:szCs w:val="24"/>
        </w:rPr>
        <w:t xml:space="preserve"> decyzji o ustaleniu inwestycji celu publicznego lub wypis i wyrys z miejscowego planu zagospodarowania przestrzennego).</w:t>
      </w:r>
    </w:p>
    <w:p w14:paraId="587149E4" w14:textId="1DC90399" w:rsidR="00A937B9" w:rsidRPr="00A937B9" w:rsidRDefault="00A967AA" w:rsidP="006E7082">
      <w:pPr>
        <w:suppressAutoHyphens w:val="0"/>
        <w:spacing w:line="276" w:lineRule="auto"/>
        <w:rPr>
          <w:rFonts w:ascii="Calibri" w:hAnsi="Calibri"/>
        </w:rPr>
      </w:pPr>
      <w:r>
        <w:rPr>
          <w:rFonts w:ascii="Calibri" w:eastAsia="Calibri" w:hAnsi="Calibri" w:cs="Calibri"/>
          <w:szCs w:val="24"/>
        </w:rPr>
        <w:t>N</w:t>
      </w:r>
      <w:r w:rsidR="00A937B9" w:rsidRPr="00B71E10">
        <w:rPr>
          <w:rFonts w:ascii="Calibri" w:eastAsia="Calibri" w:hAnsi="Calibri" w:cs="Calibri"/>
          <w:szCs w:val="24"/>
        </w:rPr>
        <w:t xml:space="preserve">ależy pamiętać, </w:t>
      </w:r>
      <w:r>
        <w:rPr>
          <w:rFonts w:ascii="Calibri" w:eastAsia="Calibri" w:hAnsi="Calibri" w:cs="Calibri"/>
          <w:szCs w:val="24"/>
        </w:rPr>
        <w:t>że poz</w:t>
      </w:r>
      <w:r w:rsidR="006351C4">
        <w:rPr>
          <w:rFonts w:ascii="Calibri" w:eastAsia="Calibri" w:hAnsi="Calibri" w:cs="Calibri"/>
          <w:szCs w:val="24"/>
        </w:rPr>
        <w:t>w</w:t>
      </w:r>
      <w:r>
        <w:rPr>
          <w:rFonts w:ascii="Calibri" w:eastAsia="Calibri" w:hAnsi="Calibri" w:cs="Calibri"/>
          <w:szCs w:val="24"/>
        </w:rPr>
        <w:t>olenie na budowę lub zgłoszenie budowy</w:t>
      </w:r>
      <w:r w:rsidR="00A937B9" w:rsidRPr="00B71E10">
        <w:rPr>
          <w:rFonts w:ascii="Calibri" w:eastAsia="Calibri" w:hAnsi="Calibri" w:cs="Calibri"/>
          <w:szCs w:val="24"/>
        </w:rPr>
        <w:t xml:space="preserve"> będ</w:t>
      </w:r>
      <w:r>
        <w:rPr>
          <w:rFonts w:ascii="Calibri" w:eastAsia="Calibri" w:hAnsi="Calibri" w:cs="Calibri"/>
          <w:szCs w:val="24"/>
        </w:rPr>
        <w:t>zie</w:t>
      </w:r>
      <w:r w:rsidR="00A937B9" w:rsidRPr="00B71E10">
        <w:rPr>
          <w:rFonts w:ascii="Calibri" w:eastAsia="Calibri" w:hAnsi="Calibri" w:cs="Calibri"/>
          <w:szCs w:val="24"/>
        </w:rPr>
        <w:t xml:space="preserve"> musiał</w:t>
      </w:r>
      <w:r>
        <w:rPr>
          <w:rFonts w:ascii="Calibri" w:eastAsia="Calibri" w:hAnsi="Calibri" w:cs="Calibri"/>
          <w:szCs w:val="24"/>
        </w:rPr>
        <w:t>o</w:t>
      </w:r>
      <w:r w:rsidR="00A937B9" w:rsidRPr="00B71E10">
        <w:rPr>
          <w:rFonts w:ascii="Calibri" w:eastAsia="Calibri" w:hAnsi="Calibri" w:cs="Calibri"/>
          <w:szCs w:val="24"/>
        </w:rPr>
        <w:t xml:space="preserve"> zostać dostarczone do Instytucji Zarządzającej po </w:t>
      </w:r>
      <w:r>
        <w:rPr>
          <w:rFonts w:ascii="Calibri" w:eastAsia="Calibri" w:hAnsi="Calibri" w:cs="Calibri"/>
          <w:szCs w:val="24"/>
        </w:rPr>
        <w:t>jego</w:t>
      </w:r>
      <w:r w:rsidR="00A937B9" w:rsidRPr="00B71E10">
        <w:rPr>
          <w:rFonts w:ascii="Calibri" w:eastAsia="Calibri" w:hAnsi="Calibri" w:cs="Calibri"/>
          <w:szCs w:val="24"/>
        </w:rPr>
        <w:t xml:space="preserve"> otrzymaniu przez </w:t>
      </w:r>
      <w:r w:rsidR="004E4EE7">
        <w:rPr>
          <w:rFonts w:ascii="Calibri" w:eastAsia="Calibri" w:hAnsi="Calibri" w:cs="Calibri"/>
          <w:szCs w:val="24"/>
        </w:rPr>
        <w:t>W</w:t>
      </w:r>
      <w:r w:rsidR="00A937B9" w:rsidRPr="00B71E10">
        <w:rPr>
          <w:rFonts w:ascii="Calibri" w:eastAsia="Calibri" w:hAnsi="Calibri" w:cs="Calibri"/>
          <w:szCs w:val="24"/>
        </w:rPr>
        <w:t>nioskodawcę, już po podpisaniu umowy o dofinansowanie</w:t>
      </w:r>
      <w:r w:rsidR="00A937B9">
        <w:rPr>
          <w:rFonts w:ascii="Calibri" w:eastAsia="Calibri" w:hAnsi="Calibri" w:cs="Calibri"/>
          <w:szCs w:val="24"/>
        </w:rPr>
        <w:t>/</w:t>
      </w:r>
      <w:r w:rsidR="006E7082">
        <w:rPr>
          <w:rFonts w:ascii="Calibri" w:eastAsia="Calibri" w:hAnsi="Calibri" w:cs="Calibri"/>
          <w:szCs w:val="24"/>
        </w:rPr>
        <w:t xml:space="preserve"> </w:t>
      </w:r>
      <w:r w:rsidR="00A937B9">
        <w:rPr>
          <w:rFonts w:ascii="Calibri" w:eastAsia="Calibri" w:hAnsi="Calibri" w:cs="Calibri"/>
          <w:szCs w:val="24"/>
        </w:rPr>
        <w:t>podjęciu decyzji o dofinansowaniu projektu</w:t>
      </w:r>
      <w:r w:rsidR="00A937B9" w:rsidRPr="00B71E10">
        <w:rPr>
          <w:rFonts w:ascii="Calibri" w:eastAsia="Calibri" w:hAnsi="Calibri" w:cs="Calibri"/>
          <w:szCs w:val="24"/>
        </w:rPr>
        <w:t xml:space="preserve">. </w:t>
      </w:r>
      <w:r w:rsidR="00180835">
        <w:rPr>
          <w:rFonts w:ascii="Calibri" w:eastAsia="Calibri" w:hAnsi="Calibri" w:cs="Calibri"/>
          <w:szCs w:val="24"/>
        </w:rPr>
        <w:t xml:space="preserve">Wraz z dostarczanymi dokumentami należy przedłożyć zaktualizowany </w:t>
      </w:r>
      <w:r w:rsidR="00180835" w:rsidRPr="004B77D6">
        <w:rPr>
          <w:rFonts w:asciiTheme="minorHAnsi" w:hAnsiTheme="minorHAnsi" w:cstheme="minorHAnsi"/>
          <w:szCs w:val="24"/>
        </w:rPr>
        <w:t xml:space="preserve">załącznik nr 2 do wniosku tj. </w:t>
      </w:r>
      <w:r w:rsidR="00180835">
        <w:rPr>
          <w:rFonts w:asciiTheme="minorHAnsi" w:hAnsiTheme="minorHAnsi" w:cstheme="minorHAnsi"/>
          <w:szCs w:val="24"/>
        </w:rPr>
        <w:t>F</w:t>
      </w:r>
      <w:r w:rsidR="00180835" w:rsidRPr="004B77D6">
        <w:rPr>
          <w:rFonts w:asciiTheme="minorHAnsi" w:hAnsiTheme="minorHAnsi" w:cstheme="minorHAnsi"/>
          <w:szCs w:val="24"/>
        </w:rPr>
        <w:t>ormularz w zakresie wpływu projektu</w:t>
      </w:r>
      <w:r w:rsidR="00180835">
        <w:rPr>
          <w:rFonts w:asciiTheme="minorHAnsi" w:hAnsiTheme="minorHAnsi" w:cstheme="minorHAnsi"/>
          <w:szCs w:val="24"/>
        </w:rPr>
        <w:t xml:space="preserve"> </w:t>
      </w:r>
      <w:r w:rsidR="00180835" w:rsidRPr="004B77D6">
        <w:rPr>
          <w:rFonts w:asciiTheme="minorHAnsi" w:hAnsiTheme="minorHAnsi" w:cstheme="minorHAnsi"/>
          <w:szCs w:val="24"/>
        </w:rPr>
        <w:t>na środowisko</w:t>
      </w:r>
      <w:r w:rsidR="00180835">
        <w:rPr>
          <w:rFonts w:asciiTheme="minorHAnsi" w:hAnsiTheme="minorHAnsi" w:cstheme="minorHAnsi"/>
          <w:szCs w:val="24"/>
        </w:rPr>
        <w:t>.</w:t>
      </w:r>
      <w:r w:rsidR="00180835">
        <w:rPr>
          <w:rFonts w:ascii="Calibri" w:eastAsia="Calibri" w:hAnsi="Calibri" w:cs="Calibri"/>
          <w:szCs w:val="24"/>
        </w:rPr>
        <w:t xml:space="preserve"> </w:t>
      </w:r>
      <w:r w:rsidR="00A937B9" w:rsidRPr="00B71E10">
        <w:rPr>
          <w:rFonts w:ascii="Calibri" w:eastAsia="Calibri" w:hAnsi="Calibri" w:cs="Calibri"/>
          <w:szCs w:val="24"/>
        </w:rPr>
        <w:t xml:space="preserve">Po otrzymaniu dokumentacji projektu oraz wszelkich wymaganych prawem pozwoleń na realizację projektu, Instytucja Zarządzająca dokona oceny </w:t>
      </w:r>
      <w:r w:rsidR="00A937B9" w:rsidRPr="0046710A">
        <w:rPr>
          <w:rFonts w:ascii="Calibri" w:eastAsia="Calibri" w:hAnsi="Calibri" w:cs="Calibri"/>
          <w:szCs w:val="24"/>
        </w:rPr>
        <w:t xml:space="preserve">czy projekt </w:t>
      </w:r>
      <w:r w:rsidR="00A937B9" w:rsidRPr="00A937B9">
        <w:rPr>
          <w:rFonts w:ascii="Calibri" w:hAnsi="Calibri"/>
        </w:rPr>
        <w:t xml:space="preserve">w dalszym ciągu spełnia kryteria wyboru projektów, stanowiące załącznik do </w:t>
      </w:r>
      <w:r w:rsidR="00A937B9" w:rsidRPr="00757490">
        <w:rPr>
          <w:rFonts w:ascii="Calibri" w:hAnsi="Calibri"/>
          <w:i/>
          <w:iCs/>
        </w:rPr>
        <w:t>Regulaminu wyboru projektów</w:t>
      </w:r>
      <w:r w:rsidR="00A937B9" w:rsidRPr="00A937B9">
        <w:rPr>
          <w:rFonts w:ascii="Calibri" w:hAnsi="Calibri"/>
        </w:rPr>
        <w:t xml:space="preserve"> obowiązującego w naborze, w ramach którego projekt został wybrany do dofinansowania </w:t>
      </w:r>
      <w:r w:rsidR="00A937B9" w:rsidRPr="0046710A">
        <w:rPr>
          <w:rFonts w:ascii="Calibri" w:eastAsia="Calibri" w:hAnsi="Calibri" w:cs="Calibri"/>
          <w:szCs w:val="24"/>
        </w:rPr>
        <w:t>(szczegółowe zapisy znajdują się w</w:t>
      </w:r>
      <w:r w:rsidR="00A937B9">
        <w:rPr>
          <w:rFonts w:ascii="Calibri" w:eastAsia="Calibri" w:hAnsi="Calibri" w:cs="Calibri"/>
          <w:szCs w:val="24"/>
        </w:rPr>
        <w:t>e wzorze</w:t>
      </w:r>
      <w:r w:rsidR="00A937B9" w:rsidRPr="0046710A">
        <w:rPr>
          <w:rFonts w:ascii="Calibri" w:eastAsia="Calibri" w:hAnsi="Calibri" w:cs="Calibri"/>
          <w:szCs w:val="24"/>
        </w:rPr>
        <w:t xml:space="preserve"> </w:t>
      </w:r>
      <w:r w:rsidR="00A937B9">
        <w:rPr>
          <w:rFonts w:ascii="Calibri" w:eastAsia="Calibri" w:hAnsi="Calibri" w:cs="Calibri"/>
          <w:szCs w:val="24"/>
        </w:rPr>
        <w:t>decyzji</w:t>
      </w:r>
      <w:r w:rsidR="00A937B9" w:rsidRPr="0046710A">
        <w:rPr>
          <w:rFonts w:ascii="Calibri" w:eastAsia="Calibri" w:hAnsi="Calibri" w:cs="Calibri"/>
          <w:szCs w:val="24"/>
        </w:rPr>
        <w:t xml:space="preserve"> o dofinansowani</w:t>
      </w:r>
      <w:r w:rsidR="00A937B9">
        <w:rPr>
          <w:rFonts w:ascii="Calibri" w:eastAsia="Calibri" w:hAnsi="Calibri" w:cs="Calibri"/>
          <w:szCs w:val="24"/>
        </w:rPr>
        <w:t>u</w:t>
      </w:r>
      <w:r w:rsidR="00A937B9" w:rsidRPr="0046710A">
        <w:rPr>
          <w:rFonts w:ascii="Calibri" w:eastAsia="Calibri" w:hAnsi="Calibri" w:cs="Calibri"/>
          <w:szCs w:val="24"/>
        </w:rPr>
        <w:t xml:space="preserve"> projektu).</w:t>
      </w:r>
      <w:r w:rsidR="00D66998">
        <w:rPr>
          <w:rFonts w:ascii="Calibri" w:eastAsia="Calibri" w:hAnsi="Calibri" w:cs="Calibri"/>
          <w:szCs w:val="24"/>
        </w:rPr>
        <w:br/>
      </w:r>
    </w:p>
    <w:p w14:paraId="3873410A" w14:textId="0462CC43" w:rsidR="00A06439" w:rsidRPr="004B77D6" w:rsidRDefault="00A06439" w:rsidP="004D0859">
      <w:pPr>
        <w:pStyle w:val="Nagwek3"/>
        <w:numPr>
          <w:ilvl w:val="0"/>
          <w:numId w:val="5"/>
        </w:numPr>
        <w:spacing w:before="0" w:after="120" w:line="276" w:lineRule="auto"/>
        <w:rPr>
          <w:rFonts w:ascii="Calibri" w:hAnsi="Calibri"/>
          <w:sz w:val="28"/>
          <w:szCs w:val="28"/>
        </w:rPr>
      </w:pPr>
      <w:bookmarkStart w:id="706" w:name="_Toc179171285"/>
      <w:bookmarkStart w:id="707" w:name="_Toc477857446"/>
      <w:bookmarkStart w:id="708" w:name="_Toc241839727"/>
      <w:bookmarkEnd w:id="695"/>
      <w:r w:rsidRPr="004B77D6">
        <w:rPr>
          <w:rFonts w:ascii="Calibri" w:hAnsi="Calibri"/>
          <w:sz w:val="28"/>
          <w:szCs w:val="28"/>
        </w:rPr>
        <w:t>DOKUMENT POTWIE</w:t>
      </w:r>
      <w:r w:rsidR="00526958" w:rsidRPr="004B77D6">
        <w:rPr>
          <w:rFonts w:ascii="Calibri" w:hAnsi="Calibri"/>
          <w:sz w:val="28"/>
          <w:szCs w:val="28"/>
        </w:rPr>
        <w:t xml:space="preserve">RDZAJĄCY ZABEZPIECZENIE ŚRODKÓW </w:t>
      </w:r>
      <w:r w:rsidRPr="004B77D6">
        <w:rPr>
          <w:rFonts w:ascii="Calibri" w:hAnsi="Calibri"/>
          <w:sz w:val="28"/>
          <w:szCs w:val="28"/>
        </w:rPr>
        <w:t>KONIECZNYCH DO ZREALIZOWANIA INWESTYCJI</w:t>
      </w:r>
      <w:bookmarkEnd w:id="706"/>
      <w:bookmarkEnd w:id="707"/>
      <w:bookmarkEnd w:id="708"/>
    </w:p>
    <w:p w14:paraId="3892E025" w14:textId="73658791" w:rsidR="00431E09" w:rsidRPr="004B77D6" w:rsidRDefault="00526958" w:rsidP="0071603D">
      <w:pPr>
        <w:spacing w:after="120" w:line="276" w:lineRule="auto"/>
        <w:rPr>
          <w:rFonts w:asciiTheme="minorHAnsi" w:hAnsiTheme="minorHAnsi" w:cstheme="minorHAnsi"/>
          <w:szCs w:val="24"/>
        </w:rPr>
      </w:pPr>
      <w:r w:rsidRPr="004B77D6">
        <w:rPr>
          <w:rFonts w:asciiTheme="minorHAnsi" w:hAnsiTheme="minorHAnsi" w:cstheme="minorHAnsi"/>
          <w:szCs w:val="24"/>
        </w:rPr>
        <w:t xml:space="preserve">Wnioskodawca powinien zapewnić posiadanie wystarczających środków finansowych gwarantujących płynną i terminową realizację projektu przedstawionego we wniosku. </w:t>
      </w:r>
      <w:r w:rsidR="003151A8">
        <w:rPr>
          <w:rFonts w:asciiTheme="minorHAnsi" w:hAnsiTheme="minorHAnsi" w:cstheme="minorHAnsi"/>
          <w:szCs w:val="24"/>
        </w:rPr>
        <w:br/>
      </w:r>
      <w:r w:rsidR="00742CB6" w:rsidRPr="004B77D6">
        <w:rPr>
          <w:rFonts w:asciiTheme="minorHAnsi" w:hAnsiTheme="minorHAnsi" w:cstheme="minorHAnsi"/>
          <w:szCs w:val="24"/>
        </w:rPr>
        <w:t xml:space="preserve">Na etapie oceny projektu </w:t>
      </w:r>
      <w:r w:rsidR="0004053C" w:rsidRPr="00E12E11">
        <w:rPr>
          <w:rFonts w:asciiTheme="minorHAnsi" w:hAnsiTheme="minorHAnsi" w:cstheme="minorHAnsi"/>
          <w:b/>
          <w:bCs/>
          <w:szCs w:val="24"/>
          <w:u w:val="single"/>
        </w:rPr>
        <w:t>W</w:t>
      </w:r>
      <w:r w:rsidR="00F25B52" w:rsidRPr="00E12E11">
        <w:rPr>
          <w:rFonts w:asciiTheme="minorHAnsi" w:hAnsiTheme="minorHAnsi" w:cstheme="minorHAnsi"/>
          <w:b/>
          <w:bCs/>
          <w:szCs w:val="24"/>
          <w:u w:val="single"/>
        </w:rPr>
        <w:t xml:space="preserve">nioskodawca ma obowiązek </w:t>
      </w:r>
      <w:r w:rsidR="00742CB6" w:rsidRPr="00E12E11">
        <w:rPr>
          <w:rFonts w:asciiTheme="minorHAnsi" w:hAnsiTheme="minorHAnsi" w:cstheme="minorHAnsi"/>
          <w:b/>
          <w:bCs/>
          <w:szCs w:val="24"/>
          <w:u w:val="single"/>
        </w:rPr>
        <w:t>potwierdzić ten fakt</w:t>
      </w:r>
      <w:r w:rsidRPr="00E12E11">
        <w:rPr>
          <w:rFonts w:asciiTheme="minorHAnsi" w:hAnsiTheme="minorHAnsi" w:cstheme="minorHAnsi"/>
          <w:b/>
          <w:bCs/>
          <w:szCs w:val="24"/>
          <w:u w:val="single"/>
        </w:rPr>
        <w:t xml:space="preserve"> poprzez przedstawienie odpowiedniego dokumentu zabezpieczającego </w:t>
      </w:r>
      <w:r w:rsidR="00CA774C" w:rsidRPr="00E12E11">
        <w:rPr>
          <w:rFonts w:asciiTheme="minorHAnsi" w:hAnsiTheme="minorHAnsi" w:cstheme="minorHAnsi"/>
          <w:b/>
          <w:bCs/>
          <w:szCs w:val="24"/>
          <w:u w:val="single"/>
        </w:rPr>
        <w:t>posiadani</w:t>
      </w:r>
      <w:r w:rsidR="0004053C" w:rsidRPr="00E12E11">
        <w:rPr>
          <w:rFonts w:asciiTheme="minorHAnsi" w:hAnsiTheme="minorHAnsi" w:cstheme="minorHAnsi"/>
          <w:b/>
          <w:bCs/>
          <w:szCs w:val="24"/>
          <w:u w:val="single"/>
        </w:rPr>
        <w:t>e</w:t>
      </w:r>
      <w:r w:rsidR="00CA774C" w:rsidRPr="00E12E11">
        <w:rPr>
          <w:rFonts w:asciiTheme="minorHAnsi" w:hAnsiTheme="minorHAnsi" w:cstheme="minorHAnsi"/>
          <w:b/>
          <w:bCs/>
          <w:szCs w:val="24"/>
          <w:u w:val="single"/>
        </w:rPr>
        <w:t xml:space="preserve"> środków </w:t>
      </w:r>
      <w:r w:rsidR="00774B4F">
        <w:rPr>
          <w:rFonts w:asciiTheme="minorHAnsi" w:hAnsiTheme="minorHAnsi" w:cstheme="minorHAnsi"/>
          <w:b/>
          <w:bCs/>
          <w:szCs w:val="24"/>
          <w:u w:val="single"/>
        </w:rPr>
        <w:br/>
      </w:r>
      <w:r w:rsidR="00CA774C" w:rsidRPr="00E12E11">
        <w:rPr>
          <w:rFonts w:asciiTheme="minorHAnsi" w:hAnsiTheme="minorHAnsi" w:cstheme="minorHAnsi"/>
          <w:b/>
          <w:bCs/>
          <w:szCs w:val="24"/>
          <w:u w:val="single"/>
        </w:rPr>
        <w:lastRenderedPageBreak/>
        <w:t>w wysokości wkładu własnego oraz wydatków niekwalifikowalnych</w:t>
      </w:r>
      <w:r w:rsidR="0097332E" w:rsidRPr="00E12E11">
        <w:rPr>
          <w:rFonts w:asciiTheme="minorHAnsi" w:hAnsiTheme="minorHAnsi" w:cstheme="minorHAnsi"/>
          <w:b/>
          <w:bCs/>
          <w:szCs w:val="24"/>
          <w:u w:val="single"/>
        </w:rPr>
        <w:t xml:space="preserve"> lub w przypadku braku tego dokumentu należy złożyć oświadczenie o zapewnieniu i udokumentowaniu środków niezbędnych do realizacji projektu</w:t>
      </w:r>
      <w:r w:rsidR="00CA774C" w:rsidRPr="00E12E11">
        <w:rPr>
          <w:rFonts w:asciiTheme="minorHAnsi" w:hAnsiTheme="minorHAnsi" w:cstheme="minorHAnsi"/>
          <w:b/>
          <w:bCs/>
          <w:szCs w:val="24"/>
          <w:u w:val="single"/>
        </w:rPr>
        <w:t>.</w:t>
      </w:r>
    </w:p>
    <w:p w14:paraId="75ADB82A" w14:textId="77777777" w:rsidR="007B1B6A" w:rsidRPr="004B77D6" w:rsidRDefault="007B1B6A" w:rsidP="0071603D">
      <w:pPr>
        <w:spacing w:after="120" w:line="276" w:lineRule="auto"/>
        <w:rPr>
          <w:rFonts w:asciiTheme="minorHAnsi" w:hAnsiTheme="minorHAnsi" w:cstheme="minorHAnsi"/>
          <w:szCs w:val="24"/>
        </w:rPr>
      </w:pPr>
      <w:r w:rsidRPr="004B77D6">
        <w:rPr>
          <w:rFonts w:asciiTheme="minorHAnsi" w:hAnsiTheme="minorHAnsi" w:cstheme="minorHAnsi"/>
          <w:szCs w:val="24"/>
        </w:rPr>
        <w:t xml:space="preserve">W ramach </w:t>
      </w:r>
      <w:r w:rsidR="00526958" w:rsidRPr="004B77D6">
        <w:rPr>
          <w:rFonts w:asciiTheme="minorHAnsi" w:hAnsiTheme="minorHAnsi" w:cstheme="minorHAnsi"/>
          <w:szCs w:val="24"/>
        </w:rPr>
        <w:t>FEO 2021-2027</w:t>
      </w:r>
      <w:r w:rsidRPr="004B77D6">
        <w:rPr>
          <w:rFonts w:asciiTheme="minorHAnsi" w:hAnsiTheme="minorHAnsi" w:cstheme="minorHAnsi"/>
          <w:szCs w:val="24"/>
        </w:rPr>
        <w:t xml:space="preserve"> beneficjenci mogą otrzymać dofinansowanie w formie:</w:t>
      </w:r>
    </w:p>
    <w:p w14:paraId="247F2376" w14:textId="77777777" w:rsidR="007B1B6A" w:rsidRPr="004B77D6" w:rsidRDefault="007B1B6A" w:rsidP="004D0859">
      <w:pPr>
        <w:numPr>
          <w:ilvl w:val="0"/>
          <w:numId w:val="7"/>
        </w:numPr>
        <w:spacing w:line="276" w:lineRule="auto"/>
        <w:rPr>
          <w:rFonts w:asciiTheme="minorHAnsi" w:hAnsiTheme="minorHAnsi" w:cstheme="minorHAnsi"/>
          <w:szCs w:val="24"/>
        </w:rPr>
      </w:pPr>
      <w:r w:rsidRPr="004B77D6">
        <w:rPr>
          <w:rFonts w:asciiTheme="minorHAnsi" w:hAnsiTheme="minorHAnsi" w:cstheme="minorHAnsi"/>
          <w:szCs w:val="24"/>
        </w:rPr>
        <w:t>zaliczki;</w:t>
      </w:r>
    </w:p>
    <w:p w14:paraId="3C80379D" w14:textId="77777777" w:rsidR="007B1B6A" w:rsidRPr="004B77D6" w:rsidRDefault="007B1B6A" w:rsidP="004D0859">
      <w:pPr>
        <w:numPr>
          <w:ilvl w:val="0"/>
          <w:numId w:val="7"/>
        </w:numPr>
        <w:spacing w:after="120" w:line="276" w:lineRule="auto"/>
        <w:ind w:left="357" w:hanging="357"/>
        <w:rPr>
          <w:rFonts w:asciiTheme="minorHAnsi" w:hAnsiTheme="minorHAnsi" w:cstheme="minorHAnsi"/>
          <w:szCs w:val="24"/>
        </w:rPr>
      </w:pPr>
      <w:r w:rsidRPr="004B77D6">
        <w:rPr>
          <w:rFonts w:asciiTheme="minorHAnsi" w:hAnsiTheme="minorHAnsi" w:cstheme="minorHAnsi"/>
          <w:szCs w:val="24"/>
        </w:rPr>
        <w:t>refundacji.</w:t>
      </w:r>
    </w:p>
    <w:p w14:paraId="1DE26265" w14:textId="5E42FA21" w:rsidR="007B1B6A" w:rsidRPr="004B77D6" w:rsidRDefault="007B1B6A" w:rsidP="0071603D">
      <w:pPr>
        <w:spacing w:after="120" w:line="276" w:lineRule="auto"/>
        <w:rPr>
          <w:rFonts w:asciiTheme="minorHAnsi" w:hAnsiTheme="minorHAnsi" w:cstheme="minorHAnsi"/>
          <w:szCs w:val="24"/>
        </w:rPr>
      </w:pPr>
      <w:r w:rsidRPr="004B77D6">
        <w:rPr>
          <w:rFonts w:asciiTheme="minorHAnsi" w:hAnsiTheme="minorHAnsi" w:cstheme="minorHAnsi"/>
          <w:b/>
          <w:szCs w:val="24"/>
        </w:rPr>
        <w:t xml:space="preserve">Możliwość wypłacania przez </w:t>
      </w:r>
      <w:r w:rsidR="004B77D6">
        <w:rPr>
          <w:rFonts w:asciiTheme="minorHAnsi" w:hAnsiTheme="minorHAnsi" w:cstheme="minorHAnsi"/>
          <w:b/>
          <w:szCs w:val="24"/>
        </w:rPr>
        <w:t>IZ</w:t>
      </w:r>
      <w:r w:rsidR="00526958" w:rsidRPr="004B77D6">
        <w:rPr>
          <w:rFonts w:asciiTheme="minorHAnsi" w:hAnsiTheme="minorHAnsi" w:cstheme="minorHAnsi"/>
          <w:b/>
          <w:szCs w:val="24"/>
        </w:rPr>
        <w:t xml:space="preserve"> FEO 2021-2027</w:t>
      </w:r>
      <w:r w:rsidR="0039660C" w:rsidRPr="004B77D6">
        <w:rPr>
          <w:rFonts w:asciiTheme="minorHAnsi" w:hAnsiTheme="minorHAnsi" w:cstheme="minorHAnsi"/>
          <w:b/>
          <w:szCs w:val="24"/>
        </w:rPr>
        <w:t xml:space="preserve"> </w:t>
      </w:r>
      <w:r w:rsidRPr="004B77D6">
        <w:rPr>
          <w:rFonts w:asciiTheme="minorHAnsi" w:hAnsiTheme="minorHAnsi" w:cstheme="minorHAnsi"/>
          <w:b/>
          <w:szCs w:val="24"/>
        </w:rPr>
        <w:t>zaliczek dla beneficjentów</w:t>
      </w:r>
      <w:r w:rsidR="00526958" w:rsidRPr="004B77D6">
        <w:rPr>
          <w:rFonts w:asciiTheme="minorHAnsi" w:hAnsiTheme="minorHAnsi" w:cstheme="minorHAnsi"/>
          <w:b/>
          <w:szCs w:val="24"/>
        </w:rPr>
        <w:t xml:space="preserve"> nie zmienia obowiązku </w:t>
      </w:r>
      <w:r w:rsidR="00526958" w:rsidRPr="004B77D6">
        <w:rPr>
          <w:rFonts w:asciiTheme="minorHAnsi" w:hAnsiTheme="minorHAnsi" w:cstheme="minorHAnsi"/>
          <w:b/>
          <w:szCs w:val="24"/>
          <w:u w:val="single"/>
        </w:rPr>
        <w:t>złożenia przez Wnioskodawcę oświadczenia</w:t>
      </w:r>
      <w:r w:rsidRPr="004B77D6">
        <w:rPr>
          <w:rFonts w:asciiTheme="minorHAnsi" w:hAnsiTheme="minorHAnsi" w:cstheme="minorHAnsi"/>
          <w:b/>
          <w:szCs w:val="24"/>
          <w:u w:val="single"/>
        </w:rPr>
        <w:t xml:space="preserve"> o posiadaniu środków finansowych oraz do</w:t>
      </w:r>
      <w:r w:rsidR="00526958" w:rsidRPr="004B77D6">
        <w:rPr>
          <w:rFonts w:asciiTheme="minorHAnsi" w:hAnsiTheme="minorHAnsi" w:cstheme="minorHAnsi"/>
          <w:b/>
          <w:szCs w:val="24"/>
          <w:u w:val="single"/>
        </w:rPr>
        <w:t>kumentów</w:t>
      </w:r>
      <w:r w:rsidRPr="004B77D6">
        <w:rPr>
          <w:rFonts w:asciiTheme="minorHAnsi" w:hAnsiTheme="minorHAnsi" w:cstheme="minorHAnsi"/>
          <w:b/>
          <w:szCs w:val="24"/>
          <w:u w:val="single"/>
        </w:rPr>
        <w:t xml:space="preserve"> potwierdzające posiadanie środków w wysokości niezbędnej do pokrycia wkładu własnego oraz wydatków niekwalifikowalnych.</w:t>
      </w:r>
      <w:r w:rsidRPr="004B77D6">
        <w:rPr>
          <w:rFonts w:asciiTheme="minorHAnsi" w:hAnsiTheme="minorHAnsi" w:cstheme="minorHAnsi"/>
          <w:szCs w:val="24"/>
        </w:rPr>
        <w:t xml:space="preserve"> </w:t>
      </w:r>
      <w:r w:rsidR="0039660C" w:rsidRPr="004B77D6">
        <w:rPr>
          <w:rFonts w:asciiTheme="minorHAnsi" w:hAnsiTheme="minorHAnsi" w:cstheme="minorHAnsi"/>
          <w:szCs w:val="24"/>
        </w:rPr>
        <w:br/>
      </w:r>
      <w:r w:rsidRPr="004B77D6">
        <w:rPr>
          <w:rFonts w:asciiTheme="minorHAnsi" w:hAnsiTheme="minorHAnsi" w:cstheme="minorHAnsi"/>
          <w:szCs w:val="24"/>
        </w:rPr>
        <w:t xml:space="preserve">W praktyce oznacza to, że na etapie naboru wniosków o dofinansowanie projektów wszyscy </w:t>
      </w:r>
      <w:r w:rsidR="00A721F7" w:rsidRPr="004B77D6">
        <w:rPr>
          <w:rFonts w:asciiTheme="minorHAnsi" w:hAnsiTheme="minorHAnsi" w:cstheme="minorHAnsi"/>
          <w:szCs w:val="24"/>
        </w:rPr>
        <w:t>W</w:t>
      </w:r>
      <w:r w:rsidRPr="004B77D6">
        <w:rPr>
          <w:rFonts w:asciiTheme="minorHAnsi" w:hAnsiTheme="minorHAnsi" w:cstheme="minorHAnsi"/>
          <w:szCs w:val="24"/>
        </w:rPr>
        <w:t>nioskodawcy muszą zapewnić środki w taki sposób, aby możliwe było realizowanie zaplanowanego projektu w terminie ujętym we wniosku o dofinansowanie bez otrzymania środków dofinansowania.</w:t>
      </w:r>
    </w:p>
    <w:p w14:paraId="10E586CC" w14:textId="77777777" w:rsidR="00E0087D" w:rsidRPr="004B77D6" w:rsidRDefault="00377D65" w:rsidP="0071603D">
      <w:pPr>
        <w:spacing w:after="120" w:line="276" w:lineRule="auto"/>
        <w:rPr>
          <w:rFonts w:asciiTheme="minorHAnsi" w:hAnsiTheme="minorHAnsi" w:cstheme="minorHAnsi"/>
          <w:szCs w:val="24"/>
        </w:rPr>
      </w:pPr>
      <w:r w:rsidRPr="004B77D6">
        <w:rPr>
          <w:rFonts w:asciiTheme="minorHAnsi" w:hAnsiTheme="minorHAnsi" w:cstheme="minorHAnsi"/>
          <w:szCs w:val="24"/>
        </w:rPr>
        <w:t>Dla przykładu b</w:t>
      </w:r>
      <w:r w:rsidR="00A06439" w:rsidRPr="004B77D6">
        <w:rPr>
          <w:rFonts w:asciiTheme="minorHAnsi" w:hAnsiTheme="minorHAnsi" w:cstheme="minorHAnsi"/>
          <w:szCs w:val="24"/>
        </w:rPr>
        <w:t xml:space="preserve">eneficjenci, którzy </w:t>
      </w:r>
      <w:r w:rsidRPr="004B77D6">
        <w:rPr>
          <w:rFonts w:asciiTheme="minorHAnsi" w:hAnsiTheme="minorHAnsi" w:cstheme="minorHAnsi"/>
          <w:szCs w:val="24"/>
        </w:rPr>
        <w:t xml:space="preserve">z powodu braku wystarczającej ilości środków </w:t>
      </w:r>
      <w:r w:rsidR="005B2988" w:rsidRPr="004B77D6">
        <w:rPr>
          <w:rFonts w:asciiTheme="minorHAnsi" w:hAnsiTheme="minorHAnsi" w:cstheme="minorHAnsi"/>
          <w:szCs w:val="24"/>
        </w:rPr>
        <w:br/>
      </w:r>
      <w:r w:rsidRPr="004B77D6">
        <w:rPr>
          <w:rFonts w:asciiTheme="minorHAnsi" w:hAnsiTheme="minorHAnsi" w:cstheme="minorHAnsi"/>
          <w:szCs w:val="24"/>
        </w:rPr>
        <w:t xml:space="preserve">w budżecie środków europejskich/budżecie państwa </w:t>
      </w:r>
      <w:r w:rsidR="00A06439" w:rsidRPr="004B77D6">
        <w:rPr>
          <w:rFonts w:asciiTheme="minorHAnsi" w:hAnsiTheme="minorHAnsi" w:cstheme="minorHAnsi"/>
          <w:szCs w:val="24"/>
        </w:rPr>
        <w:t xml:space="preserve">nie będą mogli otrzymać środków dofinansowania w formie zaliczki lub refundacji, będą musieli sami sfinansować swoje wydatki na rzecz wykonawcy/dostawcy, </w:t>
      </w:r>
      <w:r w:rsidRPr="004B77D6">
        <w:rPr>
          <w:rFonts w:asciiTheme="minorHAnsi" w:hAnsiTheme="minorHAnsi" w:cstheme="minorHAnsi"/>
          <w:szCs w:val="24"/>
        </w:rPr>
        <w:t xml:space="preserve">natomiast </w:t>
      </w:r>
      <w:r w:rsidR="00A06439" w:rsidRPr="004B77D6">
        <w:rPr>
          <w:rFonts w:asciiTheme="minorHAnsi" w:hAnsiTheme="minorHAnsi" w:cstheme="minorHAnsi"/>
          <w:szCs w:val="24"/>
        </w:rPr>
        <w:t>refundację poniesionych wydatków</w:t>
      </w:r>
      <w:r w:rsidR="00862B95" w:rsidRPr="004B77D6">
        <w:rPr>
          <w:rFonts w:asciiTheme="minorHAnsi" w:hAnsiTheme="minorHAnsi" w:cstheme="minorHAnsi"/>
          <w:szCs w:val="24"/>
        </w:rPr>
        <w:t xml:space="preserve"> kwalifikowalnych</w:t>
      </w:r>
      <w:r w:rsidRPr="004B77D6">
        <w:rPr>
          <w:rFonts w:asciiTheme="minorHAnsi" w:hAnsiTheme="minorHAnsi" w:cstheme="minorHAnsi"/>
          <w:szCs w:val="24"/>
        </w:rPr>
        <w:t xml:space="preserve"> otrzymają w późniejszym czasie.</w:t>
      </w:r>
    </w:p>
    <w:p w14:paraId="2107FD1F" w14:textId="4C6544F0" w:rsidR="0004053C" w:rsidRDefault="0004053C" w:rsidP="0071603D">
      <w:pPr>
        <w:spacing w:after="120" w:line="276" w:lineRule="auto"/>
        <w:rPr>
          <w:rFonts w:asciiTheme="minorHAnsi" w:hAnsiTheme="minorHAnsi" w:cstheme="minorHAnsi"/>
          <w:szCs w:val="24"/>
        </w:rPr>
      </w:pPr>
      <w:r>
        <w:rPr>
          <w:rFonts w:asciiTheme="minorHAnsi" w:hAnsiTheme="minorHAnsi" w:cstheme="minorHAnsi"/>
          <w:szCs w:val="24"/>
        </w:rPr>
        <w:t xml:space="preserve">W przypadku projektów realizowanych w ramach umów partnerskich należy dołączyć </w:t>
      </w:r>
      <w:r w:rsidR="00B00157">
        <w:rPr>
          <w:rFonts w:asciiTheme="minorHAnsi" w:hAnsiTheme="minorHAnsi" w:cstheme="minorHAnsi"/>
          <w:szCs w:val="24"/>
        </w:rPr>
        <w:t xml:space="preserve">dokumenty poświadczające zabezpieczenie wkładu własnego i wydatków niekwalifikowalnych przez </w:t>
      </w:r>
      <w:r w:rsidR="00D50F8F">
        <w:rPr>
          <w:rFonts w:asciiTheme="minorHAnsi" w:hAnsiTheme="minorHAnsi" w:cstheme="minorHAnsi"/>
          <w:szCs w:val="24"/>
        </w:rPr>
        <w:t>P</w:t>
      </w:r>
      <w:r w:rsidR="00B00157">
        <w:rPr>
          <w:rFonts w:asciiTheme="minorHAnsi" w:hAnsiTheme="minorHAnsi" w:cstheme="minorHAnsi"/>
          <w:szCs w:val="24"/>
        </w:rPr>
        <w:t>artnera/ów partycypujących finansowo w kosztach projektu.</w:t>
      </w:r>
    </w:p>
    <w:p w14:paraId="50710C3C" w14:textId="1B1F763F" w:rsidR="00A06439" w:rsidRPr="004B77D6" w:rsidRDefault="00A06439" w:rsidP="0071603D">
      <w:pPr>
        <w:spacing w:after="120" w:line="276" w:lineRule="auto"/>
        <w:rPr>
          <w:rFonts w:asciiTheme="minorHAnsi" w:hAnsiTheme="minorHAnsi" w:cstheme="minorHAnsi"/>
          <w:szCs w:val="24"/>
        </w:rPr>
      </w:pPr>
      <w:r w:rsidRPr="004B77D6">
        <w:rPr>
          <w:rFonts w:asciiTheme="minorHAnsi" w:hAnsiTheme="minorHAnsi" w:cstheme="minorHAnsi"/>
          <w:szCs w:val="24"/>
        </w:rPr>
        <w:t xml:space="preserve">Rodzaj dokumentu, przedstawianego przez </w:t>
      </w:r>
      <w:r w:rsidR="00A721F7" w:rsidRPr="004B77D6">
        <w:rPr>
          <w:rFonts w:asciiTheme="minorHAnsi" w:hAnsiTheme="minorHAnsi" w:cstheme="minorHAnsi"/>
          <w:szCs w:val="24"/>
        </w:rPr>
        <w:t>W</w:t>
      </w:r>
      <w:r w:rsidR="007A78CA" w:rsidRPr="004B77D6">
        <w:rPr>
          <w:rFonts w:asciiTheme="minorHAnsi" w:hAnsiTheme="minorHAnsi" w:cstheme="minorHAnsi"/>
          <w:szCs w:val="24"/>
        </w:rPr>
        <w:t>nioskodawcę</w:t>
      </w:r>
      <w:r w:rsidRPr="004B77D6">
        <w:rPr>
          <w:rFonts w:asciiTheme="minorHAnsi" w:hAnsiTheme="minorHAnsi" w:cstheme="minorHAnsi"/>
          <w:szCs w:val="24"/>
        </w:rPr>
        <w:t>, potwierdzającego posiadanie środków zabezpieczających realizacj</w:t>
      </w:r>
      <w:r w:rsidR="007A78CA" w:rsidRPr="004B77D6">
        <w:rPr>
          <w:rFonts w:asciiTheme="minorHAnsi" w:hAnsiTheme="minorHAnsi" w:cstheme="minorHAnsi"/>
          <w:szCs w:val="24"/>
        </w:rPr>
        <w:t xml:space="preserve">ę projektu zależy od kategorii </w:t>
      </w:r>
      <w:r w:rsidR="00A721F7" w:rsidRPr="004B77D6">
        <w:rPr>
          <w:rFonts w:asciiTheme="minorHAnsi" w:hAnsiTheme="minorHAnsi" w:cstheme="minorHAnsi"/>
          <w:szCs w:val="24"/>
        </w:rPr>
        <w:t>W</w:t>
      </w:r>
      <w:r w:rsidR="007A78CA" w:rsidRPr="004B77D6">
        <w:rPr>
          <w:rFonts w:asciiTheme="minorHAnsi" w:hAnsiTheme="minorHAnsi" w:cstheme="minorHAnsi"/>
          <w:szCs w:val="24"/>
        </w:rPr>
        <w:t>nioskodawcy</w:t>
      </w:r>
      <w:r w:rsidRPr="004B77D6">
        <w:rPr>
          <w:rFonts w:asciiTheme="minorHAnsi" w:hAnsiTheme="minorHAnsi" w:cstheme="minorHAnsi"/>
          <w:szCs w:val="24"/>
        </w:rPr>
        <w:t>:</w:t>
      </w:r>
    </w:p>
    <w:p w14:paraId="1BEF489E" w14:textId="77DB174B" w:rsidR="00A06439" w:rsidRPr="006E7082" w:rsidRDefault="00A06439" w:rsidP="006E7082">
      <w:pPr>
        <w:pStyle w:val="Akapitzlist"/>
        <w:numPr>
          <w:ilvl w:val="0"/>
          <w:numId w:val="85"/>
        </w:numPr>
        <w:tabs>
          <w:tab w:val="left" w:pos="720"/>
        </w:tabs>
        <w:spacing w:after="120"/>
        <w:rPr>
          <w:rFonts w:asciiTheme="minorHAnsi" w:hAnsiTheme="minorHAnsi" w:cstheme="minorHAnsi"/>
          <w:b/>
          <w:sz w:val="24"/>
          <w:szCs w:val="24"/>
        </w:rPr>
      </w:pPr>
      <w:r w:rsidRPr="006E7082">
        <w:rPr>
          <w:rFonts w:asciiTheme="minorHAnsi" w:hAnsiTheme="minorHAnsi" w:cstheme="minorHAnsi"/>
          <w:b/>
          <w:sz w:val="24"/>
          <w:szCs w:val="24"/>
        </w:rPr>
        <w:t xml:space="preserve">Jednostka samorządu terytorialnego </w:t>
      </w:r>
      <w:r w:rsidRPr="006E7082">
        <w:rPr>
          <w:rFonts w:asciiTheme="minorHAnsi" w:hAnsiTheme="minorHAnsi" w:cstheme="minorHAnsi"/>
          <w:sz w:val="24"/>
          <w:szCs w:val="24"/>
        </w:rPr>
        <w:t xml:space="preserve">załącza </w:t>
      </w:r>
      <w:r w:rsidR="00EE065A" w:rsidRPr="006E7082">
        <w:rPr>
          <w:rFonts w:asciiTheme="minorHAnsi" w:hAnsiTheme="minorHAnsi" w:cstheme="minorHAnsi"/>
          <w:sz w:val="24"/>
          <w:szCs w:val="24"/>
        </w:rPr>
        <w:t>skan</w:t>
      </w:r>
      <w:r w:rsidRPr="006E7082">
        <w:rPr>
          <w:rFonts w:asciiTheme="minorHAnsi" w:hAnsiTheme="minorHAnsi" w:cstheme="minorHAnsi"/>
          <w:sz w:val="24"/>
          <w:szCs w:val="24"/>
        </w:rPr>
        <w:t xml:space="preserve"> uchwały budżetowej na dany rok. Jeśli realizacja proj</w:t>
      </w:r>
      <w:r w:rsidR="00857620" w:rsidRPr="006E7082">
        <w:rPr>
          <w:rFonts w:asciiTheme="minorHAnsi" w:hAnsiTheme="minorHAnsi" w:cstheme="minorHAnsi"/>
          <w:sz w:val="24"/>
          <w:szCs w:val="24"/>
        </w:rPr>
        <w:t>ektu obejmuje okres dłuższy niż </w:t>
      </w:r>
      <w:r w:rsidRPr="006E7082">
        <w:rPr>
          <w:rFonts w:asciiTheme="minorHAnsi" w:hAnsiTheme="minorHAnsi" w:cstheme="minorHAnsi"/>
          <w:sz w:val="24"/>
          <w:szCs w:val="24"/>
        </w:rPr>
        <w:t>jeden rok</w:t>
      </w:r>
      <w:r w:rsidR="006E7082" w:rsidRPr="006E7082">
        <w:rPr>
          <w:rFonts w:asciiTheme="minorHAnsi" w:hAnsiTheme="minorHAnsi" w:cstheme="minorHAnsi"/>
          <w:sz w:val="24"/>
          <w:szCs w:val="24"/>
        </w:rPr>
        <w:t xml:space="preserve">, </w:t>
      </w:r>
      <w:r w:rsidR="00757490">
        <w:rPr>
          <w:rFonts w:asciiTheme="minorHAnsi" w:hAnsiTheme="minorHAnsi" w:cstheme="minorHAnsi"/>
          <w:sz w:val="24"/>
          <w:szCs w:val="24"/>
        </w:rPr>
        <w:t>W</w:t>
      </w:r>
      <w:r w:rsidR="006E7082" w:rsidRPr="006E7082">
        <w:rPr>
          <w:rFonts w:asciiTheme="minorHAnsi" w:hAnsiTheme="minorHAnsi" w:cstheme="minorHAnsi"/>
          <w:sz w:val="24"/>
          <w:szCs w:val="24"/>
        </w:rPr>
        <w:t>nioskodawca</w:t>
      </w:r>
      <w:r w:rsidRPr="006E7082">
        <w:rPr>
          <w:rFonts w:asciiTheme="minorHAnsi" w:hAnsiTheme="minorHAnsi" w:cstheme="minorHAnsi"/>
          <w:sz w:val="24"/>
          <w:szCs w:val="24"/>
        </w:rPr>
        <w:t xml:space="preserve"> załącza </w:t>
      </w:r>
      <w:r w:rsidR="00EE065A" w:rsidRPr="006E7082">
        <w:rPr>
          <w:rFonts w:asciiTheme="minorHAnsi" w:hAnsiTheme="minorHAnsi" w:cstheme="minorHAnsi"/>
          <w:sz w:val="24"/>
          <w:szCs w:val="24"/>
        </w:rPr>
        <w:t>skan</w:t>
      </w:r>
      <w:r w:rsidRPr="006E7082">
        <w:rPr>
          <w:rFonts w:asciiTheme="minorHAnsi" w:hAnsiTheme="minorHAnsi" w:cstheme="minorHAnsi"/>
          <w:sz w:val="24"/>
          <w:szCs w:val="24"/>
        </w:rPr>
        <w:t xml:space="preserve"> podjętej uchwały w sprawie uchwalenia Wieloletnie</w:t>
      </w:r>
      <w:r w:rsidR="00EF01A2" w:rsidRPr="006E7082">
        <w:rPr>
          <w:rFonts w:asciiTheme="minorHAnsi" w:hAnsiTheme="minorHAnsi" w:cstheme="minorHAnsi"/>
          <w:sz w:val="24"/>
          <w:szCs w:val="24"/>
        </w:rPr>
        <w:t>j</w:t>
      </w:r>
      <w:r w:rsidRPr="006E7082">
        <w:rPr>
          <w:rFonts w:asciiTheme="minorHAnsi" w:hAnsiTheme="minorHAnsi" w:cstheme="minorHAnsi"/>
          <w:sz w:val="24"/>
          <w:szCs w:val="24"/>
        </w:rPr>
        <w:t xml:space="preserve"> </w:t>
      </w:r>
      <w:r w:rsidR="00EF01A2" w:rsidRPr="006E7082">
        <w:rPr>
          <w:rFonts w:asciiTheme="minorHAnsi" w:hAnsiTheme="minorHAnsi" w:cstheme="minorHAnsi"/>
          <w:sz w:val="24"/>
          <w:szCs w:val="24"/>
        </w:rPr>
        <w:t>Prognozy Finansowej</w:t>
      </w:r>
      <w:r w:rsidRPr="006E7082">
        <w:rPr>
          <w:rFonts w:asciiTheme="minorHAnsi" w:hAnsiTheme="minorHAnsi" w:cstheme="minorHAnsi"/>
          <w:sz w:val="24"/>
          <w:szCs w:val="24"/>
        </w:rPr>
        <w:t xml:space="preserve"> na</w:t>
      </w:r>
      <w:r w:rsidR="006E7082" w:rsidRPr="006E7082">
        <w:rPr>
          <w:rFonts w:asciiTheme="minorHAnsi" w:hAnsiTheme="minorHAnsi" w:cstheme="minorHAnsi"/>
          <w:sz w:val="24"/>
          <w:szCs w:val="24"/>
        </w:rPr>
        <w:t> </w:t>
      </w:r>
      <w:r w:rsidRPr="006E7082">
        <w:rPr>
          <w:rFonts w:asciiTheme="minorHAnsi" w:hAnsiTheme="minorHAnsi" w:cstheme="minorHAnsi"/>
          <w:sz w:val="24"/>
          <w:szCs w:val="24"/>
        </w:rPr>
        <w:t>lata realizacji projektu wraz z Wieloletni</w:t>
      </w:r>
      <w:r w:rsidR="00EF01A2" w:rsidRPr="006E7082">
        <w:rPr>
          <w:rFonts w:asciiTheme="minorHAnsi" w:hAnsiTheme="minorHAnsi" w:cstheme="minorHAnsi"/>
          <w:sz w:val="24"/>
          <w:szCs w:val="24"/>
        </w:rPr>
        <w:t>ą</w:t>
      </w:r>
      <w:r w:rsidRPr="006E7082">
        <w:rPr>
          <w:rFonts w:asciiTheme="minorHAnsi" w:hAnsiTheme="minorHAnsi" w:cstheme="minorHAnsi"/>
          <w:sz w:val="24"/>
          <w:szCs w:val="24"/>
        </w:rPr>
        <w:t xml:space="preserve"> P</w:t>
      </w:r>
      <w:r w:rsidR="00EF01A2" w:rsidRPr="006E7082">
        <w:rPr>
          <w:rFonts w:asciiTheme="minorHAnsi" w:hAnsiTheme="minorHAnsi" w:cstheme="minorHAnsi"/>
          <w:sz w:val="24"/>
          <w:szCs w:val="24"/>
        </w:rPr>
        <w:t>rognozą Finansową</w:t>
      </w:r>
      <w:r w:rsidRPr="006E7082">
        <w:rPr>
          <w:rFonts w:asciiTheme="minorHAnsi" w:hAnsiTheme="minorHAnsi" w:cstheme="minorHAnsi"/>
          <w:sz w:val="24"/>
          <w:szCs w:val="24"/>
        </w:rPr>
        <w:t xml:space="preserve"> stanowiąc</w:t>
      </w:r>
      <w:r w:rsidR="00EF01A2" w:rsidRPr="006E7082">
        <w:rPr>
          <w:rFonts w:asciiTheme="minorHAnsi" w:hAnsiTheme="minorHAnsi" w:cstheme="minorHAnsi"/>
          <w:sz w:val="24"/>
          <w:szCs w:val="24"/>
        </w:rPr>
        <w:t>ą</w:t>
      </w:r>
      <w:r w:rsidRPr="006E7082">
        <w:rPr>
          <w:rFonts w:asciiTheme="minorHAnsi" w:hAnsiTheme="minorHAnsi" w:cstheme="minorHAnsi"/>
          <w:sz w:val="24"/>
          <w:szCs w:val="24"/>
        </w:rPr>
        <w:t xml:space="preserve"> załącznik do uchwały budżetowej. W uchwale powinna być wymieniona </w:t>
      </w:r>
      <w:r w:rsidRPr="006E7082">
        <w:rPr>
          <w:rFonts w:asciiTheme="minorHAnsi" w:hAnsiTheme="minorHAnsi" w:cstheme="minorHAnsi"/>
          <w:b/>
          <w:sz w:val="24"/>
          <w:szCs w:val="24"/>
        </w:rPr>
        <w:t>dokładna nazwa zadania objętego wnioskiem oraz podana kwota przeznaczona na finansowanie w poszczególnych latach.</w:t>
      </w:r>
      <w:r w:rsidRPr="006E7082">
        <w:rPr>
          <w:rFonts w:asciiTheme="minorHAnsi" w:hAnsiTheme="minorHAnsi" w:cstheme="minorHAnsi"/>
          <w:sz w:val="24"/>
          <w:szCs w:val="24"/>
        </w:rPr>
        <w:t xml:space="preserve"> Do celów potwierdzenia zabezpieczenia środków w budżecie jednostki wystarczające jest przedstawien</w:t>
      </w:r>
      <w:r w:rsidR="003333F0" w:rsidRPr="006E7082">
        <w:rPr>
          <w:rFonts w:asciiTheme="minorHAnsi" w:hAnsiTheme="minorHAnsi" w:cstheme="minorHAnsi"/>
          <w:sz w:val="24"/>
          <w:szCs w:val="24"/>
        </w:rPr>
        <w:t>ie strony wydatkowej budżetu. IZ</w:t>
      </w:r>
      <w:r w:rsidRPr="006E7082">
        <w:rPr>
          <w:rFonts w:asciiTheme="minorHAnsi" w:hAnsiTheme="minorHAnsi" w:cstheme="minorHAnsi"/>
          <w:sz w:val="24"/>
          <w:szCs w:val="24"/>
        </w:rPr>
        <w:t xml:space="preserve"> nie planuje analizować w jaki sposób wydatki JST przewidziane w</w:t>
      </w:r>
      <w:r w:rsidR="006E7082" w:rsidRPr="006E7082">
        <w:rPr>
          <w:rFonts w:asciiTheme="minorHAnsi" w:hAnsiTheme="minorHAnsi" w:cstheme="minorHAnsi"/>
          <w:sz w:val="24"/>
          <w:szCs w:val="24"/>
        </w:rPr>
        <w:t> </w:t>
      </w:r>
      <w:r w:rsidRPr="006E7082">
        <w:rPr>
          <w:rFonts w:asciiTheme="minorHAnsi" w:hAnsiTheme="minorHAnsi" w:cstheme="minorHAnsi"/>
          <w:sz w:val="24"/>
          <w:szCs w:val="24"/>
        </w:rPr>
        <w:t xml:space="preserve">budżecie do realizacji są równoważone po stronie dochodowej budżetu. </w:t>
      </w:r>
      <w:r w:rsidRPr="006E7082">
        <w:rPr>
          <w:rFonts w:asciiTheme="minorHAnsi" w:hAnsiTheme="minorHAnsi" w:cstheme="minorHAnsi"/>
          <w:b/>
          <w:sz w:val="24"/>
          <w:szCs w:val="24"/>
        </w:rPr>
        <w:t xml:space="preserve">Należy jednak pamiętać, że podstawą do wprowadzenia środków dotacji </w:t>
      </w:r>
      <w:r w:rsidR="00A96A75" w:rsidRPr="006E7082">
        <w:rPr>
          <w:rFonts w:asciiTheme="minorHAnsi" w:hAnsiTheme="minorHAnsi" w:cstheme="minorHAnsi"/>
          <w:b/>
          <w:sz w:val="24"/>
          <w:szCs w:val="24"/>
        </w:rPr>
        <w:t xml:space="preserve">celowej </w:t>
      </w:r>
      <w:r w:rsidRPr="006E7082">
        <w:rPr>
          <w:rFonts w:asciiTheme="minorHAnsi" w:hAnsiTheme="minorHAnsi" w:cstheme="minorHAnsi"/>
          <w:b/>
          <w:sz w:val="24"/>
          <w:szCs w:val="24"/>
        </w:rPr>
        <w:t xml:space="preserve">do strony dochodowej budżetu jednostki jest dopiero </w:t>
      </w:r>
      <w:r w:rsidR="00454EDC" w:rsidRPr="006E7082">
        <w:rPr>
          <w:rFonts w:asciiTheme="minorHAnsi" w:hAnsiTheme="minorHAnsi" w:cstheme="minorHAnsi"/>
          <w:b/>
          <w:sz w:val="24"/>
          <w:szCs w:val="24"/>
        </w:rPr>
        <w:t>umowa</w:t>
      </w:r>
      <w:r w:rsidR="00EE065A" w:rsidRPr="006E7082">
        <w:rPr>
          <w:rFonts w:asciiTheme="minorHAnsi" w:hAnsiTheme="minorHAnsi" w:cstheme="minorHAnsi"/>
          <w:b/>
          <w:sz w:val="24"/>
          <w:szCs w:val="24"/>
        </w:rPr>
        <w:t xml:space="preserve"> o dofinansowanie</w:t>
      </w:r>
      <w:r w:rsidR="00454EDC" w:rsidRPr="006E7082">
        <w:rPr>
          <w:rFonts w:asciiTheme="minorHAnsi" w:hAnsiTheme="minorHAnsi" w:cstheme="minorHAnsi"/>
          <w:b/>
          <w:sz w:val="24"/>
          <w:szCs w:val="24"/>
        </w:rPr>
        <w:t>/</w:t>
      </w:r>
      <w:r w:rsidR="0071603D" w:rsidRPr="006E7082">
        <w:rPr>
          <w:rFonts w:asciiTheme="minorHAnsi" w:hAnsiTheme="minorHAnsi" w:cstheme="minorHAnsi"/>
          <w:b/>
          <w:sz w:val="24"/>
          <w:szCs w:val="24"/>
        </w:rPr>
        <w:t xml:space="preserve">decyzja </w:t>
      </w:r>
      <w:r w:rsidR="00774B4F" w:rsidRPr="006E7082">
        <w:rPr>
          <w:rFonts w:asciiTheme="minorHAnsi" w:hAnsiTheme="minorHAnsi" w:cstheme="minorHAnsi"/>
          <w:b/>
          <w:sz w:val="24"/>
          <w:szCs w:val="24"/>
        </w:rPr>
        <w:br/>
      </w:r>
      <w:r w:rsidRPr="006E7082">
        <w:rPr>
          <w:rFonts w:asciiTheme="minorHAnsi" w:hAnsiTheme="minorHAnsi" w:cstheme="minorHAnsi"/>
          <w:b/>
          <w:sz w:val="24"/>
          <w:szCs w:val="24"/>
        </w:rPr>
        <w:t>o dofinansowani</w:t>
      </w:r>
      <w:r w:rsidR="00454EDC" w:rsidRPr="006E7082">
        <w:rPr>
          <w:rFonts w:asciiTheme="minorHAnsi" w:hAnsiTheme="minorHAnsi" w:cstheme="minorHAnsi"/>
          <w:b/>
          <w:sz w:val="24"/>
          <w:szCs w:val="24"/>
        </w:rPr>
        <w:t>u</w:t>
      </w:r>
      <w:r w:rsidRPr="006E7082">
        <w:rPr>
          <w:rFonts w:asciiTheme="minorHAnsi" w:hAnsiTheme="minorHAnsi" w:cstheme="minorHAnsi"/>
          <w:b/>
          <w:sz w:val="24"/>
          <w:szCs w:val="24"/>
        </w:rPr>
        <w:t xml:space="preserve"> projektu.</w:t>
      </w:r>
    </w:p>
    <w:p w14:paraId="45C1A1AD" w14:textId="0C102F5C" w:rsidR="00A06439" w:rsidRPr="006E7082" w:rsidRDefault="00A06439" w:rsidP="006E7082">
      <w:pPr>
        <w:pStyle w:val="Akapitzlist"/>
        <w:numPr>
          <w:ilvl w:val="0"/>
          <w:numId w:val="85"/>
        </w:numPr>
        <w:tabs>
          <w:tab w:val="left" w:pos="720"/>
        </w:tabs>
        <w:spacing w:after="120"/>
        <w:rPr>
          <w:rFonts w:asciiTheme="minorHAnsi" w:hAnsiTheme="minorHAnsi" w:cstheme="minorHAnsi"/>
          <w:b/>
          <w:sz w:val="24"/>
          <w:szCs w:val="24"/>
        </w:rPr>
      </w:pPr>
      <w:r w:rsidRPr="006E7082">
        <w:rPr>
          <w:rFonts w:asciiTheme="minorHAnsi" w:hAnsiTheme="minorHAnsi" w:cstheme="minorHAnsi"/>
          <w:b/>
          <w:sz w:val="24"/>
          <w:szCs w:val="24"/>
        </w:rPr>
        <w:lastRenderedPageBreak/>
        <w:t>Państwowa jednostka budżetowa</w:t>
      </w:r>
      <w:r w:rsidRPr="006E7082">
        <w:rPr>
          <w:rFonts w:asciiTheme="minorHAnsi" w:hAnsiTheme="minorHAnsi" w:cstheme="minorHAnsi"/>
          <w:sz w:val="24"/>
          <w:szCs w:val="24"/>
        </w:rPr>
        <w:t xml:space="preserve"> zgodnie z </w:t>
      </w:r>
      <w:r w:rsidR="00F15F98" w:rsidRPr="006E7082">
        <w:rPr>
          <w:rFonts w:asciiTheme="minorHAnsi" w:hAnsiTheme="minorHAnsi" w:cstheme="minorHAnsi"/>
          <w:sz w:val="24"/>
          <w:szCs w:val="24"/>
        </w:rPr>
        <w:t>Ustawą</w:t>
      </w:r>
      <w:r w:rsidR="001164DF" w:rsidRPr="006E7082">
        <w:rPr>
          <w:rFonts w:asciiTheme="minorHAnsi" w:hAnsiTheme="minorHAnsi" w:cstheme="minorHAnsi"/>
          <w:sz w:val="24"/>
          <w:szCs w:val="24"/>
        </w:rPr>
        <w:t xml:space="preserve"> z dnia 27 sierpnia 2009 r. </w:t>
      </w:r>
      <w:r w:rsidR="0064104A" w:rsidRPr="006E7082">
        <w:rPr>
          <w:rFonts w:asciiTheme="minorHAnsi" w:hAnsiTheme="minorHAnsi" w:cstheme="minorHAnsi"/>
          <w:sz w:val="24"/>
          <w:szCs w:val="24"/>
        </w:rPr>
        <w:br/>
      </w:r>
      <w:r w:rsidR="001164DF" w:rsidRPr="006E7082">
        <w:rPr>
          <w:rFonts w:asciiTheme="minorHAnsi" w:hAnsiTheme="minorHAnsi" w:cstheme="minorHAnsi"/>
          <w:sz w:val="24"/>
          <w:szCs w:val="24"/>
        </w:rPr>
        <w:t xml:space="preserve">o finansach publicznych </w:t>
      </w:r>
      <w:r w:rsidRPr="006E7082">
        <w:rPr>
          <w:rFonts w:asciiTheme="minorHAnsi" w:hAnsiTheme="minorHAnsi" w:cstheme="minorHAnsi"/>
          <w:sz w:val="24"/>
          <w:szCs w:val="24"/>
        </w:rPr>
        <w:t>jako</w:t>
      </w:r>
      <w:r w:rsidRPr="006E7082">
        <w:rPr>
          <w:rFonts w:asciiTheme="minorHAnsi" w:hAnsiTheme="minorHAnsi" w:cstheme="minorHAnsi"/>
          <w:b/>
          <w:sz w:val="24"/>
          <w:szCs w:val="24"/>
        </w:rPr>
        <w:t xml:space="preserve"> </w:t>
      </w:r>
      <w:r w:rsidRPr="006E7082">
        <w:rPr>
          <w:rFonts w:asciiTheme="minorHAnsi" w:hAnsiTheme="minorHAnsi" w:cstheme="minorHAnsi"/>
          <w:sz w:val="24"/>
          <w:szCs w:val="24"/>
        </w:rPr>
        <w:t>dokument potwierdzający posiadanie środków na realizację projektu załącza plan dochodów i wydatków danej jednostki budżetowej</w:t>
      </w:r>
      <w:r w:rsidR="001164DF" w:rsidRPr="006E7082">
        <w:rPr>
          <w:rFonts w:asciiTheme="minorHAnsi" w:hAnsiTheme="minorHAnsi" w:cstheme="minorHAnsi"/>
          <w:sz w:val="24"/>
          <w:szCs w:val="24"/>
        </w:rPr>
        <w:t>,</w:t>
      </w:r>
      <w:r w:rsidRPr="006E7082">
        <w:rPr>
          <w:rFonts w:asciiTheme="minorHAnsi" w:hAnsiTheme="minorHAnsi" w:cstheme="minorHAnsi"/>
          <w:sz w:val="24"/>
          <w:szCs w:val="24"/>
        </w:rPr>
        <w:t xml:space="preserve"> zwany planem finansowym jednostki budżetowej, który przewiduje pokrycie wkładu własnego </w:t>
      </w:r>
      <w:r w:rsidR="00F87650" w:rsidRPr="006E7082">
        <w:rPr>
          <w:rFonts w:asciiTheme="minorHAnsi" w:hAnsiTheme="minorHAnsi" w:cstheme="minorHAnsi"/>
          <w:sz w:val="24"/>
          <w:szCs w:val="24"/>
        </w:rPr>
        <w:t xml:space="preserve">i wydatków niekwalifikowalnych </w:t>
      </w:r>
      <w:r w:rsidRPr="006E7082">
        <w:rPr>
          <w:rFonts w:asciiTheme="minorHAnsi" w:hAnsiTheme="minorHAnsi" w:cstheme="minorHAnsi"/>
          <w:sz w:val="24"/>
          <w:szCs w:val="24"/>
        </w:rPr>
        <w:t>zgodnie z montażem finansowym zawartym we wniosku. W przypadku</w:t>
      </w:r>
      <w:r w:rsidR="001164DF" w:rsidRPr="006E7082">
        <w:rPr>
          <w:rFonts w:asciiTheme="minorHAnsi" w:hAnsiTheme="minorHAnsi" w:cstheme="minorHAnsi"/>
          <w:sz w:val="24"/>
          <w:szCs w:val="24"/>
        </w:rPr>
        <w:t>,</w:t>
      </w:r>
      <w:r w:rsidRPr="006E7082">
        <w:rPr>
          <w:rFonts w:asciiTheme="minorHAnsi" w:hAnsiTheme="minorHAnsi" w:cstheme="minorHAnsi"/>
          <w:sz w:val="24"/>
          <w:szCs w:val="24"/>
        </w:rPr>
        <w:t xml:space="preserve"> gdy okres realizacji projektu jest dłuższy niż rok</w:t>
      </w:r>
      <w:r w:rsidR="006E7082" w:rsidRPr="006E7082">
        <w:rPr>
          <w:rFonts w:asciiTheme="minorHAnsi" w:hAnsiTheme="minorHAnsi" w:cstheme="minorHAnsi"/>
          <w:sz w:val="24"/>
          <w:szCs w:val="24"/>
        </w:rPr>
        <w:t>,</w:t>
      </w:r>
      <w:r w:rsidRPr="006E7082">
        <w:rPr>
          <w:rFonts w:asciiTheme="minorHAnsi" w:hAnsiTheme="minorHAnsi" w:cstheme="minorHAnsi"/>
          <w:sz w:val="24"/>
          <w:szCs w:val="24"/>
        </w:rPr>
        <w:t xml:space="preserve"> zabezpieczenie środków jest możliwe za pomocą planów wieloletnich stanowiących załącznik do uchwały budżetowej.</w:t>
      </w:r>
    </w:p>
    <w:p w14:paraId="3064403E" w14:textId="563BF5BB" w:rsidR="00A06439" w:rsidRPr="006E7082" w:rsidRDefault="00A06439" w:rsidP="006E7082">
      <w:pPr>
        <w:pStyle w:val="Akapitzlist"/>
        <w:numPr>
          <w:ilvl w:val="0"/>
          <w:numId w:val="85"/>
        </w:numPr>
        <w:tabs>
          <w:tab w:val="left" w:pos="720"/>
        </w:tabs>
        <w:spacing w:after="120"/>
        <w:rPr>
          <w:rFonts w:asciiTheme="minorHAnsi" w:hAnsiTheme="minorHAnsi" w:cstheme="minorHAnsi"/>
          <w:b/>
          <w:sz w:val="24"/>
          <w:szCs w:val="24"/>
        </w:rPr>
      </w:pPr>
      <w:r w:rsidRPr="006E7082">
        <w:rPr>
          <w:rFonts w:asciiTheme="minorHAnsi" w:hAnsiTheme="minorHAnsi" w:cstheme="minorHAnsi"/>
          <w:sz w:val="24"/>
          <w:szCs w:val="24"/>
        </w:rPr>
        <w:t>W przypadku</w:t>
      </w:r>
      <w:r w:rsidRPr="006E7082">
        <w:rPr>
          <w:rFonts w:asciiTheme="minorHAnsi" w:hAnsiTheme="minorHAnsi" w:cstheme="minorHAnsi"/>
          <w:b/>
          <w:sz w:val="24"/>
          <w:szCs w:val="24"/>
        </w:rPr>
        <w:t xml:space="preserve"> Kościelnych osób prawnych i organów działających w imieniu tych osób </w:t>
      </w:r>
      <w:r w:rsidRPr="006E7082">
        <w:rPr>
          <w:rFonts w:asciiTheme="minorHAnsi" w:hAnsiTheme="minorHAnsi" w:cstheme="minorHAnsi"/>
          <w:sz w:val="24"/>
          <w:szCs w:val="24"/>
        </w:rPr>
        <w:t>określenie dokumentu, który może stanowić potwierdzenie zabezpieczenia środków jest zależne od przepisów regulujących funkcjonowanie danego kościoła</w:t>
      </w:r>
      <w:r w:rsidR="00237998" w:rsidRPr="006E7082">
        <w:rPr>
          <w:rFonts w:asciiTheme="minorHAnsi" w:hAnsiTheme="minorHAnsi" w:cstheme="minorHAnsi"/>
          <w:sz w:val="24"/>
          <w:szCs w:val="24"/>
        </w:rPr>
        <w:t>/innych związków wyznaniowych</w:t>
      </w:r>
      <w:r w:rsidRPr="006E7082">
        <w:rPr>
          <w:rFonts w:asciiTheme="minorHAnsi" w:hAnsiTheme="minorHAnsi" w:cstheme="minorHAnsi"/>
          <w:sz w:val="24"/>
          <w:szCs w:val="24"/>
        </w:rPr>
        <w:t>. Kościelne osoby prawne i organy uprawnione do działania w imieniu tych osób określają właściwe przepisy prawa polskiego i prawa wewnętrznego</w:t>
      </w:r>
      <w:r w:rsidR="00237998" w:rsidRPr="006E7082">
        <w:rPr>
          <w:rFonts w:asciiTheme="minorHAnsi" w:hAnsiTheme="minorHAnsi" w:cstheme="minorHAnsi"/>
          <w:color w:val="FF0000"/>
          <w:sz w:val="24"/>
          <w:szCs w:val="24"/>
        </w:rPr>
        <w:t xml:space="preserve"> </w:t>
      </w:r>
      <w:r w:rsidR="00237998" w:rsidRPr="006E7082">
        <w:rPr>
          <w:rFonts w:asciiTheme="minorHAnsi" w:hAnsiTheme="minorHAnsi" w:cstheme="minorHAnsi"/>
          <w:sz w:val="24"/>
          <w:szCs w:val="24"/>
        </w:rPr>
        <w:t>kościoła/ innych związków wyznaniowych</w:t>
      </w:r>
      <w:r w:rsidRPr="006E7082">
        <w:rPr>
          <w:rFonts w:asciiTheme="minorHAnsi" w:hAnsiTheme="minorHAnsi" w:cstheme="minorHAnsi"/>
          <w:sz w:val="24"/>
          <w:szCs w:val="24"/>
        </w:rPr>
        <w:t xml:space="preserve">. W przypadku kościołów i </w:t>
      </w:r>
      <w:r w:rsidR="00144AC7" w:rsidRPr="006E7082">
        <w:rPr>
          <w:rFonts w:asciiTheme="minorHAnsi" w:hAnsiTheme="minorHAnsi" w:cstheme="minorHAnsi"/>
          <w:sz w:val="24"/>
          <w:szCs w:val="24"/>
        </w:rPr>
        <w:t xml:space="preserve">innych </w:t>
      </w:r>
      <w:r w:rsidRPr="006E7082">
        <w:rPr>
          <w:rFonts w:asciiTheme="minorHAnsi" w:hAnsiTheme="minorHAnsi" w:cstheme="minorHAnsi"/>
          <w:sz w:val="24"/>
          <w:szCs w:val="24"/>
        </w:rPr>
        <w:t>związków wyznaniowych organy te wymieniane są w ustawach r</w:t>
      </w:r>
      <w:r w:rsidR="00857620" w:rsidRPr="006E7082">
        <w:rPr>
          <w:rFonts w:asciiTheme="minorHAnsi" w:hAnsiTheme="minorHAnsi" w:cstheme="minorHAnsi"/>
          <w:sz w:val="24"/>
          <w:szCs w:val="24"/>
        </w:rPr>
        <w:t>egulujących stosunek Państwa do </w:t>
      </w:r>
      <w:r w:rsidRPr="006E7082">
        <w:rPr>
          <w:rFonts w:asciiTheme="minorHAnsi" w:hAnsiTheme="minorHAnsi" w:cstheme="minorHAnsi"/>
          <w:sz w:val="24"/>
          <w:szCs w:val="24"/>
        </w:rPr>
        <w:t>kościołów i związków wyznaniowych. W pozostałych przypadkach są to organy ujawnione w rejestrze MSWiA.</w:t>
      </w:r>
    </w:p>
    <w:p w14:paraId="11014E90" w14:textId="19CC3D44" w:rsidR="00A06439" w:rsidRPr="006E7082" w:rsidRDefault="00A06439" w:rsidP="006E7082">
      <w:pPr>
        <w:spacing w:after="120" w:line="276" w:lineRule="auto"/>
        <w:ind w:left="364"/>
        <w:rPr>
          <w:rFonts w:asciiTheme="minorHAnsi" w:hAnsiTheme="minorHAnsi" w:cstheme="minorHAnsi"/>
          <w:szCs w:val="24"/>
        </w:rPr>
      </w:pPr>
      <w:r w:rsidRPr="006E7082">
        <w:rPr>
          <w:rFonts w:asciiTheme="minorHAnsi" w:hAnsiTheme="minorHAnsi" w:cstheme="minorHAnsi"/>
          <w:szCs w:val="24"/>
        </w:rPr>
        <w:t>W przypadku</w:t>
      </w:r>
      <w:r w:rsidR="00EB1572" w:rsidRPr="006E7082">
        <w:rPr>
          <w:rFonts w:asciiTheme="minorHAnsi" w:hAnsiTheme="minorHAnsi" w:cstheme="minorHAnsi"/>
          <w:szCs w:val="24"/>
        </w:rPr>
        <w:t>,</w:t>
      </w:r>
      <w:r w:rsidRPr="006E7082">
        <w:rPr>
          <w:rFonts w:asciiTheme="minorHAnsi" w:hAnsiTheme="minorHAnsi" w:cstheme="minorHAnsi"/>
          <w:szCs w:val="24"/>
        </w:rPr>
        <w:t xml:space="preserve"> gdy z przepisów regulujących funkcjonowanie danego kościoła lub związku wyznaniowego wynika, że w imieniu kościelnej osoby prawnej występuje organ jednoosobowy (np. biskup, proboszcz) wówczas wymaganym dokumentem będzie oświadczenie danego organu. Natomiast</w:t>
      </w:r>
      <w:r w:rsidR="00EB1572" w:rsidRPr="006E7082">
        <w:rPr>
          <w:rFonts w:asciiTheme="minorHAnsi" w:hAnsiTheme="minorHAnsi" w:cstheme="minorHAnsi"/>
          <w:szCs w:val="24"/>
        </w:rPr>
        <w:t>,</w:t>
      </w:r>
      <w:r w:rsidRPr="006E7082">
        <w:rPr>
          <w:rFonts w:asciiTheme="minorHAnsi" w:hAnsiTheme="minorHAnsi" w:cstheme="minorHAnsi"/>
          <w:szCs w:val="24"/>
        </w:rPr>
        <w:t xml:space="preserve"> gdy z odrębnych przepisów regulujących funkcjonowanie danego kościoła lub </w:t>
      </w:r>
      <w:r w:rsidR="00237998" w:rsidRPr="006E7082">
        <w:rPr>
          <w:rFonts w:asciiTheme="minorHAnsi" w:hAnsiTheme="minorHAnsi" w:cstheme="minorHAnsi"/>
          <w:szCs w:val="24"/>
        </w:rPr>
        <w:t xml:space="preserve">innych </w:t>
      </w:r>
      <w:r w:rsidRPr="006E7082">
        <w:rPr>
          <w:rFonts w:asciiTheme="minorHAnsi" w:hAnsiTheme="minorHAnsi" w:cstheme="minorHAnsi"/>
          <w:szCs w:val="24"/>
        </w:rPr>
        <w:t>związk</w:t>
      </w:r>
      <w:r w:rsidR="00060169" w:rsidRPr="006E7082">
        <w:rPr>
          <w:rFonts w:asciiTheme="minorHAnsi" w:hAnsiTheme="minorHAnsi" w:cstheme="minorHAnsi"/>
          <w:szCs w:val="24"/>
        </w:rPr>
        <w:t>ów</w:t>
      </w:r>
      <w:r w:rsidRPr="006E7082">
        <w:rPr>
          <w:rFonts w:asciiTheme="minorHAnsi" w:hAnsiTheme="minorHAnsi" w:cstheme="minorHAnsi"/>
          <w:szCs w:val="24"/>
        </w:rPr>
        <w:t xml:space="preserve"> </w:t>
      </w:r>
      <w:r w:rsidR="00237998" w:rsidRPr="006E7082">
        <w:rPr>
          <w:rFonts w:asciiTheme="minorHAnsi" w:hAnsiTheme="minorHAnsi" w:cstheme="minorHAnsi"/>
          <w:szCs w:val="24"/>
        </w:rPr>
        <w:t xml:space="preserve">wyznaniowych </w:t>
      </w:r>
      <w:r w:rsidRPr="006E7082">
        <w:rPr>
          <w:rFonts w:asciiTheme="minorHAnsi" w:hAnsiTheme="minorHAnsi" w:cstheme="minorHAnsi"/>
          <w:szCs w:val="24"/>
        </w:rPr>
        <w:t>wynika, że organem właściwym do postępowania w imieniu kościelnej osoby prawnej jest organ kolegialny (np. synod, r</w:t>
      </w:r>
      <w:r w:rsidR="0039660C" w:rsidRPr="006E7082">
        <w:rPr>
          <w:rFonts w:asciiTheme="minorHAnsi" w:hAnsiTheme="minorHAnsi" w:cstheme="minorHAnsi"/>
          <w:szCs w:val="24"/>
        </w:rPr>
        <w:t>ada parafialna) wówczas właściwą</w:t>
      </w:r>
      <w:r w:rsidRPr="006E7082">
        <w:rPr>
          <w:rFonts w:asciiTheme="minorHAnsi" w:hAnsiTheme="minorHAnsi" w:cstheme="minorHAnsi"/>
          <w:szCs w:val="24"/>
        </w:rPr>
        <w:t xml:space="preserve"> formą działania takiego organu będzie uchwa</w:t>
      </w:r>
      <w:r w:rsidR="00DD0F46" w:rsidRPr="006E7082">
        <w:rPr>
          <w:rFonts w:asciiTheme="minorHAnsi" w:hAnsiTheme="minorHAnsi" w:cstheme="minorHAnsi"/>
          <w:szCs w:val="24"/>
        </w:rPr>
        <w:t>ł</w:t>
      </w:r>
      <w:r w:rsidRPr="006E7082">
        <w:rPr>
          <w:rFonts w:asciiTheme="minorHAnsi" w:hAnsiTheme="minorHAnsi" w:cstheme="minorHAnsi"/>
          <w:szCs w:val="24"/>
        </w:rPr>
        <w:t>a.</w:t>
      </w:r>
    </w:p>
    <w:p w14:paraId="7A2F9B16" w14:textId="77777777" w:rsidR="00F15F98" w:rsidRPr="006E7082" w:rsidRDefault="00A06439" w:rsidP="006E7082">
      <w:pPr>
        <w:pStyle w:val="Akapitzlist"/>
        <w:numPr>
          <w:ilvl w:val="0"/>
          <w:numId w:val="85"/>
        </w:numPr>
        <w:tabs>
          <w:tab w:val="num" w:pos="720"/>
        </w:tabs>
        <w:autoSpaceDE w:val="0"/>
        <w:autoSpaceDN w:val="0"/>
        <w:adjustRightInd w:val="0"/>
        <w:spacing w:after="120"/>
        <w:rPr>
          <w:rFonts w:asciiTheme="minorHAnsi" w:hAnsiTheme="minorHAnsi" w:cstheme="minorHAnsi"/>
          <w:sz w:val="24"/>
          <w:szCs w:val="24"/>
        </w:rPr>
      </w:pPr>
      <w:bookmarkStart w:id="709" w:name="_Hlk192146845"/>
      <w:r w:rsidRPr="006E7082">
        <w:rPr>
          <w:rFonts w:asciiTheme="minorHAnsi" w:hAnsiTheme="minorHAnsi" w:cstheme="minorHAnsi"/>
          <w:sz w:val="24"/>
          <w:szCs w:val="24"/>
        </w:rPr>
        <w:t xml:space="preserve">W przypadku </w:t>
      </w:r>
      <w:r w:rsidRPr="006E7082">
        <w:rPr>
          <w:rFonts w:asciiTheme="minorHAnsi" w:hAnsiTheme="minorHAnsi" w:cstheme="minorHAnsi"/>
          <w:b/>
          <w:sz w:val="24"/>
          <w:szCs w:val="24"/>
        </w:rPr>
        <w:t xml:space="preserve">pozostałych kategorii </w:t>
      </w:r>
      <w:r w:rsidR="00A721F7" w:rsidRPr="006E7082">
        <w:rPr>
          <w:rFonts w:asciiTheme="minorHAnsi" w:hAnsiTheme="minorHAnsi" w:cstheme="minorHAnsi"/>
          <w:b/>
          <w:sz w:val="24"/>
          <w:szCs w:val="24"/>
        </w:rPr>
        <w:t>W</w:t>
      </w:r>
      <w:r w:rsidR="007A78CA" w:rsidRPr="006E7082">
        <w:rPr>
          <w:rFonts w:asciiTheme="minorHAnsi" w:hAnsiTheme="minorHAnsi" w:cstheme="minorHAnsi"/>
          <w:b/>
          <w:sz w:val="24"/>
          <w:szCs w:val="24"/>
        </w:rPr>
        <w:t>nioskodawców</w:t>
      </w:r>
      <w:r w:rsidRPr="006E7082">
        <w:rPr>
          <w:rFonts w:asciiTheme="minorHAnsi" w:hAnsiTheme="minorHAnsi" w:cstheme="minorHAnsi"/>
          <w:sz w:val="24"/>
          <w:szCs w:val="24"/>
        </w:rPr>
        <w:t xml:space="preserve"> do wniosk</w:t>
      </w:r>
      <w:r w:rsidR="00F15F98" w:rsidRPr="006E7082">
        <w:rPr>
          <w:rFonts w:asciiTheme="minorHAnsi" w:hAnsiTheme="minorHAnsi" w:cstheme="minorHAnsi"/>
          <w:sz w:val="24"/>
          <w:szCs w:val="24"/>
        </w:rPr>
        <w:t>u aplikacyjnego należy załączyć:</w:t>
      </w:r>
    </w:p>
    <w:p w14:paraId="5A1E548C" w14:textId="77777777" w:rsidR="00051B4B" w:rsidRPr="00051B4B" w:rsidRDefault="005104DF" w:rsidP="00051B4B">
      <w:pPr>
        <w:pStyle w:val="Akapitzlist"/>
        <w:numPr>
          <w:ilvl w:val="0"/>
          <w:numId w:val="4"/>
        </w:numPr>
        <w:spacing w:after="120"/>
        <w:rPr>
          <w:rFonts w:ascii="Arial" w:eastAsia="Times New Roman" w:hAnsi="Arial" w:cs="Arial"/>
          <w:sz w:val="20"/>
          <w:szCs w:val="20"/>
          <w:lang w:val="pl-PL" w:eastAsia="pl-PL"/>
        </w:rPr>
      </w:pPr>
      <w:bookmarkStart w:id="710" w:name="_Hlk192146820"/>
      <w:bookmarkEnd w:id="709"/>
      <w:r w:rsidRPr="00467DFC">
        <w:rPr>
          <w:rFonts w:asciiTheme="minorHAnsi" w:hAnsiTheme="minorHAnsi" w:cstheme="minorHAnsi"/>
          <w:sz w:val="24"/>
          <w:szCs w:val="24"/>
        </w:rPr>
        <w:t>Dokument wynikający z przepisów prawa dotyczących konkretnego podmiotu oraz jego regulacji wewnętrznych wynikających np. z zapisów statutu Wnioskodawcy. Przykład: dokumentem zabezpieczającym środki niezbędne do realizacji inwestycji dla szkoły wyższej jest uchwała senatu, a dla szpitala – uchwała rady społecznej.</w:t>
      </w:r>
      <w:bookmarkEnd w:id="710"/>
    </w:p>
    <w:p w14:paraId="1DFB917E" w14:textId="77777777" w:rsidR="00051B4B" w:rsidRPr="00051B4B" w:rsidRDefault="00F15F98" w:rsidP="00051B4B">
      <w:pPr>
        <w:pStyle w:val="Akapitzlist"/>
        <w:numPr>
          <w:ilvl w:val="0"/>
          <w:numId w:val="4"/>
        </w:numPr>
        <w:spacing w:after="120"/>
        <w:rPr>
          <w:rFonts w:ascii="Arial" w:eastAsia="Times New Roman" w:hAnsi="Arial" w:cs="Arial"/>
          <w:lang w:val="pl-PL" w:eastAsia="pl-PL"/>
        </w:rPr>
      </w:pPr>
      <w:r w:rsidRPr="00051B4B">
        <w:rPr>
          <w:rFonts w:asciiTheme="minorHAnsi" w:hAnsiTheme="minorHAnsi" w:cstheme="minorHAnsi"/>
          <w:sz w:val="24"/>
          <w:szCs w:val="28"/>
        </w:rPr>
        <w:t>W wypadku zamiaru zaci</w:t>
      </w:r>
      <w:r w:rsidRPr="00051B4B">
        <w:rPr>
          <w:rFonts w:asciiTheme="minorHAnsi" w:eastAsia="TimesNewRoman" w:hAnsiTheme="minorHAnsi" w:cstheme="minorHAnsi"/>
          <w:sz w:val="24"/>
          <w:szCs w:val="28"/>
        </w:rPr>
        <w:t>ą</w:t>
      </w:r>
      <w:r w:rsidRPr="00051B4B">
        <w:rPr>
          <w:rFonts w:asciiTheme="minorHAnsi" w:hAnsiTheme="minorHAnsi" w:cstheme="minorHAnsi"/>
          <w:sz w:val="24"/>
          <w:szCs w:val="28"/>
        </w:rPr>
        <w:t>gni</w:t>
      </w:r>
      <w:r w:rsidRPr="00051B4B">
        <w:rPr>
          <w:rFonts w:asciiTheme="minorHAnsi" w:eastAsia="TimesNewRoman" w:hAnsiTheme="minorHAnsi" w:cstheme="minorHAnsi"/>
          <w:sz w:val="24"/>
          <w:szCs w:val="28"/>
        </w:rPr>
        <w:t>ę</w:t>
      </w:r>
      <w:r w:rsidRPr="00051B4B">
        <w:rPr>
          <w:rFonts w:asciiTheme="minorHAnsi" w:hAnsiTheme="minorHAnsi" w:cstheme="minorHAnsi"/>
          <w:sz w:val="24"/>
          <w:szCs w:val="28"/>
        </w:rPr>
        <w:t xml:space="preserve">cia </w:t>
      </w:r>
      <w:r w:rsidRPr="00051B4B">
        <w:rPr>
          <w:rFonts w:asciiTheme="minorHAnsi" w:hAnsiTheme="minorHAnsi" w:cstheme="minorHAnsi"/>
          <w:b/>
          <w:sz w:val="24"/>
          <w:szCs w:val="28"/>
        </w:rPr>
        <w:t>kredytu</w:t>
      </w:r>
      <w:r w:rsidRPr="00051B4B">
        <w:rPr>
          <w:rFonts w:asciiTheme="minorHAnsi" w:hAnsiTheme="minorHAnsi" w:cstheme="minorHAnsi"/>
          <w:sz w:val="24"/>
          <w:szCs w:val="28"/>
        </w:rPr>
        <w:t xml:space="preserve"> na realizację projektu nale</w:t>
      </w:r>
      <w:r w:rsidRPr="00051B4B">
        <w:rPr>
          <w:rFonts w:asciiTheme="minorHAnsi" w:eastAsia="TimesNewRoman" w:hAnsiTheme="minorHAnsi" w:cstheme="minorHAnsi"/>
          <w:sz w:val="24"/>
          <w:szCs w:val="28"/>
        </w:rPr>
        <w:t>ż</w:t>
      </w:r>
      <w:r w:rsidRPr="00051B4B">
        <w:rPr>
          <w:rFonts w:asciiTheme="minorHAnsi" w:hAnsiTheme="minorHAnsi" w:cstheme="minorHAnsi"/>
          <w:sz w:val="24"/>
          <w:szCs w:val="28"/>
        </w:rPr>
        <w:t>y przedstawi</w:t>
      </w:r>
      <w:r w:rsidRPr="00051B4B">
        <w:rPr>
          <w:rFonts w:asciiTheme="minorHAnsi" w:eastAsia="TimesNewRoman" w:hAnsiTheme="minorHAnsi" w:cstheme="minorHAnsi"/>
          <w:sz w:val="24"/>
          <w:szCs w:val="28"/>
        </w:rPr>
        <w:t xml:space="preserve">ć </w:t>
      </w:r>
      <w:r w:rsidRPr="00051B4B">
        <w:rPr>
          <w:rFonts w:asciiTheme="minorHAnsi" w:hAnsiTheme="minorHAnsi" w:cstheme="minorHAnsi"/>
          <w:sz w:val="24"/>
          <w:szCs w:val="28"/>
        </w:rPr>
        <w:t>promes</w:t>
      </w:r>
      <w:r w:rsidRPr="00051B4B">
        <w:rPr>
          <w:rFonts w:asciiTheme="minorHAnsi" w:eastAsia="TimesNewRoman" w:hAnsiTheme="minorHAnsi" w:cstheme="minorHAnsi"/>
          <w:sz w:val="24"/>
          <w:szCs w:val="28"/>
        </w:rPr>
        <w:t xml:space="preserve">ę </w:t>
      </w:r>
      <w:r w:rsidRPr="00051B4B">
        <w:rPr>
          <w:rFonts w:asciiTheme="minorHAnsi" w:hAnsiTheme="minorHAnsi" w:cstheme="minorHAnsi"/>
          <w:sz w:val="24"/>
          <w:szCs w:val="28"/>
        </w:rPr>
        <w:t>kredytow</w:t>
      </w:r>
      <w:r w:rsidRPr="00051B4B">
        <w:rPr>
          <w:rFonts w:asciiTheme="minorHAnsi" w:eastAsia="TimesNewRoman" w:hAnsiTheme="minorHAnsi" w:cstheme="minorHAnsi"/>
          <w:sz w:val="24"/>
          <w:szCs w:val="28"/>
        </w:rPr>
        <w:t xml:space="preserve">ą </w:t>
      </w:r>
      <w:r w:rsidRPr="00051B4B">
        <w:rPr>
          <w:rFonts w:asciiTheme="minorHAnsi" w:hAnsiTheme="minorHAnsi" w:cstheme="minorHAnsi"/>
          <w:sz w:val="24"/>
          <w:szCs w:val="28"/>
        </w:rPr>
        <w:t>uzyskan</w:t>
      </w:r>
      <w:r w:rsidRPr="00051B4B">
        <w:rPr>
          <w:rFonts w:asciiTheme="minorHAnsi" w:eastAsia="TimesNewRoman" w:hAnsiTheme="minorHAnsi" w:cstheme="minorHAnsi"/>
          <w:sz w:val="24"/>
          <w:szCs w:val="28"/>
        </w:rPr>
        <w:t xml:space="preserve">ą </w:t>
      </w:r>
      <w:r w:rsidRPr="00051B4B">
        <w:rPr>
          <w:rFonts w:asciiTheme="minorHAnsi" w:hAnsiTheme="minorHAnsi" w:cstheme="minorHAnsi"/>
          <w:sz w:val="24"/>
          <w:szCs w:val="28"/>
        </w:rPr>
        <w:t>z banku zapewniaj</w:t>
      </w:r>
      <w:r w:rsidRPr="00051B4B">
        <w:rPr>
          <w:rFonts w:asciiTheme="minorHAnsi" w:eastAsia="TimesNewRoman" w:hAnsiTheme="minorHAnsi" w:cstheme="minorHAnsi"/>
          <w:sz w:val="24"/>
          <w:szCs w:val="28"/>
        </w:rPr>
        <w:t>ą</w:t>
      </w:r>
      <w:r w:rsidRPr="00051B4B">
        <w:rPr>
          <w:rFonts w:asciiTheme="minorHAnsi" w:hAnsiTheme="minorHAnsi" w:cstheme="minorHAnsi"/>
          <w:sz w:val="24"/>
          <w:szCs w:val="28"/>
        </w:rPr>
        <w:t>c</w:t>
      </w:r>
      <w:r w:rsidRPr="00051B4B">
        <w:rPr>
          <w:rFonts w:asciiTheme="minorHAnsi" w:eastAsia="TimesNewRoman" w:hAnsiTheme="minorHAnsi" w:cstheme="minorHAnsi"/>
          <w:sz w:val="24"/>
          <w:szCs w:val="28"/>
        </w:rPr>
        <w:t>ą</w:t>
      </w:r>
      <w:r w:rsidRPr="00051B4B">
        <w:rPr>
          <w:rFonts w:asciiTheme="minorHAnsi" w:hAnsiTheme="minorHAnsi" w:cstheme="minorHAnsi"/>
          <w:sz w:val="24"/>
          <w:szCs w:val="28"/>
        </w:rPr>
        <w:t>, i</w:t>
      </w:r>
      <w:r w:rsidRPr="00051B4B">
        <w:rPr>
          <w:rFonts w:asciiTheme="minorHAnsi" w:eastAsia="TimesNewRoman" w:hAnsiTheme="minorHAnsi" w:cstheme="minorHAnsi"/>
          <w:sz w:val="24"/>
          <w:szCs w:val="28"/>
        </w:rPr>
        <w:t xml:space="preserve">ż </w:t>
      </w:r>
      <w:r w:rsidRPr="00051B4B">
        <w:rPr>
          <w:rFonts w:asciiTheme="minorHAnsi" w:hAnsiTheme="minorHAnsi" w:cstheme="minorHAnsi"/>
          <w:sz w:val="24"/>
          <w:szCs w:val="28"/>
        </w:rPr>
        <w:t xml:space="preserve">w przypadku uzyskania dofinansowania </w:t>
      </w:r>
      <w:r w:rsidR="009C07F8" w:rsidRPr="00051B4B">
        <w:rPr>
          <w:rFonts w:asciiTheme="minorHAnsi" w:hAnsiTheme="minorHAnsi" w:cstheme="minorHAnsi"/>
          <w:sz w:val="24"/>
          <w:szCs w:val="28"/>
          <w:lang w:val="pl-PL"/>
        </w:rPr>
        <w:t>Wnioskodawca</w:t>
      </w:r>
      <w:r w:rsidRPr="00051B4B">
        <w:rPr>
          <w:rFonts w:asciiTheme="minorHAnsi" w:hAnsiTheme="minorHAnsi" w:cstheme="minorHAnsi"/>
          <w:sz w:val="24"/>
          <w:szCs w:val="28"/>
        </w:rPr>
        <w:t xml:space="preserve"> otrzyma </w:t>
      </w:r>
      <w:r w:rsidRPr="00051B4B">
        <w:rPr>
          <w:rFonts w:asciiTheme="minorHAnsi" w:eastAsia="TimesNewRoman" w:hAnsiTheme="minorHAnsi" w:cstheme="minorHAnsi"/>
          <w:sz w:val="24"/>
          <w:szCs w:val="28"/>
        </w:rPr>
        <w:t>ś</w:t>
      </w:r>
      <w:r w:rsidRPr="00051B4B">
        <w:rPr>
          <w:rFonts w:asciiTheme="minorHAnsi" w:hAnsiTheme="minorHAnsi" w:cstheme="minorHAnsi"/>
          <w:sz w:val="24"/>
          <w:szCs w:val="28"/>
        </w:rPr>
        <w:t xml:space="preserve">rodki na współfinansowanie inwestycji. </w:t>
      </w:r>
      <w:r w:rsidRPr="00051B4B">
        <w:rPr>
          <w:rFonts w:asciiTheme="minorHAnsi" w:eastAsia="TimesNewRoman" w:hAnsiTheme="minorHAnsi" w:cstheme="minorHAnsi"/>
          <w:sz w:val="24"/>
          <w:szCs w:val="28"/>
        </w:rPr>
        <w:t>Ś</w:t>
      </w:r>
      <w:r w:rsidRPr="00051B4B">
        <w:rPr>
          <w:rFonts w:asciiTheme="minorHAnsi" w:hAnsiTheme="minorHAnsi" w:cstheme="minorHAnsi"/>
          <w:sz w:val="24"/>
          <w:szCs w:val="28"/>
        </w:rPr>
        <w:t>rodki obj</w:t>
      </w:r>
      <w:r w:rsidRPr="00051B4B">
        <w:rPr>
          <w:rFonts w:asciiTheme="minorHAnsi" w:eastAsia="TimesNewRoman" w:hAnsiTheme="minorHAnsi" w:cstheme="minorHAnsi"/>
          <w:sz w:val="24"/>
          <w:szCs w:val="28"/>
        </w:rPr>
        <w:t>ę</w:t>
      </w:r>
      <w:r w:rsidRPr="00051B4B">
        <w:rPr>
          <w:rFonts w:asciiTheme="minorHAnsi" w:hAnsiTheme="minorHAnsi" w:cstheme="minorHAnsi"/>
          <w:sz w:val="24"/>
          <w:szCs w:val="28"/>
        </w:rPr>
        <w:t>te promes</w:t>
      </w:r>
      <w:r w:rsidRPr="00051B4B">
        <w:rPr>
          <w:rFonts w:asciiTheme="minorHAnsi" w:eastAsia="TimesNewRoman" w:hAnsiTheme="minorHAnsi" w:cstheme="minorHAnsi"/>
          <w:sz w:val="24"/>
          <w:szCs w:val="28"/>
        </w:rPr>
        <w:t xml:space="preserve">ą </w:t>
      </w:r>
      <w:r w:rsidRPr="00051B4B">
        <w:rPr>
          <w:rFonts w:asciiTheme="minorHAnsi" w:hAnsiTheme="minorHAnsi" w:cstheme="minorHAnsi"/>
          <w:sz w:val="24"/>
          <w:szCs w:val="28"/>
        </w:rPr>
        <w:t>powinny zosta</w:t>
      </w:r>
      <w:r w:rsidRPr="00051B4B">
        <w:rPr>
          <w:rFonts w:asciiTheme="minorHAnsi" w:eastAsia="TimesNewRoman" w:hAnsiTheme="minorHAnsi" w:cstheme="minorHAnsi"/>
          <w:sz w:val="24"/>
          <w:szCs w:val="28"/>
        </w:rPr>
        <w:t xml:space="preserve">ć </w:t>
      </w:r>
      <w:r w:rsidRPr="00051B4B">
        <w:rPr>
          <w:rFonts w:asciiTheme="minorHAnsi" w:hAnsiTheme="minorHAnsi" w:cstheme="minorHAnsi"/>
          <w:sz w:val="24"/>
          <w:szCs w:val="28"/>
        </w:rPr>
        <w:t>uruchomione umo</w:t>
      </w:r>
      <w:r w:rsidRPr="00051B4B">
        <w:rPr>
          <w:rFonts w:asciiTheme="minorHAnsi" w:eastAsia="TimesNewRoman" w:hAnsiTheme="minorHAnsi" w:cstheme="minorHAnsi"/>
          <w:sz w:val="24"/>
          <w:szCs w:val="28"/>
        </w:rPr>
        <w:t>ż</w:t>
      </w:r>
      <w:r w:rsidRPr="00051B4B">
        <w:rPr>
          <w:rFonts w:asciiTheme="minorHAnsi" w:hAnsiTheme="minorHAnsi" w:cstheme="minorHAnsi"/>
          <w:sz w:val="24"/>
          <w:szCs w:val="28"/>
        </w:rPr>
        <w:t>liwiaj</w:t>
      </w:r>
      <w:r w:rsidRPr="00051B4B">
        <w:rPr>
          <w:rFonts w:asciiTheme="minorHAnsi" w:eastAsia="TimesNewRoman" w:hAnsiTheme="minorHAnsi" w:cstheme="minorHAnsi"/>
          <w:sz w:val="24"/>
          <w:szCs w:val="28"/>
        </w:rPr>
        <w:t>ą</w:t>
      </w:r>
      <w:r w:rsidRPr="00051B4B">
        <w:rPr>
          <w:rFonts w:asciiTheme="minorHAnsi" w:hAnsiTheme="minorHAnsi" w:cstheme="minorHAnsi"/>
          <w:sz w:val="24"/>
          <w:szCs w:val="28"/>
        </w:rPr>
        <w:t xml:space="preserve">cym finansowanie projektu w terminie. Informacja zawarta w promesie powinna potwierdzać, że Wnioskodawca posiada zdolność kredytową do jej uzyskania, a jedynym warunkiem jej uruchomienia będzie </w:t>
      </w:r>
      <w:r w:rsidR="00CA7CF4" w:rsidRPr="00051B4B">
        <w:rPr>
          <w:rFonts w:asciiTheme="minorHAnsi" w:hAnsiTheme="minorHAnsi" w:cstheme="minorHAnsi"/>
          <w:sz w:val="24"/>
          <w:szCs w:val="28"/>
        </w:rPr>
        <w:t>umowa/</w:t>
      </w:r>
      <w:r w:rsidR="00781115" w:rsidRPr="00051B4B">
        <w:rPr>
          <w:rFonts w:asciiTheme="minorHAnsi" w:hAnsiTheme="minorHAnsi" w:cstheme="minorHAnsi"/>
          <w:sz w:val="24"/>
          <w:szCs w:val="28"/>
          <w:lang w:val="pl-PL"/>
        </w:rPr>
        <w:t xml:space="preserve">decyzja </w:t>
      </w:r>
      <w:r w:rsidRPr="00051B4B">
        <w:rPr>
          <w:rFonts w:asciiTheme="minorHAnsi" w:hAnsiTheme="minorHAnsi" w:cstheme="minorHAnsi"/>
          <w:sz w:val="24"/>
          <w:szCs w:val="28"/>
        </w:rPr>
        <w:t>o dofinansowani</w:t>
      </w:r>
      <w:r w:rsidR="0071603D" w:rsidRPr="00051B4B">
        <w:rPr>
          <w:rFonts w:asciiTheme="minorHAnsi" w:hAnsiTheme="minorHAnsi" w:cstheme="minorHAnsi"/>
          <w:sz w:val="24"/>
          <w:szCs w:val="28"/>
          <w:lang w:val="pl-PL"/>
        </w:rPr>
        <w:t>u</w:t>
      </w:r>
      <w:r w:rsidRPr="00051B4B">
        <w:rPr>
          <w:rFonts w:asciiTheme="minorHAnsi" w:hAnsiTheme="minorHAnsi" w:cstheme="minorHAnsi"/>
          <w:sz w:val="24"/>
          <w:szCs w:val="28"/>
        </w:rPr>
        <w:t xml:space="preserve">. Nie będą zatem uznane za </w:t>
      </w:r>
      <w:r w:rsidR="00CA7CF4" w:rsidRPr="00051B4B">
        <w:rPr>
          <w:rFonts w:asciiTheme="minorHAnsi" w:hAnsiTheme="minorHAnsi" w:cstheme="minorHAnsi"/>
          <w:sz w:val="24"/>
          <w:szCs w:val="28"/>
        </w:rPr>
        <w:t xml:space="preserve">zabezpieczenie inwestycji </w:t>
      </w:r>
      <w:r w:rsidRPr="00051B4B">
        <w:rPr>
          <w:rFonts w:asciiTheme="minorHAnsi" w:hAnsiTheme="minorHAnsi" w:cstheme="minorHAnsi"/>
          <w:sz w:val="24"/>
          <w:szCs w:val="28"/>
        </w:rPr>
        <w:t xml:space="preserve">tzw. promesy warunkowe, gdyż w celu jej udzielenia </w:t>
      </w:r>
      <w:r w:rsidRPr="00051B4B">
        <w:rPr>
          <w:rFonts w:asciiTheme="minorHAnsi" w:hAnsiTheme="minorHAnsi" w:cstheme="minorHAnsi"/>
          <w:sz w:val="24"/>
          <w:szCs w:val="28"/>
        </w:rPr>
        <w:lastRenderedPageBreak/>
        <w:t>Wnioskodawca musi spełnić szereg warunków, m.in. złożyć wniosek o udzielenie promesy, złożyć dokumenty potwierdzające posiadanie zdolności kredytowej.</w:t>
      </w:r>
    </w:p>
    <w:p w14:paraId="57D49D02" w14:textId="77777777" w:rsidR="00051B4B" w:rsidRPr="00051B4B" w:rsidRDefault="00F15F98" w:rsidP="00051B4B">
      <w:pPr>
        <w:pStyle w:val="Akapitzlist"/>
        <w:numPr>
          <w:ilvl w:val="0"/>
          <w:numId w:val="4"/>
        </w:numPr>
        <w:spacing w:after="120"/>
        <w:rPr>
          <w:rFonts w:ascii="Arial" w:eastAsia="Times New Roman" w:hAnsi="Arial" w:cs="Arial"/>
          <w:sz w:val="24"/>
          <w:szCs w:val="24"/>
          <w:lang w:val="pl-PL" w:eastAsia="pl-PL"/>
        </w:rPr>
      </w:pPr>
      <w:r w:rsidRPr="00051B4B">
        <w:rPr>
          <w:rFonts w:asciiTheme="minorHAnsi" w:hAnsiTheme="minorHAnsi" w:cstheme="minorHAnsi"/>
          <w:sz w:val="24"/>
          <w:szCs w:val="28"/>
        </w:rPr>
        <w:t xml:space="preserve">W celu udokumentowania finansowania projektu ze </w:t>
      </w:r>
      <w:r w:rsidRPr="00051B4B">
        <w:rPr>
          <w:rFonts w:asciiTheme="minorHAnsi" w:hAnsiTheme="minorHAnsi" w:cstheme="minorHAnsi"/>
          <w:b/>
          <w:sz w:val="24"/>
          <w:szCs w:val="28"/>
        </w:rPr>
        <w:t>środków zewnętrznych</w:t>
      </w:r>
      <w:r w:rsidRPr="00051B4B">
        <w:rPr>
          <w:rFonts w:asciiTheme="minorHAnsi" w:hAnsiTheme="minorHAnsi" w:cstheme="minorHAnsi"/>
          <w:sz w:val="24"/>
          <w:szCs w:val="28"/>
        </w:rPr>
        <w:t xml:space="preserve"> (np. środków instytucji finansowych) do wniosku o dofinansowanie projektu należy dołączyć dokumenty potwierdzające możliwość pozyskania tych środków w wysokości i terminie umożliwiającym sfinansowanie inwestycji </w:t>
      </w:r>
      <w:r w:rsidR="00400D19" w:rsidRPr="00051B4B">
        <w:rPr>
          <w:rFonts w:asciiTheme="minorHAnsi" w:hAnsiTheme="minorHAnsi" w:cstheme="minorHAnsi"/>
          <w:sz w:val="24"/>
          <w:szCs w:val="28"/>
        </w:rPr>
        <w:t>w ramach złożonego projektu</w:t>
      </w:r>
      <w:r w:rsidR="00051B4B">
        <w:rPr>
          <w:rFonts w:asciiTheme="minorHAnsi" w:hAnsiTheme="minorHAnsi" w:cstheme="minorHAnsi"/>
          <w:sz w:val="24"/>
          <w:szCs w:val="28"/>
        </w:rPr>
        <w:t xml:space="preserve"> </w:t>
      </w:r>
      <w:r w:rsidRPr="00051B4B">
        <w:rPr>
          <w:rFonts w:asciiTheme="minorHAnsi" w:hAnsiTheme="minorHAnsi" w:cstheme="minorHAnsi"/>
          <w:sz w:val="24"/>
          <w:szCs w:val="28"/>
        </w:rPr>
        <w:t xml:space="preserve">(dokumentami mogą być m.in. umowa pożyczki). Instytucja </w:t>
      </w:r>
      <w:r w:rsidR="00400D19" w:rsidRPr="00051B4B">
        <w:rPr>
          <w:rFonts w:asciiTheme="minorHAnsi" w:hAnsiTheme="minorHAnsi" w:cstheme="minorHAnsi"/>
          <w:sz w:val="24"/>
          <w:szCs w:val="28"/>
        </w:rPr>
        <w:t xml:space="preserve">Zarządzająca </w:t>
      </w:r>
      <w:r w:rsidRPr="00051B4B">
        <w:rPr>
          <w:rFonts w:asciiTheme="minorHAnsi" w:hAnsiTheme="minorHAnsi" w:cstheme="minorHAnsi"/>
          <w:sz w:val="24"/>
          <w:szCs w:val="28"/>
        </w:rPr>
        <w:t>zastrzega możliwość weryfikacji sytuacji finansowej instytucji finansowej udzielającej ww. pożyczki oraz przedstawienia dokumentu potwierdzającego posiadanie przez nią środków na realizację zadania.</w:t>
      </w:r>
    </w:p>
    <w:p w14:paraId="289214CE" w14:textId="77777777" w:rsidR="00051B4B" w:rsidRPr="00051B4B" w:rsidRDefault="00F15F98" w:rsidP="00051B4B">
      <w:pPr>
        <w:pStyle w:val="Akapitzlist"/>
        <w:numPr>
          <w:ilvl w:val="0"/>
          <w:numId w:val="4"/>
        </w:numPr>
        <w:spacing w:after="120"/>
        <w:rPr>
          <w:rFonts w:ascii="Arial" w:eastAsia="Times New Roman" w:hAnsi="Arial" w:cs="Arial"/>
          <w:sz w:val="28"/>
          <w:szCs w:val="28"/>
          <w:lang w:val="pl-PL" w:eastAsia="pl-PL"/>
        </w:rPr>
      </w:pPr>
      <w:r w:rsidRPr="00051B4B">
        <w:rPr>
          <w:rFonts w:asciiTheme="minorHAnsi" w:hAnsiTheme="minorHAnsi" w:cstheme="minorHAnsi"/>
          <w:sz w:val="24"/>
          <w:szCs w:val="28"/>
        </w:rPr>
        <w:t>W przypadku przedsiębiorstw, które zamierzaj</w:t>
      </w:r>
      <w:r w:rsidRPr="00051B4B">
        <w:rPr>
          <w:rFonts w:asciiTheme="minorHAnsi" w:eastAsia="TimesNewRoman" w:hAnsiTheme="minorHAnsi" w:cstheme="minorHAnsi"/>
          <w:sz w:val="24"/>
          <w:szCs w:val="28"/>
        </w:rPr>
        <w:t>ą</w:t>
      </w:r>
      <w:r w:rsidRPr="00051B4B">
        <w:rPr>
          <w:rFonts w:asciiTheme="minorHAnsi" w:hAnsiTheme="minorHAnsi" w:cstheme="minorHAnsi"/>
          <w:sz w:val="24"/>
          <w:szCs w:val="28"/>
        </w:rPr>
        <w:t xml:space="preserve"> finansowa</w:t>
      </w:r>
      <w:r w:rsidRPr="00051B4B">
        <w:rPr>
          <w:rFonts w:asciiTheme="minorHAnsi" w:eastAsia="TimesNewRoman" w:hAnsiTheme="minorHAnsi" w:cstheme="minorHAnsi"/>
          <w:sz w:val="24"/>
          <w:szCs w:val="28"/>
        </w:rPr>
        <w:t xml:space="preserve">ć </w:t>
      </w:r>
      <w:r w:rsidRPr="00051B4B">
        <w:rPr>
          <w:rFonts w:asciiTheme="minorHAnsi" w:hAnsiTheme="minorHAnsi" w:cstheme="minorHAnsi"/>
          <w:sz w:val="24"/>
          <w:szCs w:val="28"/>
        </w:rPr>
        <w:t xml:space="preserve">projekt ze </w:t>
      </w:r>
      <w:r w:rsidRPr="00051B4B">
        <w:rPr>
          <w:rFonts w:asciiTheme="minorHAnsi" w:eastAsia="TimesNewRoman" w:hAnsiTheme="minorHAnsi" w:cstheme="minorHAnsi"/>
          <w:b/>
          <w:sz w:val="24"/>
          <w:szCs w:val="28"/>
        </w:rPr>
        <w:t>ś</w:t>
      </w:r>
      <w:r w:rsidRPr="00051B4B">
        <w:rPr>
          <w:rFonts w:asciiTheme="minorHAnsi" w:hAnsiTheme="minorHAnsi" w:cstheme="minorHAnsi"/>
          <w:b/>
          <w:sz w:val="24"/>
          <w:szCs w:val="28"/>
        </w:rPr>
        <w:t>rodków własnych</w:t>
      </w:r>
      <w:r w:rsidRPr="00051B4B">
        <w:rPr>
          <w:rFonts w:asciiTheme="minorHAnsi" w:hAnsiTheme="minorHAnsi" w:cstheme="minorHAnsi"/>
          <w:sz w:val="24"/>
          <w:szCs w:val="28"/>
        </w:rPr>
        <w:t xml:space="preserve"> (np. środkami zgromadzonymi na rachunku bankowym beneficjenta) do wniosku o </w:t>
      </w:r>
      <w:r w:rsidR="009C07F8" w:rsidRPr="00051B4B">
        <w:rPr>
          <w:rFonts w:asciiTheme="minorHAnsi" w:hAnsiTheme="minorHAnsi" w:cstheme="minorHAnsi"/>
          <w:sz w:val="24"/>
          <w:szCs w:val="28"/>
        </w:rPr>
        <w:t>dofinansowanie należy</w:t>
      </w:r>
      <w:r w:rsidRPr="00051B4B">
        <w:rPr>
          <w:rFonts w:asciiTheme="minorHAnsi" w:hAnsiTheme="minorHAnsi" w:cstheme="minorHAnsi"/>
          <w:sz w:val="24"/>
          <w:szCs w:val="28"/>
        </w:rPr>
        <w:t xml:space="preserve"> doł</w:t>
      </w:r>
      <w:r w:rsidRPr="00051B4B">
        <w:rPr>
          <w:rFonts w:asciiTheme="minorHAnsi" w:eastAsia="TimesNewRoman" w:hAnsiTheme="minorHAnsi" w:cstheme="minorHAnsi"/>
          <w:sz w:val="24"/>
          <w:szCs w:val="28"/>
        </w:rPr>
        <w:t>ą</w:t>
      </w:r>
      <w:r w:rsidRPr="00051B4B">
        <w:rPr>
          <w:rFonts w:asciiTheme="minorHAnsi" w:hAnsiTheme="minorHAnsi" w:cstheme="minorHAnsi"/>
          <w:sz w:val="24"/>
          <w:szCs w:val="28"/>
        </w:rPr>
        <w:t>czy</w:t>
      </w:r>
      <w:r w:rsidRPr="00051B4B">
        <w:rPr>
          <w:rFonts w:asciiTheme="minorHAnsi" w:eastAsia="TimesNewRoman" w:hAnsiTheme="minorHAnsi" w:cstheme="minorHAnsi"/>
          <w:sz w:val="24"/>
          <w:szCs w:val="28"/>
        </w:rPr>
        <w:t xml:space="preserve">ć aktualny </w:t>
      </w:r>
      <w:r w:rsidRPr="00051B4B">
        <w:rPr>
          <w:rFonts w:asciiTheme="minorHAnsi" w:hAnsiTheme="minorHAnsi" w:cstheme="minorHAnsi"/>
          <w:sz w:val="24"/>
          <w:szCs w:val="28"/>
        </w:rPr>
        <w:t>wyci</w:t>
      </w:r>
      <w:r w:rsidRPr="00051B4B">
        <w:rPr>
          <w:rFonts w:asciiTheme="minorHAnsi" w:eastAsia="TimesNewRoman" w:hAnsiTheme="minorHAnsi" w:cstheme="minorHAnsi"/>
          <w:sz w:val="24"/>
          <w:szCs w:val="28"/>
        </w:rPr>
        <w:t>ą</w:t>
      </w:r>
      <w:r w:rsidRPr="00051B4B">
        <w:rPr>
          <w:rFonts w:asciiTheme="minorHAnsi" w:hAnsiTheme="minorHAnsi" w:cstheme="minorHAnsi"/>
          <w:sz w:val="24"/>
          <w:szCs w:val="28"/>
        </w:rPr>
        <w:t xml:space="preserve">g </w:t>
      </w:r>
      <w:r w:rsidR="0064104A" w:rsidRPr="00051B4B">
        <w:rPr>
          <w:rFonts w:asciiTheme="minorHAnsi" w:hAnsiTheme="minorHAnsi" w:cstheme="minorHAnsi"/>
          <w:sz w:val="24"/>
          <w:szCs w:val="28"/>
        </w:rPr>
        <w:br/>
      </w:r>
      <w:r w:rsidRPr="00051B4B">
        <w:rPr>
          <w:rFonts w:asciiTheme="minorHAnsi" w:hAnsiTheme="minorHAnsi" w:cstheme="minorHAnsi"/>
          <w:sz w:val="24"/>
          <w:szCs w:val="28"/>
        </w:rPr>
        <w:t xml:space="preserve">z konta bankowego </w:t>
      </w:r>
      <w:r w:rsidRPr="00051B4B">
        <w:rPr>
          <w:rFonts w:asciiTheme="minorHAnsi" w:eastAsia="TimesNewRoman" w:hAnsiTheme="minorHAnsi" w:cstheme="minorHAnsi"/>
          <w:sz w:val="24"/>
          <w:szCs w:val="28"/>
        </w:rPr>
        <w:t>(nie starszy niż 3 miesiące)</w:t>
      </w:r>
      <w:r w:rsidR="00A937B9" w:rsidRPr="00051B4B">
        <w:rPr>
          <w:rFonts w:asciiTheme="minorHAnsi" w:eastAsia="TimesNewRoman" w:hAnsiTheme="minorHAnsi" w:cstheme="minorHAnsi"/>
          <w:sz w:val="24"/>
          <w:szCs w:val="28"/>
        </w:rPr>
        <w:t xml:space="preserve"> lub lokatę</w:t>
      </w:r>
      <w:r w:rsidRPr="00051B4B">
        <w:rPr>
          <w:rFonts w:asciiTheme="minorHAnsi" w:hAnsiTheme="minorHAnsi" w:cstheme="minorHAnsi"/>
          <w:sz w:val="24"/>
          <w:szCs w:val="28"/>
        </w:rPr>
        <w:t>.</w:t>
      </w:r>
    </w:p>
    <w:p w14:paraId="288DC5DC" w14:textId="34011512" w:rsidR="00385756" w:rsidRPr="00051B4B" w:rsidRDefault="00F15F98" w:rsidP="00051B4B">
      <w:pPr>
        <w:pStyle w:val="Akapitzlist"/>
        <w:numPr>
          <w:ilvl w:val="0"/>
          <w:numId w:val="4"/>
        </w:numPr>
        <w:spacing w:after="120"/>
        <w:rPr>
          <w:rFonts w:ascii="Arial" w:eastAsia="Times New Roman" w:hAnsi="Arial" w:cs="Arial"/>
          <w:sz w:val="32"/>
          <w:szCs w:val="32"/>
          <w:lang w:val="pl-PL" w:eastAsia="pl-PL"/>
        </w:rPr>
      </w:pPr>
      <w:r w:rsidRPr="00051B4B">
        <w:rPr>
          <w:rFonts w:asciiTheme="minorHAnsi" w:hAnsiTheme="minorHAnsi" w:cstheme="minorHAnsi"/>
          <w:b/>
          <w:sz w:val="24"/>
          <w:szCs w:val="28"/>
        </w:rPr>
        <w:t>W przypadku finansowania projektu z innych źródeł niż EFRR i środki własne</w:t>
      </w:r>
      <w:r w:rsidRPr="00051B4B">
        <w:rPr>
          <w:rFonts w:asciiTheme="minorHAnsi" w:hAnsiTheme="minorHAnsi" w:cstheme="minorHAnsi"/>
          <w:sz w:val="24"/>
          <w:szCs w:val="28"/>
        </w:rPr>
        <w:t>, należy dołączyć dodatkowe oświadczenie instytucji partycypującej finansowo w kosztach projektu (lub inny wiążący dokument, np. umowę). Oświadczenie powinno zawierać nazwę instytucji finansującej, nazwę projektu oraz kwotę, którą zamierza ona przeznaczyć na współfinansowanie projektu.</w:t>
      </w:r>
      <w:r w:rsidRPr="00051B4B">
        <w:rPr>
          <w:rFonts w:asciiTheme="minorHAnsi" w:hAnsiTheme="minorHAnsi" w:cstheme="minorHAnsi"/>
          <w:b/>
          <w:sz w:val="24"/>
          <w:szCs w:val="28"/>
        </w:rPr>
        <w:t xml:space="preserve"> </w:t>
      </w:r>
    </w:p>
    <w:p w14:paraId="05DEF11D" w14:textId="4C6B1367" w:rsidR="00F15F98" w:rsidRPr="004B77D6" w:rsidRDefault="00F15F98" w:rsidP="00385756">
      <w:pPr>
        <w:pStyle w:val="Akapitzlist"/>
        <w:spacing w:before="240" w:after="120"/>
        <w:ind w:left="0"/>
        <w:rPr>
          <w:rFonts w:asciiTheme="minorHAnsi" w:hAnsiTheme="minorHAnsi" w:cstheme="minorHAnsi"/>
          <w:sz w:val="24"/>
          <w:szCs w:val="24"/>
        </w:rPr>
      </w:pPr>
      <w:r w:rsidRPr="004B77D6">
        <w:rPr>
          <w:rFonts w:asciiTheme="minorHAnsi" w:hAnsiTheme="minorHAnsi" w:cstheme="minorHAnsi"/>
          <w:sz w:val="24"/>
          <w:szCs w:val="24"/>
        </w:rPr>
        <w:t>W przypadku warunkowego przyznania środków na realizacj</w:t>
      </w:r>
      <w:r w:rsidR="004F727C">
        <w:rPr>
          <w:rFonts w:asciiTheme="minorHAnsi" w:hAnsiTheme="minorHAnsi" w:cstheme="minorHAnsi"/>
          <w:sz w:val="24"/>
          <w:szCs w:val="24"/>
        </w:rPr>
        <w:t>ę</w:t>
      </w:r>
      <w:r w:rsidRPr="004B77D6">
        <w:rPr>
          <w:rFonts w:asciiTheme="minorHAnsi" w:hAnsiTheme="minorHAnsi" w:cstheme="minorHAnsi"/>
          <w:sz w:val="24"/>
          <w:szCs w:val="24"/>
        </w:rPr>
        <w:t xml:space="preserve"> inwestycji</w:t>
      </w:r>
      <w:r w:rsidR="004F727C">
        <w:rPr>
          <w:rFonts w:asciiTheme="minorHAnsi" w:hAnsiTheme="minorHAnsi" w:cstheme="minorHAnsi"/>
          <w:sz w:val="24"/>
          <w:szCs w:val="24"/>
        </w:rPr>
        <w:t>,</w:t>
      </w:r>
      <w:r w:rsidRPr="004B77D6">
        <w:rPr>
          <w:rFonts w:asciiTheme="minorHAnsi" w:hAnsiTheme="minorHAnsi" w:cstheme="minorHAnsi"/>
          <w:sz w:val="24"/>
          <w:szCs w:val="24"/>
        </w:rPr>
        <w:t xml:space="preserve"> informacja o tym</w:t>
      </w:r>
      <w:r w:rsidR="004F727C">
        <w:rPr>
          <w:rFonts w:asciiTheme="minorHAnsi" w:hAnsiTheme="minorHAnsi" w:cstheme="minorHAnsi"/>
          <w:sz w:val="24"/>
          <w:szCs w:val="24"/>
        </w:rPr>
        <w:t xml:space="preserve"> fakcie</w:t>
      </w:r>
      <w:r w:rsidRPr="004B77D6">
        <w:rPr>
          <w:rFonts w:asciiTheme="minorHAnsi" w:hAnsiTheme="minorHAnsi" w:cstheme="minorHAnsi"/>
          <w:sz w:val="24"/>
          <w:szCs w:val="24"/>
        </w:rPr>
        <w:t xml:space="preserve"> musi znaleźć się w oświadczeniu. Instytucja </w:t>
      </w:r>
      <w:r w:rsidR="00400D19">
        <w:rPr>
          <w:rFonts w:asciiTheme="minorHAnsi" w:hAnsiTheme="minorHAnsi" w:cstheme="minorHAnsi"/>
          <w:sz w:val="24"/>
          <w:szCs w:val="24"/>
        </w:rPr>
        <w:t xml:space="preserve">Zarządzająca </w:t>
      </w:r>
      <w:r w:rsidRPr="004B77D6">
        <w:rPr>
          <w:rFonts w:asciiTheme="minorHAnsi" w:hAnsiTheme="minorHAnsi" w:cstheme="minorHAnsi"/>
          <w:sz w:val="24"/>
          <w:szCs w:val="24"/>
        </w:rPr>
        <w:t xml:space="preserve">może zażądać przedstawienia dokumentu potwierdzającego posiadanie środków na realizację zadania przez instytucję partycypującą finansowo w kosztach projektu. </w:t>
      </w:r>
    </w:p>
    <w:p w14:paraId="54D498DC" w14:textId="4C49E5B3" w:rsidR="00F15F98" w:rsidRPr="004B77D6" w:rsidRDefault="00F15F98" w:rsidP="0071603D">
      <w:pPr>
        <w:spacing w:after="120" w:line="276" w:lineRule="auto"/>
        <w:contextualSpacing/>
        <w:rPr>
          <w:rFonts w:asciiTheme="minorHAnsi" w:hAnsiTheme="minorHAnsi" w:cstheme="minorHAnsi"/>
          <w:szCs w:val="24"/>
        </w:rPr>
      </w:pPr>
      <w:r w:rsidRPr="004B77D6">
        <w:rPr>
          <w:rFonts w:asciiTheme="minorHAnsi" w:hAnsiTheme="minorHAnsi" w:cstheme="minorHAnsi"/>
          <w:szCs w:val="24"/>
        </w:rPr>
        <w:t>W przypadku</w:t>
      </w:r>
      <w:r w:rsidR="009C07F8">
        <w:rPr>
          <w:rFonts w:asciiTheme="minorHAnsi" w:hAnsiTheme="minorHAnsi" w:cstheme="minorHAnsi"/>
          <w:szCs w:val="24"/>
        </w:rPr>
        <w:t>,</w:t>
      </w:r>
      <w:r w:rsidRPr="004B77D6">
        <w:rPr>
          <w:rFonts w:asciiTheme="minorHAnsi" w:hAnsiTheme="minorHAnsi" w:cstheme="minorHAnsi"/>
          <w:szCs w:val="24"/>
        </w:rPr>
        <w:t xml:space="preserve"> kiedy do dofinansowania składany jest projekt, którego </w:t>
      </w:r>
      <w:r w:rsidR="00171027">
        <w:rPr>
          <w:rFonts w:asciiTheme="minorHAnsi" w:hAnsiTheme="minorHAnsi" w:cstheme="minorHAnsi"/>
          <w:szCs w:val="24"/>
        </w:rPr>
        <w:t xml:space="preserve">rzeczowa </w:t>
      </w:r>
      <w:r w:rsidRPr="004B77D6">
        <w:rPr>
          <w:rFonts w:asciiTheme="minorHAnsi" w:hAnsiTheme="minorHAnsi" w:cstheme="minorHAnsi"/>
          <w:szCs w:val="24"/>
        </w:rPr>
        <w:t xml:space="preserve">realizacja już się </w:t>
      </w:r>
      <w:r w:rsidR="009C07F8" w:rsidRPr="004B77D6">
        <w:rPr>
          <w:rFonts w:asciiTheme="minorHAnsi" w:hAnsiTheme="minorHAnsi" w:cstheme="minorHAnsi"/>
          <w:szCs w:val="24"/>
        </w:rPr>
        <w:t>rozpoczęła (</w:t>
      </w:r>
      <w:r w:rsidR="00171027">
        <w:rPr>
          <w:rFonts w:asciiTheme="minorHAnsi" w:hAnsiTheme="minorHAnsi" w:cstheme="minorHAnsi"/>
          <w:szCs w:val="24"/>
        </w:rPr>
        <w:t xml:space="preserve">został poniesiony wydatek kwalifikowalny) </w:t>
      </w:r>
      <w:r w:rsidRPr="004B77D6">
        <w:rPr>
          <w:rFonts w:asciiTheme="minorHAnsi" w:hAnsiTheme="minorHAnsi" w:cstheme="minorHAnsi"/>
          <w:szCs w:val="24"/>
        </w:rPr>
        <w:t xml:space="preserve">należy dołączyć do wniosku </w:t>
      </w:r>
      <w:r w:rsidR="009C07F8">
        <w:rPr>
          <w:rFonts w:asciiTheme="minorHAnsi" w:hAnsiTheme="minorHAnsi" w:cstheme="minorHAnsi"/>
          <w:szCs w:val="24"/>
        </w:rPr>
        <w:br/>
      </w:r>
      <w:r w:rsidRPr="004B77D6">
        <w:rPr>
          <w:rFonts w:asciiTheme="minorHAnsi" w:hAnsiTheme="minorHAnsi" w:cstheme="minorHAnsi"/>
          <w:szCs w:val="24"/>
        </w:rPr>
        <w:t xml:space="preserve">o dofinansowanie projektu </w:t>
      </w:r>
      <w:r w:rsidR="00B95974">
        <w:rPr>
          <w:rFonts w:asciiTheme="minorHAnsi" w:hAnsiTheme="minorHAnsi" w:cstheme="minorHAnsi"/>
          <w:szCs w:val="24"/>
        </w:rPr>
        <w:t>skany</w:t>
      </w:r>
      <w:r w:rsidRPr="004B77D6">
        <w:rPr>
          <w:rFonts w:asciiTheme="minorHAnsi" w:hAnsiTheme="minorHAnsi" w:cstheme="minorHAnsi"/>
          <w:szCs w:val="24"/>
        </w:rPr>
        <w:t xml:space="preserve"> faktur lub inne dokumenty o równoważnej wartości dowodowej wraz z poleceniami przelewu potwierdzające poniesienie wydatków kwalifikowalnych</w:t>
      </w:r>
      <w:r w:rsidR="004F727C">
        <w:rPr>
          <w:rFonts w:asciiTheme="minorHAnsi" w:hAnsiTheme="minorHAnsi" w:cstheme="minorHAnsi"/>
          <w:szCs w:val="24"/>
        </w:rPr>
        <w:t>,</w:t>
      </w:r>
      <w:r w:rsidRPr="004B77D6">
        <w:rPr>
          <w:rFonts w:asciiTheme="minorHAnsi" w:hAnsiTheme="minorHAnsi" w:cstheme="minorHAnsi"/>
          <w:szCs w:val="24"/>
        </w:rPr>
        <w:t xml:space="preserve"> wraz z zestawieniem faktur zawierającym odniesienie do pozycji kosztu, której dotyczą. Powyższe nie dotyczy projektów objętych pomocą publiczną.</w:t>
      </w:r>
    </w:p>
    <w:p w14:paraId="3984293D" w14:textId="77777777" w:rsidR="005713AB" w:rsidRDefault="005713AB" w:rsidP="0071603D">
      <w:pPr>
        <w:spacing w:after="120" w:line="276" w:lineRule="auto"/>
        <w:contextualSpacing/>
        <w:rPr>
          <w:rFonts w:asciiTheme="minorHAnsi" w:hAnsiTheme="minorHAnsi" w:cstheme="minorHAnsi"/>
          <w:b/>
          <w:szCs w:val="24"/>
        </w:rPr>
      </w:pPr>
    </w:p>
    <w:p w14:paraId="605665B6" w14:textId="5D277AB3" w:rsidR="00A937B9" w:rsidRPr="004B77D6" w:rsidRDefault="00A937B9" w:rsidP="00A937B9">
      <w:pPr>
        <w:spacing w:after="120" w:line="276" w:lineRule="auto"/>
        <w:contextualSpacing/>
        <w:rPr>
          <w:rFonts w:asciiTheme="minorHAnsi" w:hAnsiTheme="minorHAnsi" w:cstheme="minorHAnsi"/>
          <w:szCs w:val="24"/>
        </w:rPr>
      </w:pPr>
      <w:bookmarkStart w:id="711" w:name="_Toc477857447"/>
      <w:r w:rsidRPr="004B77D6">
        <w:rPr>
          <w:rFonts w:asciiTheme="minorHAnsi" w:hAnsiTheme="minorHAnsi" w:cstheme="minorHAnsi"/>
          <w:b/>
          <w:szCs w:val="24"/>
        </w:rPr>
        <w:t xml:space="preserve">Dokument potwierdzający zabezpieczenie wkładu własnego oraz wydatków niekwalifikowalnych należy dostarczyć w terminie nie dłuższym niż </w:t>
      </w:r>
      <w:r>
        <w:rPr>
          <w:rFonts w:asciiTheme="minorHAnsi" w:hAnsiTheme="minorHAnsi" w:cstheme="minorHAnsi"/>
          <w:b/>
          <w:szCs w:val="24"/>
        </w:rPr>
        <w:t>6</w:t>
      </w:r>
      <w:r w:rsidRPr="004B77D6">
        <w:rPr>
          <w:rFonts w:asciiTheme="minorHAnsi" w:hAnsiTheme="minorHAnsi" w:cstheme="minorHAnsi"/>
          <w:b/>
          <w:szCs w:val="24"/>
        </w:rPr>
        <w:t>0 dni kalendarzowych od dnia podjęcia przez Zarząd Województwa Opolskiego – IZ FEO 20</w:t>
      </w:r>
      <w:r>
        <w:rPr>
          <w:rFonts w:asciiTheme="minorHAnsi" w:hAnsiTheme="minorHAnsi" w:cstheme="minorHAnsi"/>
          <w:b/>
          <w:szCs w:val="24"/>
        </w:rPr>
        <w:t>2</w:t>
      </w:r>
      <w:r w:rsidRPr="004B77D6">
        <w:rPr>
          <w:rFonts w:asciiTheme="minorHAnsi" w:hAnsiTheme="minorHAnsi" w:cstheme="minorHAnsi"/>
          <w:b/>
          <w:szCs w:val="24"/>
        </w:rPr>
        <w:t xml:space="preserve">1-2027 uchwały </w:t>
      </w:r>
      <w:r>
        <w:rPr>
          <w:rFonts w:asciiTheme="minorHAnsi" w:hAnsiTheme="minorHAnsi" w:cstheme="minorHAnsi"/>
          <w:b/>
          <w:szCs w:val="24"/>
        </w:rPr>
        <w:br/>
      </w:r>
      <w:r w:rsidRPr="004B77D6">
        <w:rPr>
          <w:rFonts w:asciiTheme="minorHAnsi" w:hAnsiTheme="minorHAnsi" w:cstheme="minorHAnsi"/>
          <w:b/>
          <w:szCs w:val="24"/>
        </w:rPr>
        <w:t xml:space="preserve">o wyborze projektów do dofinansowania. </w:t>
      </w:r>
      <w:r w:rsidRPr="004B77D6">
        <w:rPr>
          <w:rFonts w:asciiTheme="minorHAnsi" w:hAnsiTheme="minorHAnsi" w:cstheme="minorHAnsi"/>
          <w:iCs/>
          <w:szCs w:val="24"/>
        </w:rPr>
        <w:t xml:space="preserve">W uzasadnionych przypadkach, na prośbę Wnioskodawcy, ZWO może wyrazić zgodę na wydłużenie ww. terminu. </w:t>
      </w:r>
    </w:p>
    <w:p w14:paraId="6D88D85F" w14:textId="4E9AFAAB" w:rsidR="00A937B9" w:rsidRDefault="00A937B9" w:rsidP="006E7082">
      <w:pPr>
        <w:spacing w:before="240" w:after="120" w:line="276" w:lineRule="auto"/>
        <w:rPr>
          <w:rFonts w:asciiTheme="minorHAnsi" w:hAnsiTheme="minorHAnsi" w:cstheme="minorHAnsi"/>
          <w:b/>
          <w:szCs w:val="24"/>
          <w:u w:val="single"/>
        </w:rPr>
      </w:pPr>
      <w:r w:rsidRPr="004B77D6">
        <w:rPr>
          <w:rFonts w:asciiTheme="minorHAnsi" w:hAnsiTheme="minorHAnsi" w:cstheme="minorHAnsi"/>
          <w:b/>
          <w:szCs w:val="24"/>
          <w:u w:val="single"/>
        </w:rPr>
        <w:t xml:space="preserve">W przypadku nieudokumentowania przez Wnioskodawcę posiadania ww. środków </w:t>
      </w:r>
      <w:r>
        <w:rPr>
          <w:rFonts w:asciiTheme="minorHAnsi" w:hAnsiTheme="minorHAnsi" w:cstheme="minorHAnsi"/>
          <w:b/>
          <w:szCs w:val="24"/>
          <w:u w:val="single"/>
        </w:rPr>
        <w:br/>
      </w:r>
      <w:r w:rsidRPr="004B77D6">
        <w:rPr>
          <w:rFonts w:asciiTheme="minorHAnsi" w:hAnsiTheme="minorHAnsi" w:cstheme="minorHAnsi"/>
          <w:b/>
          <w:szCs w:val="24"/>
          <w:u w:val="single"/>
        </w:rPr>
        <w:t xml:space="preserve">w terminie określonym powyżej, projekt utraci możliwość </w:t>
      </w:r>
      <w:r>
        <w:rPr>
          <w:rFonts w:asciiTheme="minorHAnsi" w:hAnsiTheme="minorHAnsi" w:cstheme="minorHAnsi"/>
          <w:b/>
          <w:szCs w:val="24"/>
          <w:u w:val="single"/>
        </w:rPr>
        <w:t xml:space="preserve">uzyskania </w:t>
      </w:r>
      <w:r w:rsidRPr="004B77D6">
        <w:rPr>
          <w:rFonts w:asciiTheme="minorHAnsi" w:hAnsiTheme="minorHAnsi" w:cstheme="minorHAnsi"/>
          <w:b/>
          <w:szCs w:val="24"/>
          <w:u w:val="single"/>
        </w:rPr>
        <w:t>dofinansowania</w:t>
      </w:r>
      <w:r>
        <w:rPr>
          <w:rFonts w:asciiTheme="minorHAnsi" w:hAnsiTheme="minorHAnsi" w:cstheme="minorHAnsi"/>
          <w:b/>
          <w:szCs w:val="24"/>
          <w:u w:val="single"/>
        </w:rPr>
        <w:t>.</w:t>
      </w:r>
    </w:p>
    <w:p w14:paraId="50BEF054" w14:textId="391A2A48" w:rsidR="00A06439" w:rsidRPr="004B77D6" w:rsidRDefault="00987340" w:rsidP="0071603D">
      <w:pPr>
        <w:pStyle w:val="Nagwek3"/>
        <w:numPr>
          <w:ilvl w:val="0"/>
          <w:numId w:val="0"/>
        </w:numPr>
        <w:suppressAutoHyphens w:val="0"/>
        <w:spacing w:before="0" w:after="120" w:line="276" w:lineRule="auto"/>
        <w:rPr>
          <w:rFonts w:ascii="Calibri" w:hAnsi="Calibri"/>
          <w:sz w:val="28"/>
          <w:szCs w:val="28"/>
        </w:rPr>
      </w:pPr>
      <w:bookmarkStart w:id="712" w:name="_Toc241839728"/>
      <w:bookmarkStart w:id="713" w:name="_Hlk185582892"/>
      <w:r>
        <w:rPr>
          <w:rFonts w:ascii="Calibri" w:hAnsi="Calibri"/>
          <w:sz w:val="28"/>
          <w:szCs w:val="28"/>
          <w:lang w:val="pl-PL"/>
        </w:rPr>
        <w:lastRenderedPageBreak/>
        <w:t>6</w:t>
      </w:r>
      <w:r w:rsidR="00506C52" w:rsidRPr="004B77D6">
        <w:rPr>
          <w:rFonts w:ascii="Calibri" w:hAnsi="Calibri"/>
          <w:sz w:val="28"/>
          <w:szCs w:val="28"/>
          <w:lang w:val="pl-PL"/>
        </w:rPr>
        <w:t xml:space="preserve">. </w:t>
      </w:r>
      <w:bookmarkEnd w:id="711"/>
      <w:r w:rsidR="002167A5" w:rsidRPr="004B77D6">
        <w:rPr>
          <w:rFonts w:ascii="Calibri" w:hAnsi="Calibri"/>
          <w:sz w:val="28"/>
          <w:szCs w:val="28"/>
        </w:rPr>
        <w:t xml:space="preserve"> </w:t>
      </w:r>
      <w:bookmarkStart w:id="714" w:name="_Hlk191973616"/>
      <w:r w:rsidR="00A937B9">
        <w:rPr>
          <w:rFonts w:ascii="Calibri" w:hAnsi="Calibri"/>
          <w:sz w:val="28"/>
          <w:szCs w:val="28"/>
        </w:rPr>
        <w:t xml:space="preserve">SKAN ZAWARTEJ </w:t>
      </w:r>
      <w:r w:rsidR="002167A5" w:rsidRPr="004B77D6">
        <w:rPr>
          <w:rFonts w:ascii="Calibri" w:hAnsi="Calibri"/>
          <w:sz w:val="28"/>
          <w:szCs w:val="28"/>
        </w:rPr>
        <w:t>UMOW</w:t>
      </w:r>
      <w:r w:rsidR="00A937B9">
        <w:rPr>
          <w:rFonts w:ascii="Calibri" w:hAnsi="Calibri"/>
          <w:sz w:val="28"/>
          <w:szCs w:val="28"/>
        </w:rPr>
        <w:t>Y</w:t>
      </w:r>
      <w:r w:rsidR="002167A5" w:rsidRPr="004B77D6">
        <w:rPr>
          <w:rFonts w:ascii="Calibri" w:hAnsi="Calibri"/>
          <w:sz w:val="28"/>
          <w:szCs w:val="28"/>
        </w:rPr>
        <w:t>/POROZUMIENI</w:t>
      </w:r>
      <w:r w:rsidR="00A937B9">
        <w:rPr>
          <w:rFonts w:ascii="Calibri" w:hAnsi="Calibri"/>
          <w:sz w:val="28"/>
          <w:szCs w:val="28"/>
        </w:rPr>
        <w:t>A</w:t>
      </w:r>
      <w:r w:rsidR="002167A5" w:rsidRPr="004B77D6">
        <w:rPr>
          <w:rFonts w:ascii="Calibri" w:hAnsi="Calibri"/>
          <w:sz w:val="28"/>
          <w:szCs w:val="28"/>
        </w:rPr>
        <w:t xml:space="preserve"> NA REALIZACJĘ WSPÓLNEGO PRZEDSIĘWZIĘCIA</w:t>
      </w:r>
      <w:r w:rsidR="002167A5">
        <w:rPr>
          <w:rFonts w:ascii="Calibri" w:hAnsi="Calibri"/>
          <w:sz w:val="28"/>
          <w:szCs w:val="28"/>
        </w:rPr>
        <w:t xml:space="preserve"> (JEŚLI DOTYCZY)</w:t>
      </w:r>
      <w:bookmarkEnd w:id="712"/>
      <w:bookmarkEnd w:id="714"/>
    </w:p>
    <w:p w14:paraId="4816A048" w14:textId="42A93F48" w:rsidR="00FA50FE" w:rsidRPr="004B77D6" w:rsidRDefault="00FA50FE" w:rsidP="0071603D">
      <w:pPr>
        <w:spacing w:after="120" w:line="276" w:lineRule="auto"/>
        <w:rPr>
          <w:rFonts w:ascii="Calibri" w:hAnsi="Calibri"/>
          <w:szCs w:val="24"/>
        </w:rPr>
      </w:pPr>
      <w:r w:rsidRPr="004B77D6">
        <w:rPr>
          <w:rFonts w:ascii="Calibri" w:hAnsi="Calibri"/>
          <w:szCs w:val="24"/>
        </w:rPr>
        <w:t>Umowa/porozumienie na realizację wspólnego przedsięwzięcia musi zostać zawarta przed złożeniem wniosku o dofinansowanie proje</w:t>
      </w:r>
      <w:r w:rsidR="00257AF6" w:rsidRPr="004B77D6">
        <w:rPr>
          <w:rFonts w:ascii="Calibri" w:hAnsi="Calibri"/>
          <w:szCs w:val="24"/>
        </w:rPr>
        <w:t xml:space="preserve">ktu, </w:t>
      </w:r>
      <w:proofErr w:type="gramStart"/>
      <w:r w:rsidR="00257AF6" w:rsidRPr="004B77D6">
        <w:rPr>
          <w:rFonts w:ascii="Calibri" w:hAnsi="Calibri"/>
          <w:szCs w:val="24"/>
        </w:rPr>
        <w:t>tylko i wyłącznie</w:t>
      </w:r>
      <w:proofErr w:type="gramEnd"/>
      <w:r w:rsidR="00257AF6" w:rsidRPr="004B77D6">
        <w:rPr>
          <w:rFonts w:ascii="Calibri" w:hAnsi="Calibri"/>
          <w:szCs w:val="24"/>
        </w:rPr>
        <w:t xml:space="preserve"> pomiędzy </w:t>
      </w:r>
      <w:r w:rsidRPr="004B77D6">
        <w:rPr>
          <w:rFonts w:ascii="Calibri" w:hAnsi="Calibri"/>
          <w:szCs w:val="24"/>
        </w:rPr>
        <w:t>Wnioskodawcami</w:t>
      </w:r>
      <w:r w:rsidR="00060169" w:rsidRPr="00060169">
        <w:rPr>
          <w:rFonts w:ascii="Calibri" w:hAnsi="Calibri"/>
          <w:szCs w:val="24"/>
        </w:rPr>
        <w:t>, którzy wpisują się w typy beneficjentów określonych w Regulaminie</w:t>
      </w:r>
      <w:r w:rsidR="00060169">
        <w:rPr>
          <w:rFonts w:ascii="Calibri" w:hAnsi="Calibri"/>
          <w:szCs w:val="24"/>
        </w:rPr>
        <w:t xml:space="preserve"> </w:t>
      </w:r>
      <w:r w:rsidRPr="004B77D6">
        <w:rPr>
          <w:rFonts w:ascii="Calibri" w:hAnsi="Calibri"/>
          <w:szCs w:val="24"/>
        </w:rPr>
        <w:t>wyboru projektów.</w:t>
      </w:r>
    </w:p>
    <w:p w14:paraId="270FB4DD" w14:textId="70535261" w:rsidR="00464F2D" w:rsidRPr="004B77D6" w:rsidRDefault="00FA50FE" w:rsidP="0071603D">
      <w:pPr>
        <w:spacing w:after="120" w:line="276" w:lineRule="auto"/>
        <w:rPr>
          <w:rFonts w:ascii="Calibri" w:hAnsi="Calibri"/>
          <w:b/>
          <w:szCs w:val="24"/>
        </w:rPr>
      </w:pPr>
      <w:r w:rsidRPr="004B77D6">
        <w:rPr>
          <w:rFonts w:ascii="Calibri" w:hAnsi="Calibri"/>
          <w:szCs w:val="24"/>
        </w:rPr>
        <w:t xml:space="preserve">Zgodnie z art. 39 ust. 1 Ustawy wdrożeniowej (Ustawa z dnia 28 kwietnia 2022 r. o zasadach realizacji zadań finansowanych ze środków europejskich w perspektywie finansowej 2021-2027), w celu wspólnej realizacji projektu mogą być tworzone partnerstwa przez podmioty wnoszące do projektu zasoby ludzkie, organizacyjne, techniczne lub finansowe realizujące wspólny </w:t>
      </w:r>
      <w:r w:rsidRPr="00623C6B">
        <w:rPr>
          <w:rFonts w:ascii="Calibri" w:hAnsi="Calibri"/>
          <w:szCs w:val="24"/>
        </w:rPr>
        <w:t xml:space="preserve">projekt. </w:t>
      </w:r>
      <w:r w:rsidR="008920A8" w:rsidRPr="00623C6B">
        <w:rPr>
          <w:rFonts w:ascii="Calibri" w:hAnsi="Calibri"/>
          <w:szCs w:val="24"/>
        </w:rPr>
        <w:t xml:space="preserve">Jednak udział </w:t>
      </w:r>
      <w:r w:rsidR="00D50F8F">
        <w:rPr>
          <w:rFonts w:ascii="Calibri" w:hAnsi="Calibri"/>
          <w:szCs w:val="24"/>
        </w:rPr>
        <w:t>P</w:t>
      </w:r>
      <w:r w:rsidR="008920A8" w:rsidRPr="00623C6B">
        <w:rPr>
          <w:rFonts w:ascii="Calibri" w:hAnsi="Calibri"/>
          <w:szCs w:val="24"/>
        </w:rPr>
        <w:t>artnerów w projekcie partnerskim nie może polegać wyłącznie na wniesieniu do jego realizacji tych zasobów.</w:t>
      </w:r>
      <w:r w:rsidR="008920A8" w:rsidRPr="00623C6B">
        <w:rPr>
          <w:rFonts w:ascii="Arial" w:hAnsi="Arial" w:cs="Arial"/>
          <w:sz w:val="18"/>
          <w:szCs w:val="18"/>
        </w:rPr>
        <w:t xml:space="preserve"> </w:t>
      </w:r>
      <w:r w:rsidRPr="00623C6B">
        <w:rPr>
          <w:rFonts w:ascii="Calibri" w:hAnsi="Calibri"/>
          <w:b/>
          <w:szCs w:val="24"/>
        </w:rPr>
        <w:t xml:space="preserve">Należy </w:t>
      </w:r>
      <w:r w:rsidRPr="004B77D6">
        <w:rPr>
          <w:rFonts w:ascii="Calibri" w:hAnsi="Calibri"/>
          <w:b/>
          <w:szCs w:val="24"/>
        </w:rPr>
        <w:t xml:space="preserve">mieć na uwadze, że aby uznać związane partnerstwo za zasadne i racjonalne niezbędne jest korzystanie przez partnerów projektu z dofinansowania UE, które musi być przewidziane dla </w:t>
      </w:r>
      <w:r w:rsidR="00D50F8F">
        <w:rPr>
          <w:rFonts w:ascii="Calibri" w:hAnsi="Calibri"/>
          <w:b/>
          <w:szCs w:val="24"/>
        </w:rPr>
        <w:t>P</w:t>
      </w:r>
      <w:r w:rsidRPr="004B77D6">
        <w:rPr>
          <w:rFonts w:ascii="Calibri" w:hAnsi="Calibri"/>
          <w:b/>
          <w:szCs w:val="24"/>
        </w:rPr>
        <w:t xml:space="preserve">artnerów </w:t>
      </w:r>
      <w:r w:rsidR="00774B4F">
        <w:rPr>
          <w:rFonts w:ascii="Calibri" w:hAnsi="Calibri"/>
          <w:b/>
          <w:szCs w:val="24"/>
        </w:rPr>
        <w:br/>
      </w:r>
      <w:r w:rsidRPr="004B77D6">
        <w:rPr>
          <w:rFonts w:ascii="Calibri" w:hAnsi="Calibri"/>
          <w:b/>
          <w:szCs w:val="24"/>
        </w:rPr>
        <w:t>w budżecie projektu, w powiązaniu z zadaniami, które mają do wykonania.</w:t>
      </w:r>
      <w:r w:rsidRPr="004B77D6">
        <w:rPr>
          <w:rFonts w:ascii="Calibri" w:hAnsi="Calibri"/>
          <w:b/>
          <w:szCs w:val="24"/>
        </w:rPr>
        <w:tab/>
      </w:r>
      <w:r w:rsidRPr="004B77D6">
        <w:rPr>
          <w:rFonts w:ascii="Calibri" w:hAnsi="Calibri"/>
          <w:b/>
          <w:szCs w:val="24"/>
        </w:rPr>
        <w:tab/>
      </w:r>
    </w:p>
    <w:p w14:paraId="12B6A846" w14:textId="77777777" w:rsidR="00FB14DF" w:rsidRDefault="00FA50FE" w:rsidP="0071603D">
      <w:pPr>
        <w:spacing w:after="120" w:line="276" w:lineRule="auto"/>
        <w:rPr>
          <w:rFonts w:ascii="Calibri" w:hAnsi="Calibri"/>
          <w:szCs w:val="24"/>
        </w:rPr>
      </w:pPr>
      <w:r w:rsidRPr="004B77D6">
        <w:rPr>
          <w:rFonts w:ascii="Calibri" w:hAnsi="Calibri"/>
          <w:szCs w:val="24"/>
        </w:rPr>
        <w:t xml:space="preserve">Podmioty realizują wspólnie projekt partnerski, na warunkach określonych w porozumieniu lub umowie partnerskiej lub na podstawie odrębnych przepisów. </w:t>
      </w:r>
    </w:p>
    <w:p w14:paraId="209A396F" w14:textId="4B7F40D6" w:rsidR="00FA50FE" w:rsidRPr="004B77D6" w:rsidRDefault="00FA50FE" w:rsidP="0071603D">
      <w:pPr>
        <w:spacing w:after="120" w:line="276" w:lineRule="auto"/>
        <w:rPr>
          <w:rFonts w:ascii="Calibri" w:hAnsi="Calibri"/>
          <w:szCs w:val="24"/>
        </w:rPr>
      </w:pPr>
      <w:r w:rsidRPr="004B77D6">
        <w:rPr>
          <w:rFonts w:ascii="Calibri" w:hAnsi="Calibri"/>
          <w:szCs w:val="24"/>
        </w:rPr>
        <w:t xml:space="preserve">W przypadku projektów partnerskich realizowanych na podstawie umowy partnerskiej, podmiot, o którym mowa w art. 4, art. 5 ust. 1 i art. 6 ustawy z dnia 11 września 2019 r. – Prawo zamówień publicznych, inicjujący projekt partnerski, dokonuje wyboru </w:t>
      </w:r>
      <w:r w:rsidR="00D50F8F">
        <w:rPr>
          <w:rFonts w:ascii="Calibri" w:hAnsi="Calibri"/>
          <w:szCs w:val="24"/>
        </w:rPr>
        <w:t>P</w:t>
      </w:r>
      <w:r w:rsidRPr="004B77D6">
        <w:rPr>
          <w:rFonts w:ascii="Calibri" w:hAnsi="Calibri"/>
          <w:szCs w:val="24"/>
        </w:rPr>
        <w:t xml:space="preserve">artnerów spośród podmiotów innych niż wymienione w art. 4 tej ustawy, z zachowaniem zasady przejrzystości i równego traktowania. Podmiot ten, dokonując wyboru, jest obowiązany </w:t>
      </w:r>
      <w:r w:rsidR="00774B4F">
        <w:rPr>
          <w:rFonts w:ascii="Calibri" w:hAnsi="Calibri"/>
          <w:szCs w:val="24"/>
        </w:rPr>
        <w:br/>
      </w:r>
      <w:r w:rsidRPr="004B77D6">
        <w:rPr>
          <w:rFonts w:ascii="Calibri" w:hAnsi="Calibri"/>
          <w:szCs w:val="24"/>
        </w:rPr>
        <w:t>w szczególności do:</w:t>
      </w:r>
    </w:p>
    <w:p w14:paraId="579A252C" w14:textId="0D46FCB3" w:rsidR="00FA50FE" w:rsidRPr="004B77D6" w:rsidRDefault="00FA50FE" w:rsidP="004D0859">
      <w:pPr>
        <w:numPr>
          <w:ilvl w:val="0"/>
          <w:numId w:val="16"/>
        </w:numPr>
        <w:spacing w:after="120" w:line="276" w:lineRule="auto"/>
        <w:rPr>
          <w:rFonts w:ascii="Calibri" w:hAnsi="Calibri"/>
          <w:szCs w:val="24"/>
        </w:rPr>
      </w:pPr>
      <w:r w:rsidRPr="004B77D6">
        <w:rPr>
          <w:rFonts w:ascii="Calibri" w:hAnsi="Calibri"/>
          <w:szCs w:val="24"/>
        </w:rPr>
        <w:t xml:space="preserve">ogłoszenia otwartego naboru </w:t>
      </w:r>
      <w:r w:rsidR="00D50F8F">
        <w:rPr>
          <w:rFonts w:ascii="Calibri" w:hAnsi="Calibri"/>
          <w:szCs w:val="24"/>
        </w:rPr>
        <w:t>P</w:t>
      </w:r>
      <w:r w:rsidRPr="004B77D6">
        <w:rPr>
          <w:rFonts w:ascii="Calibri" w:hAnsi="Calibri"/>
          <w:szCs w:val="24"/>
        </w:rPr>
        <w:t xml:space="preserve">artnerów na swojej stronie internetowej wraz ze wskazaniem co najmniej 21-dniowego terminu na zgłaszanie się </w:t>
      </w:r>
      <w:r w:rsidR="00D50F8F">
        <w:rPr>
          <w:rFonts w:ascii="Calibri" w:hAnsi="Calibri"/>
          <w:szCs w:val="24"/>
        </w:rPr>
        <w:t>P</w:t>
      </w:r>
      <w:r w:rsidRPr="004B77D6">
        <w:rPr>
          <w:rFonts w:ascii="Calibri" w:hAnsi="Calibri"/>
          <w:szCs w:val="24"/>
        </w:rPr>
        <w:t>artnerów;</w:t>
      </w:r>
    </w:p>
    <w:p w14:paraId="4F90FE9F" w14:textId="7727CD95" w:rsidR="00FA50FE" w:rsidRPr="004B77D6" w:rsidRDefault="00FA50FE" w:rsidP="004D0859">
      <w:pPr>
        <w:numPr>
          <w:ilvl w:val="0"/>
          <w:numId w:val="16"/>
        </w:numPr>
        <w:spacing w:after="120" w:line="276" w:lineRule="auto"/>
        <w:rPr>
          <w:rFonts w:ascii="Calibri" w:hAnsi="Calibri"/>
          <w:szCs w:val="24"/>
        </w:rPr>
      </w:pPr>
      <w:r w:rsidRPr="004B77D6">
        <w:rPr>
          <w:rFonts w:ascii="Calibri" w:hAnsi="Calibri"/>
          <w:szCs w:val="24"/>
        </w:rPr>
        <w:t xml:space="preserve">uwzględnienia przy wyborze </w:t>
      </w:r>
      <w:r w:rsidR="00D50F8F">
        <w:rPr>
          <w:rFonts w:ascii="Calibri" w:hAnsi="Calibri"/>
          <w:szCs w:val="24"/>
        </w:rPr>
        <w:t>P</w:t>
      </w:r>
      <w:r w:rsidRPr="004B77D6">
        <w:rPr>
          <w:rFonts w:ascii="Calibri" w:hAnsi="Calibri"/>
          <w:szCs w:val="24"/>
        </w:rPr>
        <w:t xml:space="preserve">artnerów: zgodności działania potencjalnego </w:t>
      </w:r>
      <w:r w:rsidR="00D50F8F">
        <w:rPr>
          <w:rFonts w:ascii="Calibri" w:hAnsi="Calibri"/>
          <w:szCs w:val="24"/>
        </w:rPr>
        <w:t>P</w:t>
      </w:r>
      <w:r w:rsidRPr="004B77D6">
        <w:rPr>
          <w:rFonts w:ascii="Calibri" w:hAnsi="Calibri"/>
          <w:szCs w:val="24"/>
        </w:rPr>
        <w:t xml:space="preserve">artnera z celami partnerstwa, deklarowanego wkładu potencjalnego </w:t>
      </w:r>
      <w:r w:rsidR="00D50F8F">
        <w:rPr>
          <w:rFonts w:ascii="Calibri" w:hAnsi="Calibri"/>
          <w:szCs w:val="24"/>
        </w:rPr>
        <w:t>P</w:t>
      </w:r>
      <w:r w:rsidRPr="004B77D6">
        <w:rPr>
          <w:rFonts w:ascii="Calibri" w:hAnsi="Calibri"/>
          <w:szCs w:val="24"/>
        </w:rPr>
        <w:t>artnera w realizację celu partnerstwa, doświadczenia w realizacji projektów o podobnym charakterze;</w:t>
      </w:r>
    </w:p>
    <w:p w14:paraId="0884FA59" w14:textId="21754E3C" w:rsidR="00FA50FE" w:rsidRPr="004B77D6" w:rsidRDefault="00FA50FE" w:rsidP="004D0859">
      <w:pPr>
        <w:numPr>
          <w:ilvl w:val="0"/>
          <w:numId w:val="16"/>
        </w:numPr>
        <w:spacing w:after="120" w:line="276" w:lineRule="auto"/>
        <w:rPr>
          <w:rFonts w:ascii="Calibri" w:hAnsi="Calibri"/>
          <w:szCs w:val="24"/>
        </w:rPr>
      </w:pPr>
      <w:r w:rsidRPr="004B77D6">
        <w:rPr>
          <w:rFonts w:ascii="Calibri" w:hAnsi="Calibri"/>
          <w:szCs w:val="24"/>
        </w:rPr>
        <w:t xml:space="preserve">podania do publicznej wiadomości na swojej stronie internetowej informacji </w:t>
      </w:r>
      <w:r w:rsidRPr="004B77D6">
        <w:rPr>
          <w:rFonts w:ascii="Calibri" w:hAnsi="Calibri"/>
          <w:szCs w:val="24"/>
        </w:rPr>
        <w:br/>
        <w:t xml:space="preserve">o podmiotach wybranych do pełnienia funkcji </w:t>
      </w:r>
      <w:r w:rsidR="00D50F8F">
        <w:rPr>
          <w:rFonts w:ascii="Calibri" w:hAnsi="Calibri"/>
          <w:szCs w:val="24"/>
        </w:rPr>
        <w:t>P</w:t>
      </w:r>
      <w:r w:rsidRPr="004B77D6">
        <w:rPr>
          <w:rFonts w:ascii="Calibri" w:hAnsi="Calibri"/>
          <w:szCs w:val="24"/>
        </w:rPr>
        <w:t>artnera.</w:t>
      </w:r>
    </w:p>
    <w:p w14:paraId="7084E0FA" w14:textId="03756FCE" w:rsidR="00FA50FE" w:rsidRPr="004B77D6" w:rsidRDefault="00FA50FE" w:rsidP="0071603D">
      <w:pPr>
        <w:spacing w:after="120" w:line="276" w:lineRule="auto"/>
        <w:rPr>
          <w:rFonts w:ascii="Calibri" w:hAnsi="Calibri"/>
          <w:szCs w:val="24"/>
        </w:rPr>
      </w:pPr>
      <w:r w:rsidRPr="004B77D6">
        <w:rPr>
          <w:rFonts w:ascii="Calibri" w:hAnsi="Calibri"/>
          <w:szCs w:val="24"/>
        </w:rPr>
        <w:t xml:space="preserve">W przypadku realizacji projektu przez więcej niż jeden podmiot, do wniosku </w:t>
      </w:r>
      <w:r w:rsidRPr="004B77D6">
        <w:rPr>
          <w:rFonts w:ascii="Calibri" w:hAnsi="Calibri"/>
          <w:szCs w:val="24"/>
        </w:rPr>
        <w:br/>
        <w:t xml:space="preserve">o dofinansowanie projektu należy dołączyć </w:t>
      </w:r>
      <w:r w:rsidR="00623C6B">
        <w:rPr>
          <w:rFonts w:ascii="Calibri" w:hAnsi="Calibri"/>
          <w:szCs w:val="24"/>
        </w:rPr>
        <w:t>skan</w:t>
      </w:r>
      <w:r w:rsidRPr="004B77D6">
        <w:rPr>
          <w:rFonts w:ascii="Calibri" w:hAnsi="Calibri"/>
          <w:szCs w:val="24"/>
        </w:rPr>
        <w:t xml:space="preserve"> umowy</w:t>
      </w:r>
      <w:r w:rsidR="008C20C2">
        <w:rPr>
          <w:rFonts w:ascii="Calibri" w:hAnsi="Calibri"/>
          <w:szCs w:val="24"/>
        </w:rPr>
        <w:t>/</w:t>
      </w:r>
      <w:r w:rsidRPr="004B77D6">
        <w:rPr>
          <w:rFonts w:ascii="Calibri" w:hAnsi="Calibri"/>
          <w:szCs w:val="24"/>
        </w:rPr>
        <w:t>porozumienia stron uczestniczących w realizacji projektu. Umowa partnerska powinna w szczególności określać zadania</w:t>
      </w:r>
      <w:r w:rsidR="004F727C">
        <w:rPr>
          <w:rFonts w:ascii="Calibri" w:hAnsi="Calibri"/>
          <w:szCs w:val="24"/>
        </w:rPr>
        <w:t xml:space="preserve"> </w:t>
      </w:r>
      <w:r w:rsidR="00D50F8F">
        <w:rPr>
          <w:rFonts w:ascii="Calibri" w:hAnsi="Calibri"/>
          <w:szCs w:val="24"/>
        </w:rPr>
        <w:t>P</w:t>
      </w:r>
      <w:r w:rsidRPr="004B77D6">
        <w:rPr>
          <w:rFonts w:ascii="Calibri" w:hAnsi="Calibri"/>
          <w:szCs w:val="24"/>
        </w:rPr>
        <w:t xml:space="preserve">artnerów, zasady wspólnego zarządzania projektem oraz sposób przekazywania przez Wnioskodawcy środków finansowych na pokrycia niezbędnych kosztów ponoszonych przez </w:t>
      </w:r>
      <w:r w:rsidR="00D50F8F">
        <w:rPr>
          <w:rFonts w:ascii="Calibri" w:hAnsi="Calibri"/>
          <w:szCs w:val="24"/>
        </w:rPr>
        <w:t>P</w:t>
      </w:r>
      <w:r w:rsidRPr="004B77D6">
        <w:rPr>
          <w:rFonts w:ascii="Calibri" w:hAnsi="Calibri"/>
          <w:szCs w:val="24"/>
        </w:rPr>
        <w:t xml:space="preserve">artnerów na realizację zadań w ramach projektu. </w:t>
      </w:r>
    </w:p>
    <w:p w14:paraId="34B7BCF3" w14:textId="29486E32" w:rsidR="00FA50FE" w:rsidRPr="004B77D6" w:rsidRDefault="00FA50FE" w:rsidP="0071603D">
      <w:pPr>
        <w:spacing w:after="120" w:line="276" w:lineRule="auto"/>
        <w:rPr>
          <w:rFonts w:ascii="Calibri" w:hAnsi="Calibri"/>
          <w:szCs w:val="24"/>
        </w:rPr>
      </w:pPr>
      <w:r w:rsidRPr="004B77D6">
        <w:rPr>
          <w:rFonts w:ascii="Calibri" w:hAnsi="Calibri"/>
          <w:szCs w:val="24"/>
        </w:rPr>
        <w:lastRenderedPageBreak/>
        <w:t xml:space="preserve">Zasady tworzenia związków, porozumień i stowarzyszeń jednostek samorządu terytorialnego zostały określone w ustawie o samorządzie terytorialnym oraz w ustawie o samorządzie powiatowym. </w:t>
      </w:r>
    </w:p>
    <w:p w14:paraId="07D87FF0" w14:textId="24237968" w:rsidR="00FA50FE" w:rsidRPr="004B77D6" w:rsidRDefault="00FA50FE" w:rsidP="00187F1C">
      <w:pPr>
        <w:spacing w:after="120" w:line="276" w:lineRule="auto"/>
        <w:rPr>
          <w:rFonts w:ascii="Calibri" w:hAnsi="Calibri"/>
          <w:b/>
          <w:szCs w:val="24"/>
        </w:rPr>
      </w:pPr>
      <w:r w:rsidRPr="004B77D6">
        <w:rPr>
          <w:rFonts w:ascii="Calibri" w:hAnsi="Calibri"/>
          <w:b/>
          <w:szCs w:val="24"/>
        </w:rPr>
        <w:t xml:space="preserve">Każdy </w:t>
      </w:r>
      <w:r w:rsidR="00D50F8F">
        <w:rPr>
          <w:rFonts w:ascii="Calibri" w:hAnsi="Calibri"/>
          <w:b/>
          <w:szCs w:val="24"/>
        </w:rPr>
        <w:t>P</w:t>
      </w:r>
      <w:r w:rsidRPr="004B77D6">
        <w:rPr>
          <w:rFonts w:ascii="Calibri" w:hAnsi="Calibri"/>
          <w:b/>
          <w:szCs w:val="24"/>
        </w:rPr>
        <w:t xml:space="preserve">artner powinien być podmiotem uprawnionym do otrzymania </w:t>
      </w:r>
      <w:r w:rsidR="00620DD0" w:rsidRPr="004B77D6">
        <w:rPr>
          <w:rFonts w:ascii="Calibri" w:hAnsi="Calibri"/>
          <w:b/>
          <w:szCs w:val="24"/>
        </w:rPr>
        <w:t xml:space="preserve">wsparcia </w:t>
      </w:r>
      <w:r w:rsidR="00620DD0" w:rsidRPr="004B77D6">
        <w:rPr>
          <w:rFonts w:ascii="Calibri" w:hAnsi="Calibri"/>
          <w:b/>
          <w:szCs w:val="24"/>
        </w:rPr>
        <w:br/>
        <w:t xml:space="preserve">w ramach działania </w:t>
      </w:r>
      <w:r w:rsidR="002961A3">
        <w:rPr>
          <w:rFonts w:ascii="Calibri" w:hAnsi="Calibri"/>
          <w:b/>
          <w:szCs w:val="24"/>
        </w:rPr>
        <w:t>2</w:t>
      </w:r>
      <w:r w:rsidR="00FE5AE4">
        <w:rPr>
          <w:rFonts w:ascii="Calibri" w:hAnsi="Calibri"/>
          <w:b/>
          <w:szCs w:val="24"/>
        </w:rPr>
        <w:t>.</w:t>
      </w:r>
      <w:r w:rsidR="002961A3">
        <w:rPr>
          <w:rFonts w:ascii="Calibri" w:hAnsi="Calibri"/>
          <w:b/>
          <w:szCs w:val="24"/>
        </w:rPr>
        <w:t>5</w:t>
      </w:r>
      <w:r w:rsidR="00FE5AE4">
        <w:rPr>
          <w:rFonts w:ascii="Calibri" w:hAnsi="Calibri"/>
          <w:b/>
          <w:szCs w:val="24"/>
        </w:rPr>
        <w:t xml:space="preserve"> </w:t>
      </w:r>
      <w:r w:rsidR="002961A3">
        <w:rPr>
          <w:rFonts w:ascii="Calibri" w:hAnsi="Calibri"/>
          <w:b/>
          <w:szCs w:val="24"/>
        </w:rPr>
        <w:t xml:space="preserve">Odpady i gospodarka o obiegu </w:t>
      </w:r>
      <w:r w:rsidR="004F727C">
        <w:rPr>
          <w:rFonts w:ascii="Calibri" w:hAnsi="Calibri"/>
          <w:b/>
          <w:szCs w:val="24"/>
        </w:rPr>
        <w:t>zamkniętym</w:t>
      </w:r>
      <w:r w:rsidR="008706DB">
        <w:rPr>
          <w:rFonts w:ascii="Calibri" w:hAnsi="Calibri"/>
          <w:b/>
          <w:szCs w:val="24"/>
        </w:rPr>
        <w:t xml:space="preserve"> </w:t>
      </w:r>
      <w:r w:rsidR="00187F1C" w:rsidRPr="00187F1C">
        <w:rPr>
          <w:rFonts w:ascii="Calibri" w:hAnsi="Calibri"/>
          <w:b/>
          <w:szCs w:val="24"/>
        </w:rPr>
        <w:t>FEO 2021</w:t>
      </w:r>
      <w:r w:rsidR="00FB14DF">
        <w:rPr>
          <w:rFonts w:ascii="Calibri" w:hAnsi="Calibri"/>
          <w:b/>
          <w:szCs w:val="24"/>
        </w:rPr>
        <w:t>-</w:t>
      </w:r>
      <w:r w:rsidR="00187F1C" w:rsidRPr="00187F1C">
        <w:rPr>
          <w:rFonts w:ascii="Calibri" w:hAnsi="Calibri"/>
          <w:b/>
          <w:szCs w:val="24"/>
        </w:rPr>
        <w:t>2027</w:t>
      </w:r>
      <w:r w:rsidR="00620DD0" w:rsidRPr="004B77D6">
        <w:rPr>
          <w:rFonts w:ascii="Calibri" w:hAnsi="Calibri"/>
          <w:b/>
          <w:szCs w:val="24"/>
        </w:rPr>
        <w:t>.</w:t>
      </w:r>
    </w:p>
    <w:p w14:paraId="17B0BC82" w14:textId="22BE7A73" w:rsidR="00D12BC8" w:rsidRPr="004B77D6" w:rsidRDefault="002D5B77" w:rsidP="0071603D">
      <w:pPr>
        <w:spacing w:after="120" w:line="276" w:lineRule="auto"/>
        <w:rPr>
          <w:rFonts w:asciiTheme="minorHAnsi" w:hAnsiTheme="minorHAnsi" w:cstheme="minorHAnsi"/>
          <w:szCs w:val="24"/>
        </w:rPr>
      </w:pPr>
      <w:r w:rsidRPr="004B77D6">
        <w:rPr>
          <w:rFonts w:asciiTheme="minorHAnsi" w:hAnsiTheme="minorHAnsi" w:cstheme="minorHAnsi"/>
          <w:szCs w:val="24"/>
        </w:rPr>
        <w:t xml:space="preserve">Zadania realizowane przez poszczególnych </w:t>
      </w:r>
      <w:r w:rsidR="00D50F8F">
        <w:rPr>
          <w:rFonts w:asciiTheme="minorHAnsi" w:hAnsiTheme="minorHAnsi" w:cstheme="minorHAnsi"/>
          <w:szCs w:val="24"/>
        </w:rPr>
        <w:t>P</w:t>
      </w:r>
      <w:r w:rsidRPr="004B77D6">
        <w:rPr>
          <w:rFonts w:asciiTheme="minorHAnsi" w:hAnsiTheme="minorHAnsi" w:cstheme="minorHAnsi"/>
          <w:szCs w:val="24"/>
        </w:rPr>
        <w:t xml:space="preserve">artnerów w ramach projektu partnerskiego nie mogą polegać na oferowaniu towarów, świadczeniu usług lub wykonywaniu robót budowlanych na rzecz pozostałych </w:t>
      </w:r>
      <w:r w:rsidR="00D50F8F">
        <w:rPr>
          <w:rFonts w:asciiTheme="minorHAnsi" w:hAnsiTheme="minorHAnsi" w:cstheme="minorHAnsi"/>
          <w:szCs w:val="24"/>
        </w:rPr>
        <w:t>P</w:t>
      </w:r>
      <w:r w:rsidRPr="004B77D6">
        <w:rPr>
          <w:rFonts w:asciiTheme="minorHAnsi" w:hAnsiTheme="minorHAnsi" w:cstheme="minorHAnsi"/>
          <w:szCs w:val="24"/>
        </w:rPr>
        <w:t>artnerów.</w:t>
      </w:r>
    </w:p>
    <w:p w14:paraId="723C820B" w14:textId="6E9FF1F5" w:rsidR="00FA50FE" w:rsidRPr="004B77D6" w:rsidRDefault="00FA50FE" w:rsidP="0071603D">
      <w:pPr>
        <w:spacing w:after="120" w:line="276" w:lineRule="auto"/>
        <w:rPr>
          <w:rFonts w:ascii="Calibri" w:hAnsi="Calibri"/>
          <w:szCs w:val="24"/>
        </w:rPr>
      </w:pPr>
      <w:r w:rsidRPr="004B77D6">
        <w:rPr>
          <w:rFonts w:ascii="Calibri" w:hAnsi="Calibri"/>
          <w:szCs w:val="24"/>
        </w:rPr>
        <w:t>Ponadto podmioty, które zostały wykluczone z możliwości otrzymania dofinansowania, nie</w:t>
      </w:r>
      <w:r w:rsidR="006E7082">
        <w:rPr>
          <w:rFonts w:ascii="Calibri" w:hAnsi="Calibri"/>
          <w:szCs w:val="24"/>
        </w:rPr>
        <w:t> </w:t>
      </w:r>
      <w:r w:rsidRPr="004B77D6">
        <w:rPr>
          <w:rFonts w:ascii="Calibri" w:hAnsi="Calibri"/>
          <w:szCs w:val="24"/>
        </w:rPr>
        <w:t>mogą być stroną porozumienia czy umowy o partnerstwie.</w:t>
      </w:r>
    </w:p>
    <w:p w14:paraId="1655D064" w14:textId="0F14EADD" w:rsidR="00FA50FE" w:rsidRPr="004B77D6" w:rsidRDefault="00FA50FE" w:rsidP="0071603D">
      <w:pPr>
        <w:spacing w:after="120" w:line="276" w:lineRule="auto"/>
        <w:rPr>
          <w:rFonts w:ascii="Calibri" w:hAnsi="Calibri"/>
          <w:szCs w:val="24"/>
        </w:rPr>
      </w:pPr>
      <w:r w:rsidRPr="004B77D6">
        <w:rPr>
          <w:rFonts w:ascii="Calibri" w:hAnsi="Calibri"/>
          <w:szCs w:val="24"/>
        </w:rPr>
        <w:t>W umowie/porozumieniu należy wskazać lidera projektu, który będzie odpowiedzialny za</w:t>
      </w:r>
      <w:r w:rsidR="006E7082">
        <w:rPr>
          <w:rFonts w:ascii="Calibri" w:hAnsi="Calibri"/>
          <w:szCs w:val="24"/>
        </w:rPr>
        <w:t> </w:t>
      </w:r>
      <w:r w:rsidRPr="004B77D6">
        <w:rPr>
          <w:rFonts w:ascii="Calibri" w:hAnsi="Calibri"/>
          <w:szCs w:val="24"/>
        </w:rPr>
        <w:t xml:space="preserve">realizację projektu. </w:t>
      </w:r>
      <w:r w:rsidR="00FE4D17" w:rsidRPr="00170701">
        <w:rPr>
          <w:rFonts w:ascii="Calibri" w:hAnsi="Calibri"/>
          <w:szCs w:val="24"/>
        </w:rPr>
        <w:t>Partnerem wiodącym w projekcie partnerskim może być wyłącznie podmiot o potencjale ekonomicznym zapewniającym prawidłową realizację projektu partnerskiego.</w:t>
      </w:r>
      <w:r w:rsidR="00FE4D17">
        <w:rPr>
          <w:rFonts w:ascii="Arial" w:hAnsi="Arial" w:cs="Arial"/>
          <w:color w:val="000000"/>
          <w:sz w:val="18"/>
          <w:szCs w:val="18"/>
        </w:rPr>
        <w:t xml:space="preserve"> </w:t>
      </w:r>
      <w:r w:rsidRPr="004B77D6">
        <w:rPr>
          <w:rFonts w:ascii="Calibri" w:hAnsi="Calibri"/>
          <w:szCs w:val="24"/>
        </w:rPr>
        <w:t>Lider projektu będzie odpowiadał za zarządzanie projektem, a więc: składanie wniosku o dofinansowanie projektu, koordynowanie całego przedsięwzięcia, reprezentowanie wszystkich umawiających się stron, sprawozdawczość i rozliczenia oraz wyłonienie w drodze przetargu wyspecjalizowanego podmiotu. Pozostałe podmioty zaangażowane w realizację projektu występują w charakterze partnerów.</w:t>
      </w:r>
    </w:p>
    <w:p w14:paraId="7528517C" w14:textId="192EBF5E" w:rsidR="00FA50FE" w:rsidRPr="004B77D6" w:rsidRDefault="00FA50FE" w:rsidP="0071603D">
      <w:pPr>
        <w:spacing w:after="120" w:line="276" w:lineRule="auto"/>
        <w:rPr>
          <w:rFonts w:ascii="Calibri" w:hAnsi="Calibri"/>
          <w:szCs w:val="24"/>
        </w:rPr>
      </w:pPr>
      <w:r w:rsidRPr="004B77D6">
        <w:rPr>
          <w:rFonts w:ascii="Calibri" w:hAnsi="Calibri"/>
          <w:szCs w:val="24"/>
        </w:rPr>
        <w:t>W umowie/porozumieniu powinno zostać określone m.in.: sposób odbioru poszczególnych elementów robót, sposób zapłaty za poszczególne faktury, wielkość i czas zaangażowania środków własnych stron, sposób zapłaty bądź zwrotu podatku VAT i inne sprawy ważne dla sprawnej realizacji inwestycji</w:t>
      </w:r>
      <w:r w:rsidR="00F0578C">
        <w:rPr>
          <w:rFonts w:ascii="Calibri" w:hAnsi="Calibri"/>
          <w:szCs w:val="24"/>
        </w:rPr>
        <w:t xml:space="preserve"> (np. upoważnienie do podpisywania załączników do wniosku)</w:t>
      </w:r>
      <w:r w:rsidRPr="004B77D6">
        <w:rPr>
          <w:rFonts w:ascii="Calibri" w:hAnsi="Calibri"/>
          <w:szCs w:val="24"/>
        </w:rPr>
        <w:t>.</w:t>
      </w:r>
    </w:p>
    <w:p w14:paraId="26CAF4FD" w14:textId="219A98E4" w:rsidR="00FA50FE" w:rsidRPr="004B77D6" w:rsidRDefault="00FA50FE" w:rsidP="0071603D">
      <w:pPr>
        <w:spacing w:after="120" w:line="276" w:lineRule="auto"/>
        <w:rPr>
          <w:rFonts w:ascii="Calibri" w:hAnsi="Calibri"/>
          <w:b/>
          <w:szCs w:val="24"/>
        </w:rPr>
      </w:pPr>
      <w:r w:rsidRPr="004B77D6">
        <w:rPr>
          <w:rFonts w:ascii="Calibri" w:hAnsi="Calibri"/>
          <w:b/>
          <w:szCs w:val="24"/>
        </w:rPr>
        <w:t xml:space="preserve">Każdy </w:t>
      </w:r>
      <w:r w:rsidR="00D50F8F">
        <w:rPr>
          <w:rFonts w:ascii="Calibri" w:hAnsi="Calibri"/>
          <w:b/>
          <w:szCs w:val="24"/>
        </w:rPr>
        <w:t>P</w:t>
      </w:r>
      <w:r w:rsidRPr="004B77D6">
        <w:rPr>
          <w:rFonts w:ascii="Calibri" w:hAnsi="Calibri"/>
          <w:b/>
          <w:szCs w:val="24"/>
        </w:rPr>
        <w:t xml:space="preserve">artner powinien złożyć wszystkie, adekwatne do charakteru projektu, załączniki wymienione w liście załączników do wniosku o dofinansowanie, poza </w:t>
      </w:r>
      <w:r w:rsidR="00730249" w:rsidRPr="004B77D6">
        <w:rPr>
          <w:rFonts w:ascii="Calibri" w:hAnsi="Calibri"/>
          <w:b/>
          <w:szCs w:val="24"/>
        </w:rPr>
        <w:t>SWI</w:t>
      </w:r>
      <w:r w:rsidRPr="004B77D6">
        <w:rPr>
          <w:rFonts w:ascii="Calibri" w:hAnsi="Calibri"/>
          <w:b/>
          <w:szCs w:val="24"/>
        </w:rPr>
        <w:t xml:space="preserve">. </w:t>
      </w:r>
    </w:p>
    <w:p w14:paraId="532559F6" w14:textId="77777777" w:rsidR="00FA50FE" w:rsidRPr="004B77D6" w:rsidRDefault="00FA50FE" w:rsidP="0071603D">
      <w:pPr>
        <w:spacing w:after="120" w:line="276" w:lineRule="auto"/>
        <w:rPr>
          <w:rFonts w:ascii="Calibri" w:hAnsi="Calibri"/>
          <w:szCs w:val="24"/>
        </w:rPr>
      </w:pPr>
      <w:r w:rsidRPr="004B77D6">
        <w:rPr>
          <w:rFonts w:ascii="Calibri" w:hAnsi="Calibri"/>
          <w:szCs w:val="24"/>
        </w:rPr>
        <w:t>Realizacja projektu w partnerstwie wymaga spełnienia niżej wskazanych warunków:</w:t>
      </w:r>
    </w:p>
    <w:p w14:paraId="5AF91A37" w14:textId="15F9525D" w:rsidR="00FA50FE" w:rsidRPr="004B77D6" w:rsidRDefault="00FA50FE" w:rsidP="004D0859">
      <w:pPr>
        <w:widowControl w:val="0"/>
        <w:numPr>
          <w:ilvl w:val="0"/>
          <w:numId w:val="17"/>
        </w:numPr>
        <w:tabs>
          <w:tab w:val="left" w:pos="0"/>
          <w:tab w:val="left" w:pos="532"/>
          <w:tab w:val="left" w:pos="709"/>
        </w:tabs>
        <w:autoSpaceDE w:val="0"/>
        <w:autoSpaceDN w:val="0"/>
        <w:adjustRightInd w:val="0"/>
        <w:spacing w:after="120" w:line="276" w:lineRule="auto"/>
        <w:ind w:left="357" w:hanging="73"/>
        <w:rPr>
          <w:rFonts w:ascii="Calibri" w:hAnsi="Calibri"/>
          <w:szCs w:val="24"/>
        </w:rPr>
      </w:pPr>
      <w:r w:rsidRPr="004B77D6">
        <w:rPr>
          <w:rFonts w:ascii="Calibri" w:hAnsi="Calibri"/>
          <w:szCs w:val="24"/>
        </w:rPr>
        <w:t xml:space="preserve">Posiadania Partnera wiodącego (będącego </w:t>
      </w:r>
      <w:r w:rsidRPr="00623C6B">
        <w:rPr>
          <w:rFonts w:ascii="Calibri" w:hAnsi="Calibri"/>
          <w:szCs w:val="24"/>
        </w:rPr>
        <w:t xml:space="preserve">stroną </w:t>
      </w:r>
      <w:r w:rsidR="008920A8" w:rsidRPr="00623C6B">
        <w:rPr>
          <w:rFonts w:ascii="Calibri" w:hAnsi="Calibri"/>
          <w:szCs w:val="24"/>
        </w:rPr>
        <w:t>umowy</w:t>
      </w:r>
      <w:r w:rsidR="00623C6B" w:rsidRPr="00623C6B">
        <w:rPr>
          <w:rFonts w:ascii="Calibri" w:hAnsi="Calibri"/>
          <w:szCs w:val="24"/>
        </w:rPr>
        <w:t xml:space="preserve"> o dofinansowanie</w:t>
      </w:r>
      <w:r w:rsidR="008920A8" w:rsidRPr="00623C6B">
        <w:rPr>
          <w:rFonts w:ascii="Calibri" w:hAnsi="Calibri"/>
          <w:szCs w:val="24"/>
        </w:rPr>
        <w:t>/</w:t>
      </w:r>
      <w:r w:rsidR="0016724D" w:rsidRPr="00623C6B">
        <w:rPr>
          <w:rFonts w:ascii="Calibri" w:hAnsi="Calibri"/>
          <w:szCs w:val="24"/>
        </w:rPr>
        <w:t xml:space="preserve">decyzji </w:t>
      </w:r>
      <w:r w:rsidRPr="004B77D6">
        <w:rPr>
          <w:rFonts w:ascii="Calibri" w:hAnsi="Calibri"/>
          <w:szCs w:val="24"/>
        </w:rPr>
        <w:t xml:space="preserve">o </w:t>
      </w:r>
      <w:r w:rsidR="006E7082">
        <w:rPr>
          <w:rFonts w:ascii="Calibri" w:hAnsi="Calibri"/>
          <w:szCs w:val="24"/>
        </w:rPr>
        <w:t xml:space="preserve">  </w:t>
      </w:r>
      <w:r w:rsidRPr="004B77D6">
        <w:rPr>
          <w:rFonts w:ascii="Calibri" w:hAnsi="Calibri"/>
          <w:szCs w:val="24"/>
        </w:rPr>
        <w:t>dofinansowani</w:t>
      </w:r>
      <w:r w:rsidR="0016724D" w:rsidRPr="004B77D6">
        <w:rPr>
          <w:rFonts w:ascii="Calibri" w:hAnsi="Calibri"/>
          <w:szCs w:val="24"/>
        </w:rPr>
        <w:t>u</w:t>
      </w:r>
      <w:r w:rsidRPr="004B77D6">
        <w:rPr>
          <w:rFonts w:ascii="Calibri" w:hAnsi="Calibri"/>
          <w:szCs w:val="24"/>
        </w:rPr>
        <w:t>).</w:t>
      </w:r>
    </w:p>
    <w:p w14:paraId="216FA6BE" w14:textId="14343435" w:rsidR="00FA50FE" w:rsidRPr="004B77D6" w:rsidRDefault="00FA50FE" w:rsidP="004D0859">
      <w:pPr>
        <w:widowControl w:val="0"/>
        <w:numPr>
          <w:ilvl w:val="0"/>
          <w:numId w:val="17"/>
        </w:numPr>
        <w:tabs>
          <w:tab w:val="left" w:pos="0"/>
          <w:tab w:val="left" w:pos="426"/>
          <w:tab w:val="left" w:pos="532"/>
        </w:tabs>
        <w:autoSpaceDE w:val="0"/>
        <w:autoSpaceDN w:val="0"/>
        <w:adjustRightInd w:val="0"/>
        <w:spacing w:after="120" w:line="276" w:lineRule="auto"/>
        <w:ind w:left="567" w:hanging="283"/>
        <w:rPr>
          <w:rFonts w:ascii="Calibri" w:hAnsi="Calibri"/>
          <w:szCs w:val="24"/>
        </w:rPr>
      </w:pPr>
      <w:r w:rsidRPr="004B77D6">
        <w:rPr>
          <w:rFonts w:ascii="Calibri" w:hAnsi="Calibri"/>
          <w:szCs w:val="24"/>
        </w:rPr>
        <w:t xml:space="preserve">Adekwatności udziału </w:t>
      </w:r>
      <w:r w:rsidR="00D50F8F">
        <w:rPr>
          <w:rFonts w:ascii="Calibri" w:hAnsi="Calibri"/>
          <w:szCs w:val="24"/>
        </w:rPr>
        <w:t>P</w:t>
      </w:r>
      <w:r w:rsidRPr="004B77D6">
        <w:rPr>
          <w:rFonts w:ascii="Calibri" w:hAnsi="Calibri"/>
          <w:szCs w:val="24"/>
        </w:rPr>
        <w:t>artnerów</w:t>
      </w:r>
      <w:r w:rsidR="00FB14DF">
        <w:rPr>
          <w:rFonts w:ascii="Calibri" w:hAnsi="Calibri"/>
          <w:szCs w:val="24"/>
        </w:rPr>
        <w:t>,</w:t>
      </w:r>
      <w:r w:rsidRPr="004B77D6">
        <w:rPr>
          <w:rFonts w:ascii="Calibri" w:hAnsi="Calibri"/>
          <w:szCs w:val="24"/>
        </w:rPr>
        <w:t xml:space="preserve"> tj. adekwatności wnoszonych przez nich zasobów ludzkich, organizacyjnych, technicznych i finansowych do zakresu zadań realizowanych przez nich w ramach projektu.</w:t>
      </w:r>
    </w:p>
    <w:p w14:paraId="535C9D0A" w14:textId="4BD3A2A0" w:rsidR="00FA50FE" w:rsidRPr="004B77D6" w:rsidRDefault="00FA50FE" w:rsidP="004D0859">
      <w:pPr>
        <w:widowControl w:val="0"/>
        <w:numPr>
          <w:ilvl w:val="0"/>
          <w:numId w:val="17"/>
        </w:numPr>
        <w:tabs>
          <w:tab w:val="left" w:pos="0"/>
          <w:tab w:val="left" w:pos="426"/>
          <w:tab w:val="left" w:pos="532"/>
        </w:tabs>
        <w:autoSpaceDE w:val="0"/>
        <w:autoSpaceDN w:val="0"/>
        <w:adjustRightInd w:val="0"/>
        <w:spacing w:after="120" w:line="276" w:lineRule="auto"/>
        <w:ind w:left="567" w:hanging="283"/>
        <w:rPr>
          <w:rFonts w:ascii="Calibri" w:hAnsi="Calibri"/>
          <w:szCs w:val="24"/>
        </w:rPr>
      </w:pPr>
      <w:r w:rsidRPr="004B77D6">
        <w:rPr>
          <w:rFonts w:ascii="Calibri" w:hAnsi="Calibri"/>
          <w:szCs w:val="24"/>
        </w:rPr>
        <w:t xml:space="preserve">Wspólnego przygotowania </w:t>
      </w:r>
      <w:r w:rsidR="009C3161">
        <w:rPr>
          <w:rFonts w:ascii="Calibri" w:hAnsi="Calibri"/>
          <w:szCs w:val="24"/>
        </w:rPr>
        <w:t>dokumentacji projektowej</w:t>
      </w:r>
      <w:r w:rsidRPr="004B77D6">
        <w:rPr>
          <w:rFonts w:ascii="Calibri" w:hAnsi="Calibri"/>
          <w:szCs w:val="24"/>
        </w:rPr>
        <w:t xml:space="preserve"> przez Lidera i pozostałych Partnerów.</w:t>
      </w:r>
    </w:p>
    <w:p w14:paraId="2301768E" w14:textId="6C118458" w:rsidR="00FA50FE" w:rsidRPr="004B77D6" w:rsidRDefault="00FA50FE" w:rsidP="0071603D">
      <w:pPr>
        <w:spacing w:after="120" w:line="276" w:lineRule="auto"/>
        <w:rPr>
          <w:rFonts w:ascii="Calibri" w:hAnsi="Calibri"/>
          <w:szCs w:val="24"/>
        </w:rPr>
      </w:pPr>
      <w:r w:rsidRPr="004B77D6">
        <w:rPr>
          <w:rFonts w:ascii="Calibri" w:hAnsi="Calibri"/>
          <w:szCs w:val="24"/>
        </w:rPr>
        <w:t xml:space="preserve">Umowa /porozumienie na realizację wspólnego przedsięwzięcia powinna </w:t>
      </w:r>
      <w:r w:rsidR="00EA44C7">
        <w:rPr>
          <w:rFonts w:ascii="Calibri" w:hAnsi="Calibri"/>
          <w:szCs w:val="24"/>
        </w:rPr>
        <w:t xml:space="preserve">określać </w:t>
      </w:r>
      <w:r w:rsidRPr="004B77D6">
        <w:rPr>
          <w:rFonts w:ascii="Calibri" w:hAnsi="Calibri"/>
          <w:szCs w:val="24"/>
        </w:rPr>
        <w:t xml:space="preserve">m.in.: </w:t>
      </w:r>
    </w:p>
    <w:p w14:paraId="0A2DEAF9" w14:textId="246DB8A3" w:rsidR="00FA50FE" w:rsidRPr="004B77D6" w:rsidRDefault="00FA50FE" w:rsidP="00560B57">
      <w:pPr>
        <w:numPr>
          <w:ilvl w:val="0"/>
          <w:numId w:val="88"/>
        </w:numPr>
        <w:suppressAutoHyphens w:val="0"/>
        <w:spacing w:after="120" w:line="276" w:lineRule="auto"/>
        <w:rPr>
          <w:rFonts w:ascii="Calibri" w:hAnsi="Calibri"/>
          <w:szCs w:val="24"/>
        </w:rPr>
      </w:pPr>
      <w:r w:rsidRPr="004B77D6">
        <w:rPr>
          <w:rFonts w:ascii="Calibri" w:hAnsi="Calibri"/>
          <w:szCs w:val="24"/>
        </w:rPr>
        <w:t>Strony umowy</w:t>
      </w:r>
      <w:r w:rsidR="00953591">
        <w:rPr>
          <w:rFonts w:ascii="Calibri" w:hAnsi="Calibri"/>
          <w:szCs w:val="24"/>
        </w:rPr>
        <w:t>;</w:t>
      </w:r>
    </w:p>
    <w:p w14:paraId="1E9C0D94" w14:textId="20B0451C" w:rsidR="00FA50FE" w:rsidRPr="004B77D6" w:rsidRDefault="00FA50FE" w:rsidP="00560B57">
      <w:pPr>
        <w:numPr>
          <w:ilvl w:val="0"/>
          <w:numId w:val="88"/>
        </w:numPr>
        <w:suppressAutoHyphens w:val="0"/>
        <w:spacing w:after="120" w:line="276" w:lineRule="auto"/>
        <w:rPr>
          <w:rFonts w:ascii="Calibri" w:hAnsi="Calibri"/>
          <w:szCs w:val="24"/>
        </w:rPr>
      </w:pPr>
      <w:r w:rsidRPr="004B77D6">
        <w:rPr>
          <w:rFonts w:ascii="Calibri" w:hAnsi="Calibri"/>
          <w:szCs w:val="24"/>
        </w:rPr>
        <w:t>Przedmiot umowy</w:t>
      </w:r>
      <w:r w:rsidR="00EA44C7">
        <w:rPr>
          <w:rFonts w:ascii="Calibri" w:hAnsi="Calibri"/>
          <w:szCs w:val="24"/>
        </w:rPr>
        <w:t xml:space="preserve"> albo porozumienia</w:t>
      </w:r>
      <w:r w:rsidR="00953591">
        <w:rPr>
          <w:rFonts w:ascii="Calibri" w:hAnsi="Calibri"/>
          <w:szCs w:val="24"/>
        </w:rPr>
        <w:t>;</w:t>
      </w:r>
    </w:p>
    <w:p w14:paraId="63C1A64E" w14:textId="09F43900" w:rsidR="00FA50FE" w:rsidRPr="004B77D6" w:rsidRDefault="00FA50FE" w:rsidP="00560B57">
      <w:pPr>
        <w:numPr>
          <w:ilvl w:val="0"/>
          <w:numId w:val="88"/>
        </w:numPr>
        <w:suppressAutoHyphens w:val="0"/>
        <w:spacing w:after="120" w:line="276" w:lineRule="auto"/>
        <w:rPr>
          <w:rFonts w:ascii="Calibri" w:hAnsi="Calibri"/>
          <w:szCs w:val="24"/>
        </w:rPr>
      </w:pPr>
      <w:r w:rsidRPr="004B77D6">
        <w:rPr>
          <w:rFonts w:ascii="Calibri" w:hAnsi="Calibri"/>
          <w:szCs w:val="24"/>
        </w:rPr>
        <w:lastRenderedPageBreak/>
        <w:t xml:space="preserve">Zakres </w:t>
      </w:r>
      <w:r w:rsidR="003338B5">
        <w:rPr>
          <w:rFonts w:ascii="Calibri" w:hAnsi="Calibri"/>
          <w:szCs w:val="24"/>
        </w:rPr>
        <w:t xml:space="preserve">i formę udziału poszczególnych </w:t>
      </w:r>
      <w:r w:rsidR="00D50F8F">
        <w:rPr>
          <w:rFonts w:ascii="Calibri" w:hAnsi="Calibri"/>
          <w:szCs w:val="24"/>
        </w:rPr>
        <w:t>P</w:t>
      </w:r>
      <w:r w:rsidR="003338B5">
        <w:rPr>
          <w:rFonts w:ascii="Calibri" w:hAnsi="Calibri"/>
          <w:szCs w:val="24"/>
        </w:rPr>
        <w:t>artnerów w projekcie, w tym zakres realizowanych przez nich zadań</w:t>
      </w:r>
      <w:r w:rsidR="00CA1339">
        <w:rPr>
          <w:rFonts w:ascii="Calibri" w:hAnsi="Calibri"/>
          <w:szCs w:val="24"/>
        </w:rPr>
        <w:t>;</w:t>
      </w:r>
    </w:p>
    <w:p w14:paraId="1715D960" w14:textId="4BEEB218" w:rsidR="00FA50FE" w:rsidRPr="004B77D6" w:rsidRDefault="003338B5" w:rsidP="00560B57">
      <w:pPr>
        <w:numPr>
          <w:ilvl w:val="0"/>
          <w:numId w:val="88"/>
        </w:numPr>
        <w:suppressAutoHyphens w:val="0"/>
        <w:autoSpaceDE w:val="0"/>
        <w:autoSpaceDN w:val="0"/>
        <w:adjustRightInd w:val="0"/>
        <w:spacing w:after="120" w:line="276" w:lineRule="auto"/>
        <w:rPr>
          <w:rFonts w:ascii="Calibri" w:hAnsi="Calibri"/>
          <w:szCs w:val="24"/>
        </w:rPr>
      </w:pPr>
      <w:r>
        <w:rPr>
          <w:rFonts w:ascii="Calibri" w:hAnsi="Calibri"/>
          <w:szCs w:val="24"/>
        </w:rPr>
        <w:t xml:space="preserve">Partnera wiodącego uprawionego do reprezentowania pozostałych </w:t>
      </w:r>
      <w:r w:rsidR="00D50F8F">
        <w:rPr>
          <w:rFonts w:ascii="Calibri" w:hAnsi="Calibri"/>
          <w:szCs w:val="24"/>
        </w:rPr>
        <w:t>P</w:t>
      </w:r>
      <w:r>
        <w:rPr>
          <w:rFonts w:ascii="Calibri" w:hAnsi="Calibri"/>
          <w:szCs w:val="24"/>
        </w:rPr>
        <w:t>artnerów projektu</w:t>
      </w:r>
      <w:r w:rsidR="00CA1339">
        <w:rPr>
          <w:rFonts w:ascii="Calibri" w:hAnsi="Calibri"/>
          <w:szCs w:val="24"/>
        </w:rPr>
        <w:t>;</w:t>
      </w:r>
    </w:p>
    <w:p w14:paraId="3C4105F3" w14:textId="11F17E9C" w:rsidR="00FA50FE" w:rsidRPr="004B77D6" w:rsidRDefault="00EA44C7" w:rsidP="00560B57">
      <w:pPr>
        <w:numPr>
          <w:ilvl w:val="0"/>
          <w:numId w:val="88"/>
        </w:numPr>
        <w:suppressAutoHyphens w:val="0"/>
        <w:spacing w:after="120" w:line="276" w:lineRule="auto"/>
        <w:rPr>
          <w:rFonts w:ascii="Calibri" w:hAnsi="Calibri"/>
          <w:szCs w:val="24"/>
        </w:rPr>
      </w:pPr>
      <w:r>
        <w:rPr>
          <w:rFonts w:ascii="Calibri" w:hAnsi="Calibri"/>
          <w:szCs w:val="24"/>
        </w:rPr>
        <w:t>Prawa i o</w:t>
      </w:r>
      <w:r w:rsidR="00FA50FE" w:rsidRPr="004B77D6">
        <w:rPr>
          <w:rFonts w:ascii="Calibri" w:hAnsi="Calibri"/>
          <w:szCs w:val="24"/>
        </w:rPr>
        <w:t>bowiązki stron umowy (podział obowiązków stron podczas realizacji projektu)</w:t>
      </w:r>
      <w:r w:rsidR="00953591">
        <w:rPr>
          <w:rFonts w:ascii="Calibri" w:hAnsi="Calibri"/>
          <w:szCs w:val="24"/>
        </w:rPr>
        <w:t>;</w:t>
      </w:r>
    </w:p>
    <w:p w14:paraId="258E1F75" w14:textId="04A43A24" w:rsidR="00FA50FE" w:rsidRPr="004B77D6" w:rsidRDefault="00FA50FE" w:rsidP="00560B57">
      <w:pPr>
        <w:numPr>
          <w:ilvl w:val="0"/>
          <w:numId w:val="88"/>
        </w:numPr>
        <w:suppressAutoHyphens w:val="0"/>
        <w:autoSpaceDE w:val="0"/>
        <w:autoSpaceDN w:val="0"/>
        <w:adjustRightInd w:val="0"/>
        <w:spacing w:after="120" w:line="276" w:lineRule="auto"/>
        <w:rPr>
          <w:rFonts w:ascii="Calibri" w:hAnsi="Calibri"/>
          <w:szCs w:val="24"/>
        </w:rPr>
      </w:pPr>
      <w:r w:rsidRPr="004B77D6">
        <w:rPr>
          <w:rFonts w:ascii="Calibri" w:hAnsi="Calibri"/>
          <w:szCs w:val="24"/>
        </w:rPr>
        <w:t xml:space="preserve">Finansowanie wspólnego </w:t>
      </w:r>
      <w:r w:rsidR="009C07F8" w:rsidRPr="004B77D6">
        <w:rPr>
          <w:rFonts w:ascii="Calibri" w:hAnsi="Calibri"/>
          <w:szCs w:val="24"/>
        </w:rPr>
        <w:t>przedsięwzięcia:</w:t>
      </w:r>
      <w:r w:rsidRPr="004B77D6">
        <w:rPr>
          <w:rFonts w:ascii="Calibri" w:hAnsi="Calibri"/>
          <w:szCs w:val="24"/>
        </w:rPr>
        <w:t xml:space="preserve"> (kto, w jakiej wysokości i w jakich terminach będzie współfinansował projekt, jak będą dokonywane i rozliczane płatności)</w:t>
      </w:r>
      <w:r w:rsidR="00953591">
        <w:rPr>
          <w:rFonts w:ascii="Calibri" w:hAnsi="Calibri"/>
          <w:szCs w:val="24"/>
        </w:rPr>
        <w:t>;</w:t>
      </w:r>
      <w:r w:rsidR="003338B5" w:rsidRPr="003338B5">
        <w:rPr>
          <w:rFonts w:ascii="Arial" w:hAnsi="Arial" w:cs="Arial"/>
          <w:color w:val="000000"/>
          <w:sz w:val="18"/>
          <w:szCs w:val="18"/>
        </w:rPr>
        <w:t xml:space="preserve"> </w:t>
      </w:r>
      <w:r w:rsidR="003338B5" w:rsidRPr="00170701">
        <w:rPr>
          <w:rFonts w:ascii="Calibri" w:hAnsi="Calibri"/>
          <w:szCs w:val="24"/>
        </w:rPr>
        <w:t xml:space="preserve">sposób przekazywania dofinansowania na pokrycie kosztów ponoszonych przez poszczególnych </w:t>
      </w:r>
      <w:r w:rsidR="00D50F8F">
        <w:rPr>
          <w:rFonts w:ascii="Calibri" w:hAnsi="Calibri"/>
          <w:szCs w:val="24"/>
        </w:rPr>
        <w:t>P</w:t>
      </w:r>
      <w:r w:rsidR="003338B5" w:rsidRPr="00170701">
        <w:rPr>
          <w:rFonts w:ascii="Calibri" w:hAnsi="Calibri"/>
          <w:szCs w:val="24"/>
        </w:rPr>
        <w:t xml:space="preserve">artnerów projektu, umożliwiający określenie kwoty dofinansowania udzielonego każdemu z </w:t>
      </w:r>
      <w:r w:rsidR="00D50F8F">
        <w:rPr>
          <w:rFonts w:ascii="Calibri" w:hAnsi="Calibri"/>
          <w:szCs w:val="24"/>
        </w:rPr>
        <w:t>P</w:t>
      </w:r>
      <w:r w:rsidR="003338B5" w:rsidRPr="00170701">
        <w:rPr>
          <w:rFonts w:ascii="Calibri" w:hAnsi="Calibri"/>
          <w:szCs w:val="24"/>
        </w:rPr>
        <w:t>artnerów</w:t>
      </w:r>
      <w:r w:rsidR="00CA1339">
        <w:rPr>
          <w:rFonts w:ascii="Calibri" w:hAnsi="Calibri"/>
          <w:szCs w:val="24"/>
        </w:rPr>
        <w:t>;</w:t>
      </w:r>
    </w:p>
    <w:p w14:paraId="58599FB9" w14:textId="6259EA2B" w:rsidR="00FA50FE" w:rsidRPr="004B77D6" w:rsidRDefault="00FA50FE" w:rsidP="00560B57">
      <w:pPr>
        <w:numPr>
          <w:ilvl w:val="0"/>
          <w:numId w:val="88"/>
        </w:numPr>
        <w:suppressAutoHyphens w:val="0"/>
        <w:autoSpaceDE w:val="0"/>
        <w:autoSpaceDN w:val="0"/>
        <w:adjustRightInd w:val="0"/>
        <w:spacing w:after="120" w:line="276" w:lineRule="auto"/>
        <w:rPr>
          <w:rFonts w:ascii="Calibri" w:hAnsi="Calibri"/>
          <w:szCs w:val="24"/>
        </w:rPr>
      </w:pPr>
      <w:r w:rsidRPr="004B77D6">
        <w:rPr>
          <w:rFonts w:ascii="Calibri" w:hAnsi="Calibri"/>
          <w:szCs w:val="24"/>
        </w:rPr>
        <w:t>Własność majątku uzyskanego w ramach projektu (czyją własnością będą produkty zrealizowane w ramach projektu?</w:t>
      </w:r>
      <w:r w:rsidR="009C07F8">
        <w:rPr>
          <w:rFonts w:ascii="Calibri" w:hAnsi="Calibri"/>
          <w:szCs w:val="24"/>
        </w:rPr>
        <w:t xml:space="preserve"> Z</w:t>
      </w:r>
      <w:r w:rsidRPr="004B77D6">
        <w:rPr>
          <w:rFonts w:ascii="Calibri" w:hAnsi="Calibri"/>
          <w:szCs w:val="24"/>
        </w:rPr>
        <w:t xml:space="preserve">obowiązanie o zachowaniu celów projektu zgodnych z wnioskiem aplikacyjnym w ciągu </w:t>
      </w:r>
      <w:r w:rsidR="00170701">
        <w:rPr>
          <w:rFonts w:ascii="Calibri" w:hAnsi="Calibri"/>
          <w:szCs w:val="24"/>
        </w:rPr>
        <w:t>5</w:t>
      </w:r>
      <w:r w:rsidRPr="004B77D6">
        <w:rPr>
          <w:rFonts w:ascii="Calibri" w:hAnsi="Calibri"/>
          <w:szCs w:val="24"/>
        </w:rPr>
        <w:t xml:space="preserve"> lat </w:t>
      </w:r>
      <w:r w:rsidR="00C62EFA" w:rsidRPr="00170701">
        <w:rPr>
          <w:rFonts w:ascii="Calibri" w:hAnsi="Calibri"/>
          <w:szCs w:val="24"/>
        </w:rPr>
        <w:t>od płatności końcowej na rzecz beneficjenta</w:t>
      </w:r>
      <w:r w:rsidRPr="004B77D6">
        <w:rPr>
          <w:rFonts w:ascii="Calibri" w:hAnsi="Calibri"/>
          <w:szCs w:val="24"/>
        </w:rPr>
        <w:t>,</w:t>
      </w:r>
      <w:r w:rsidRPr="00170701">
        <w:rPr>
          <w:rFonts w:ascii="Calibri" w:hAnsi="Calibri"/>
          <w:szCs w:val="24"/>
        </w:rPr>
        <w:t xml:space="preserve"> </w:t>
      </w:r>
      <w:r w:rsidRPr="004B77D6">
        <w:rPr>
          <w:rFonts w:ascii="Calibri" w:hAnsi="Calibri"/>
          <w:szCs w:val="24"/>
        </w:rPr>
        <w:t xml:space="preserve">zobowiązanie </w:t>
      </w:r>
      <w:r w:rsidR="00A721F7" w:rsidRPr="004B77D6">
        <w:rPr>
          <w:rFonts w:ascii="Calibri" w:hAnsi="Calibri"/>
          <w:szCs w:val="24"/>
        </w:rPr>
        <w:t>W</w:t>
      </w:r>
      <w:r w:rsidRPr="004B77D6">
        <w:rPr>
          <w:rFonts w:ascii="Calibri" w:hAnsi="Calibri"/>
          <w:szCs w:val="24"/>
        </w:rPr>
        <w:t xml:space="preserve">nioskodawcy do utrzymania majątku w przeciągu </w:t>
      </w:r>
      <w:r w:rsidR="00170701">
        <w:rPr>
          <w:rFonts w:ascii="Calibri" w:hAnsi="Calibri"/>
          <w:szCs w:val="24"/>
        </w:rPr>
        <w:t>5</w:t>
      </w:r>
      <w:r w:rsidRPr="004B77D6">
        <w:rPr>
          <w:rFonts w:ascii="Calibri" w:hAnsi="Calibri"/>
          <w:szCs w:val="24"/>
        </w:rPr>
        <w:t xml:space="preserve"> lat od daty zakończenia realizacji projektu)</w:t>
      </w:r>
      <w:r w:rsidR="00953591">
        <w:rPr>
          <w:rFonts w:ascii="Calibri" w:hAnsi="Calibri"/>
          <w:szCs w:val="24"/>
        </w:rPr>
        <w:t>;</w:t>
      </w:r>
    </w:p>
    <w:p w14:paraId="01515C58" w14:textId="7D39733A" w:rsidR="00FA50FE" w:rsidRPr="004B77D6" w:rsidRDefault="003338B5" w:rsidP="00560B57">
      <w:pPr>
        <w:numPr>
          <w:ilvl w:val="0"/>
          <w:numId w:val="88"/>
        </w:numPr>
        <w:suppressAutoHyphens w:val="0"/>
        <w:autoSpaceDE w:val="0"/>
        <w:autoSpaceDN w:val="0"/>
        <w:adjustRightInd w:val="0"/>
        <w:spacing w:after="120" w:line="276" w:lineRule="auto"/>
        <w:rPr>
          <w:rFonts w:ascii="Calibri" w:hAnsi="Calibri"/>
          <w:szCs w:val="24"/>
        </w:rPr>
      </w:pPr>
      <w:r w:rsidRPr="00170701">
        <w:rPr>
          <w:rFonts w:ascii="Calibri" w:hAnsi="Calibri"/>
          <w:szCs w:val="24"/>
        </w:rPr>
        <w:t>sposób postępowania w przypadku naruszenia lub niewywiązania się stron z porozumienia lub umowy.</w:t>
      </w:r>
      <w:r>
        <w:rPr>
          <w:rFonts w:ascii="Calibri" w:hAnsi="Calibri"/>
          <w:szCs w:val="24"/>
        </w:rPr>
        <w:t xml:space="preserve"> </w:t>
      </w:r>
      <w:r w:rsidR="00FA50FE" w:rsidRPr="004B77D6">
        <w:rPr>
          <w:rFonts w:ascii="Calibri" w:hAnsi="Calibri"/>
          <w:szCs w:val="24"/>
        </w:rPr>
        <w:t>Postanowienia końcowe</w:t>
      </w:r>
      <w:r w:rsidR="00CA1339">
        <w:rPr>
          <w:rFonts w:ascii="Calibri" w:hAnsi="Calibri"/>
          <w:szCs w:val="24"/>
        </w:rPr>
        <w:t>.</w:t>
      </w:r>
    </w:p>
    <w:p w14:paraId="1226CC98" w14:textId="13EF2C22" w:rsidR="000F0717" w:rsidRDefault="003338B5" w:rsidP="000F0717">
      <w:pPr>
        <w:suppressAutoHyphens w:val="0"/>
        <w:spacing w:before="360" w:after="120" w:line="276" w:lineRule="auto"/>
        <w:rPr>
          <w:rFonts w:ascii="Calibri" w:hAnsi="Calibri"/>
          <w:b/>
          <w:bCs/>
          <w:szCs w:val="24"/>
        </w:rPr>
      </w:pPr>
      <w:r w:rsidRPr="00170701">
        <w:rPr>
          <w:rFonts w:ascii="Calibri" w:hAnsi="Calibri"/>
          <w:b/>
          <w:bCs/>
          <w:szCs w:val="24"/>
        </w:rPr>
        <w:t xml:space="preserve">UWAGA: </w:t>
      </w:r>
    </w:p>
    <w:p w14:paraId="2950512B" w14:textId="7DE4CDAE" w:rsidR="00FA50FE" w:rsidRPr="00170701" w:rsidRDefault="003338B5" w:rsidP="00170701">
      <w:pPr>
        <w:suppressAutoHyphens w:val="0"/>
        <w:spacing w:after="120" w:line="276" w:lineRule="auto"/>
        <w:rPr>
          <w:rFonts w:ascii="Calibri" w:hAnsi="Calibri"/>
          <w:b/>
          <w:bCs/>
          <w:szCs w:val="24"/>
        </w:rPr>
      </w:pPr>
      <w:r w:rsidRPr="00170701">
        <w:rPr>
          <w:rFonts w:ascii="Calibri" w:hAnsi="Calibri"/>
          <w:b/>
          <w:bCs/>
          <w:szCs w:val="24"/>
        </w:rPr>
        <w:t xml:space="preserve">Do umowy/porozumienia o </w:t>
      </w:r>
      <w:r w:rsidR="00C01E3F" w:rsidRPr="00170701">
        <w:rPr>
          <w:rFonts w:ascii="Calibri" w:hAnsi="Calibri"/>
          <w:b/>
          <w:bCs/>
          <w:szCs w:val="24"/>
        </w:rPr>
        <w:t>partnerstwie należy dołączyć</w:t>
      </w:r>
      <w:r w:rsidR="00170701" w:rsidRPr="00170701">
        <w:rPr>
          <w:rFonts w:ascii="Calibri" w:hAnsi="Calibri"/>
          <w:b/>
          <w:bCs/>
          <w:szCs w:val="24"/>
        </w:rPr>
        <w:t xml:space="preserve"> </w:t>
      </w:r>
      <w:r w:rsidR="00C01E3F" w:rsidRPr="00170701">
        <w:rPr>
          <w:rFonts w:ascii="Calibri" w:hAnsi="Calibri"/>
          <w:b/>
          <w:bCs/>
          <w:szCs w:val="24"/>
        </w:rPr>
        <w:t>o</w:t>
      </w:r>
      <w:r w:rsidR="00FA50FE" w:rsidRPr="00170701">
        <w:rPr>
          <w:rFonts w:ascii="Calibri" w:hAnsi="Calibri"/>
          <w:b/>
          <w:bCs/>
          <w:szCs w:val="24"/>
        </w:rPr>
        <w:t xml:space="preserve">świadczenia wszystkich </w:t>
      </w:r>
      <w:r w:rsidR="00D50F8F">
        <w:rPr>
          <w:rFonts w:ascii="Calibri" w:hAnsi="Calibri"/>
          <w:b/>
          <w:bCs/>
          <w:szCs w:val="24"/>
        </w:rPr>
        <w:t>P</w:t>
      </w:r>
      <w:r w:rsidR="00FA50FE" w:rsidRPr="00170701">
        <w:rPr>
          <w:rFonts w:ascii="Calibri" w:hAnsi="Calibri"/>
          <w:b/>
          <w:bCs/>
          <w:szCs w:val="24"/>
        </w:rPr>
        <w:t>artnerów z treścią zgodną z oświadczeniami Wnioskodawcy zawartymi we wzorze wniosku o dofinansowanie projektu (w formie załącznik</w:t>
      </w:r>
      <w:r w:rsidR="00E12ACB" w:rsidRPr="00170701">
        <w:rPr>
          <w:rFonts w:ascii="Calibri" w:hAnsi="Calibri"/>
          <w:b/>
          <w:bCs/>
          <w:szCs w:val="24"/>
        </w:rPr>
        <w:t>a do umowy/porozumienia</w:t>
      </w:r>
      <w:r w:rsidR="00FA50FE" w:rsidRPr="00170701">
        <w:rPr>
          <w:rFonts w:ascii="Calibri" w:hAnsi="Calibri"/>
          <w:b/>
          <w:bCs/>
          <w:szCs w:val="24"/>
        </w:rPr>
        <w:t>).</w:t>
      </w:r>
    </w:p>
    <w:p w14:paraId="5E60CB07" w14:textId="3B34CDBC" w:rsidR="00170701" w:rsidRDefault="00FA50FE" w:rsidP="0071603D">
      <w:pPr>
        <w:spacing w:after="120" w:line="276" w:lineRule="auto"/>
        <w:rPr>
          <w:rFonts w:asciiTheme="minorHAnsi" w:eastAsia="Calibri" w:hAnsiTheme="minorHAnsi"/>
          <w:b/>
          <w:szCs w:val="24"/>
        </w:rPr>
      </w:pPr>
      <w:bookmarkStart w:id="715" w:name="_Hlk185583072"/>
      <w:r w:rsidRPr="004B77D6">
        <w:rPr>
          <w:rFonts w:asciiTheme="minorHAnsi" w:eastAsia="Calibri" w:hAnsiTheme="minorHAnsi"/>
          <w:b/>
          <w:szCs w:val="24"/>
        </w:rPr>
        <w:t>Podpisanie umowy</w:t>
      </w:r>
      <w:r w:rsidR="00B34F64">
        <w:rPr>
          <w:rFonts w:asciiTheme="minorHAnsi" w:eastAsia="Calibri" w:hAnsiTheme="minorHAnsi"/>
          <w:b/>
          <w:szCs w:val="24"/>
        </w:rPr>
        <w:t>/porozumienia o</w:t>
      </w:r>
      <w:r w:rsidRPr="004B77D6">
        <w:rPr>
          <w:rFonts w:asciiTheme="minorHAnsi" w:eastAsia="Calibri" w:hAnsiTheme="minorHAnsi"/>
          <w:b/>
          <w:szCs w:val="24"/>
        </w:rPr>
        <w:t xml:space="preserve"> </w:t>
      </w:r>
      <w:r w:rsidR="00B34F64" w:rsidRPr="004B77D6">
        <w:rPr>
          <w:rFonts w:asciiTheme="minorHAnsi" w:eastAsia="Calibri" w:hAnsiTheme="minorHAnsi"/>
          <w:b/>
          <w:szCs w:val="24"/>
        </w:rPr>
        <w:t>partners</w:t>
      </w:r>
      <w:r w:rsidR="00B34F64">
        <w:rPr>
          <w:rFonts w:asciiTheme="minorHAnsi" w:eastAsia="Calibri" w:hAnsiTheme="minorHAnsi"/>
          <w:b/>
          <w:szCs w:val="24"/>
        </w:rPr>
        <w:t>twie</w:t>
      </w:r>
      <w:r w:rsidR="00B34F64" w:rsidRPr="004B77D6">
        <w:rPr>
          <w:rFonts w:asciiTheme="minorHAnsi" w:eastAsia="Calibri" w:hAnsiTheme="minorHAnsi"/>
          <w:b/>
          <w:szCs w:val="24"/>
        </w:rPr>
        <w:t xml:space="preserve"> </w:t>
      </w:r>
      <w:r w:rsidRPr="004B77D6">
        <w:rPr>
          <w:rFonts w:asciiTheme="minorHAnsi" w:eastAsia="Calibri" w:hAnsiTheme="minorHAnsi"/>
          <w:b/>
          <w:szCs w:val="24"/>
        </w:rPr>
        <w:t>musi nastąpić przed złożeni</w:t>
      </w:r>
      <w:r w:rsidR="009B0D21">
        <w:rPr>
          <w:rFonts w:asciiTheme="minorHAnsi" w:eastAsia="Calibri" w:hAnsiTheme="minorHAnsi"/>
          <w:b/>
          <w:szCs w:val="24"/>
        </w:rPr>
        <w:t>em</w:t>
      </w:r>
      <w:r w:rsidRPr="004B77D6">
        <w:rPr>
          <w:rFonts w:asciiTheme="minorHAnsi" w:eastAsia="Calibri" w:hAnsiTheme="minorHAnsi"/>
          <w:b/>
          <w:szCs w:val="24"/>
        </w:rPr>
        <w:t xml:space="preserve"> wniosku o dofinansowanie projektu. </w:t>
      </w:r>
      <w:bookmarkEnd w:id="713"/>
      <w:bookmarkEnd w:id="715"/>
    </w:p>
    <w:p w14:paraId="3E5E1650" w14:textId="77777777" w:rsidR="00F16CD4" w:rsidRDefault="00F16CD4" w:rsidP="0071603D">
      <w:pPr>
        <w:spacing w:after="120" w:line="276" w:lineRule="auto"/>
        <w:rPr>
          <w:rFonts w:asciiTheme="minorHAnsi" w:eastAsia="Calibri" w:hAnsiTheme="minorHAnsi"/>
          <w:b/>
          <w:szCs w:val="24"/>
        </w:rPr>
      </w:pPr>
    </w:p>
    <w:p w14:paraId="5225C268" w14:textId="41BD47BF" w:rsidR="00431175" w:rsidRPr="004B77D6" w:rsidRDefault="00987340" w:rsidP="004B77D6">
      <w:pPr>
        <w:pStyle w:val="Nagwek3"/>
        <w:numPr>
          <w:ilvl w:val="0"/>
          <w:numId w:val="0"/>
        </w:numPr>
        <w:suppressAutoHyphens w:val="0"/>
        <w:spacing w:before="0" w:after="120" w:line="276" w:lineRule="auto"/>
        <w:rPr>
          <w:rFonts w:ascii="Calibri" w:hAnsi="Calibri"/>
          <w:sz w:val="28"/>
          <w:szCs w:val="28"/>
        </w:rPr>
      </w:pPr>
      <w:bookmarkStart w:id="716" w:name="_Toc477857450"/>
      <w:bookmarkStart w:id="717" w:name="_Toc241839729"/>
      <w:r>
        <w:rPr>
          <w:rFonts w:ascii="Calibri" w:hAnsi="Calibri"/>
          <w:sz w:val="28"/>
          <w:szCs w:val="28"/>
          <w:lang w:val="pl-PL"/>
        </w:rPr>
        <w:t>7</w:t>
      </w:r>
      <w:r w:rsidR="004B77D6">
        <w:rPr>
          <w:rFonts w:ascii="Calibri" w:hAnsi="Calibri"/>
          <w:sz w:val="28"/>
          <w:szCs w:val="28"/>
          <w:lang w:val="pl-PL"/>
        </w:rPr>
        <w:t xml:space="preserve">. </w:t>
      </w:r>
      <w:bookmarkStart w:id="718" w:name="_Hlk191973709"/>
      <w:r w:rsidR="00A06439" w:rsidRPr="004B77D6">
        <w:rPr>
          <w:rFonts w:ascii="Calibri" w:hAnsi="Calibri"/>
          <w:sz w:val="28"/>
          <w:szCs w:val="28"/>
        </w:rPr>
        <w:t xml:space="preserve">OŚWIADCZENIE </w:t>
      </w:r>
      <w:r w:rsidR="00034F54" w:rsidRPr="004B77D6">
        <w:rPr>
          <w:rFonts w:ascii="Calibri" w:hAnsi="Calibri"/>
          <w:sz w:val="28"/>
          <w:szCs w:val="28"/>
        </w:rPr>
        <w:t>WNIOSKODAWCY</w:t>
      </w:r>
      <w:r w:rsidR="00A06439" w:rsidRPr="004B77D6">
        <w:rPr>
          <w:rFonts w:ascii="Calibri" w:hAnsi="Calibri"/>
          <w:sz w:val="28"/>
          <w:szCs w:val="28"/>
        </w:rPr>
        <w:t xml:space="preserve"> O ZGODNOŚCI PROJEKTU </w:t>
      </w:r>
      <w:r w:rsidR="008D3145" w:rsidRPr="004B77D6">
        <w:rPr>
          <w:rFonts w:ascii="Calibri" w:hAnsi="Calibri"/>
          <w:sz w:val="28"/>
          <w:szCs w:val="28"/>
        </w:rPr>
        <w:br/>
      </w:r>
      <w:r w:rsidR="00A06439" w:rsidRPr="004B77D6">
        <w:rPr>
          <w:rFonts w:ascii="Calibri" w:hAnsi="Calibri"/>
          <w:sz w:val="28"/>
          <w:szCs w:val="28"/>
        </w:rPr>
        <w:t xml:space="preserve">Z </w:t>
      </w:r>
      <w:r w:rsidR="00CB1BD7">
        <w:rPr>
          <w:rFonts w:ascii="Calibri" w:hAnsi="Calibri"/>
          <w:sz w:val="28"/>
          <w:szCs w:val="28"/>
        </w:rPr>
        <w:t xml:space="preserve">ZASADAMI UDZIELANIA </w:t>
      </w:r>
      <w:r w:rsidR="00A06439" w:rsidRPr="004B77D6">
        <w:rPr>
          <w:rFonts w:ascii="Calibri" w:hAnsi="Calibri"/>
          <w:sz w:val="28"/>
          <w:szCs w:val="28"/>
        </w:rPr>
        <w:t>POMOC</w:t>
      </w:r>
      <w:r w:rsidR="00CB1BD7">
        <w:rPr>
          <w:rFonts w:ascii="Calibri" w:hAnsi="Calibri"/>
          <w:sz w:val="28"/>
          <w:szCs w:val="28"/>
        </w:rPr>
        <w:t>Y</w:t>
      </w:r>
      <w:r w:rsidR="00A06439" w:rsidRPr="004B77D6">
        <w:rPr>
          <w:rFonts w:ascii="Calibri" w:hAnsi="Calibri"/>
          <w:sz w:val="28"/>
          <w:szCs w:val="28"/>
        </w:rPr>
        <w:t xml:space="preserve"> PUBLICZN</w:t>
      </w:r>
      <w:bookmarkEnd w:id="716"/>
      <w:bookmarkEnd w:id="718"/>
      <w:r w:rsidR="00CB1BD7">
        <w:rPr>
          <w:rFonts w:ascii="Calibri" w:hAnsi="Calibri"/>
          <w:sz w:val="28"/>
          <w:szCs w:val="28"/>
        </w:rPr>
        <w:t>EJ</w:t>
      </w:r>
      <w:bookmarkEnd w:id="717"/>
    </w:p>
    <w:p w14:paraId="0D9FDFCF" w14:textId="33A39F1D" w:rsidR="000B01EA" w:rsidRPr="004B77D6" w:rsidRDefault="000B01EA" w:rsidP="0071603D">
      <w:pPr>
        <w:spacing w:after="120" w:line="276" w:lineRule="auto"/>
        <w:rPr>
          <w:rFonts w:ascii="Calibri" w:hAnsi="Calibri"/>
          <w:szCs w:val="24"/>
        </w:rPr>
      </w:pPr>
      <w:r w:rsidRPr="004B77D6">
        <w:rPr>
          <w:rFonts w:ascii="Calibri" w:hAnsi="Calibri"/>
          <w:szCs w:val="24"/>
        </w:rPr>
        <w:t xml:space="preserve">Wzór oświadczenia </w:t>
      </w:r>
      <w:r w:rsidR="00CB1BD7">
        <w:rPr>
          <w:rFonts w:ascii="Calibri" w:hAnsi="Calibri"/>
          <w:szCs w:val="24"/>
        </w:rPr>
        <w:t xml:space="preserve">Wnioskodawcy/Partnera </w:t>
      </w:r>
      <w:r w:rsidRPr="004B77D6">
        <w:rPr>
          <w:rFonts w:ascii="Calibri" w:hAnsi="Calibri"/>
          <w:szCs w:val="24"/>
        </w:rPr>
        <w:t>o zgodności projektu z pomoc</w:t>
      </w:r>
      <w:r w:rsidR="00170701">
        <w:rPr>
          <w:rFonts w:ascii="Calibri" w:hAnsi="Calibri"/>
          <w:szCs w:val="24"/>
        </w:rPr>
        <w:t>ą</w:t>
      </w:r>
      <w:r w:rsidRPr="004B77D6">
        <w:rPr>
          <w:rFonts w:ascii="Calibri" w:hAnsi="Calibri"/>
          <w:szCs w:val="24"/>
        </w:rPr>
        <w:t xml:space="preserve"> publiczn</w:t>
      </w:r>
      <w:r w:rsidR="00170701">
        <w:rPr>
          <w:rFonts w:ascii="Calibri" w:hAnsi="Calibri"/>
          <w:szCs w:val="24"/>
        </w:rPr>
        <w:t>ą</w:t>
      </w:r>
      <w:r w:rsidRPr="004B77D6">
        <w:rPr>
          <w:rFonts w:ascii="Calibri" w:hAnsi="Calibri"/>
          <w:szCs w:val="24"/>
        </w:rPr>
        <w:t xml:space="preserve"> został umieszczony </w:t>
      </w:r>
      <w:r w:rsidR="004942C3" w:rsidRPr="004B77D6">
        <w:rPr>
          <w:rFonts w:ascii="Calibri" w:hAnsi="Calibri"/>
          <w:szCs w:val="24"/>
        </w:rPr>
        <w:t>w załączniku nr 5</w:t>
      </w:r>
      <w:r w:rsidRPr="004B77D6">
        <w:rPr>
          <w:rFonts w:ascii="Calibri" w:hAnsi="Calibri"/>
          <w:szCs w:val="24"/>
        </w:rPr>
        <w:t xml:space="preserve"> do Regulaminu wyboru projektów.</w:t>
      </w:r>
    </w:p>
    <w:p w14:paraId="4959BB60" w14:textId="4FFA9833" w:rsidR="0002180E" w:rsidRPr="004B77D6" w:rsidRDefault="006C0052" w:rsidP="0071603D">
      <w:pPr>
        <w:spacing w:after="120" w:line="276" w:lineRule="auto"/>
        <w:rPr>
          <w:rFonts w:ascii="Calibri" w:hAnsi="Calibri"/>
          <w:szCs w:val="24"/>
        </w:rPr>
      </w:pPr>
      <w:r w:rsidRPr="004B77D6">
        <w:rPr>
          <w:rFonts w:ascii="Calibri" w:hAnsi="Calibri"/>
          <w:szCs w:val="24"/>
        </w:rPr>
        <w:t>Wnioskodawca</w:t>
      </w:r>
      <w:r w:rsidR="00471499">
        <w:rPr>
          <w:rFonts w:ascii="Calibri" w:hAnsi="Calibri"/>
          <w:szCs w:val="24"/>
        </w:rPr>
        <w:t>/Partner</w:t>
      </w:r>
      <w:r w:rsidR="00A06439" w:rsidRPr="004B77D6">
        <w:rPr>
          <w:rFonts w:ascii="Calibri" w:hAnsi="Calibri"/>
          <w:szCs w:val="24"/>
        </w:rPr>
        <w:t xml:space="preserve"> </w:t>
      </w:r>
      <w:r w:rsidRPr="004B77D6">
        <w:rPr>
          <w:rFonts w:ascii="Calibri" w:hAnsi="Calibri"/>
          <w:szCs w:val="24"/>
        </w:rPr>
        <w:t>zobowiązany jest</w:t>
      </w:r>
      <w:r w:rsidR="00A06439" w:rsidRPr="004B77D6">
        <w:rPr>
          <w:rFonts w:ascii="Calibri" w:hAnsi="Calibri"/>
          <w:szCs w:val="24"/>
        </w:rPr>
        <w:t xml:space="preserve"> do wypełnienia oświadczenia o zgodności projektu </w:t>
      </w:r>
      <w:r w:rsidR="0035449C" w:rsidRPr="004B77D6">
        <w:rPr>
          <w:rFonts w:ascii="Calibri" w:hAnsi="Calibri"/>
          <w:szCs w:val="24"/>
        </w:rPr>
        <w:br/>
      </w:r>
      <w:r w:rsidR="00A06439" w:rsidRPr="004B77D6">
        <w:rPr>
          <w:rFonts w:ascii="Calibri" w:hAnsi="Calibri"/>
          <w:szCs w:val="24"/>
        </w:rPr>
        <w:t>z zasadami udzielania pomocy publicznej zgodnie z obowiązującymi rozporządzeniami dotyczącymi przyznawania pomocy publicznej</w:t>
      </w:r>
      <w:r w:rsidR="00271969" w:rsidRPr="004B77D6">
        <w:rPr>
          <w:rFonts w:ascii="Calibri" w:hAnsi="Calibri"/>
          <w:szCs w:val="24"/>
        </w:rPr>
        <w:t xml:space="preserve"> (zgodnie ze wzorem załącznika nr </w:t>
      </w:r>
      <w:r w:rsidR="00B21759">
        <w:rPr>
          <w:rFonts w:ascii="Calibri" w:hAnsi="Calibri"/>
          <w:szCs w:val="24"/>
        </w:rPr>
        <w:t>7</w:t>
      </w:r>
      <w:r w:rsidR="00271969" w:rsidRPr="004B77D6">
        <w:rPr>
          <w:rFonts w:ascii="Calibri" w:hAnsi="Calibri"/>
          <w:szCs w:val="24"/>
        </w:rPr>
        <w:t xml:space="preserve"> do wniosku o dofinansowanie projektu)</w:t>
      </w:r>
      <w:r w:rsidR="00A06439" w:rsidRPr="004B77D6">
        <w:rPr>
          <w:rFonts w:ascii="Calibri" w:hAnsi="Calibri"/>
          <w:szCs w:val="24"/>
        </w:rPr>
        <w:t>.</w:t>
      </w:r>
    </w:p>
    <w:p w14:paraId="76D6C255" w14:textId="66A9AC80" w:rsidR="00E262D3" w:rsidRPr="00D41E0F" w:rsidRDefault="00E262D3" w:rsidP="00D41E0F">
      <w:pPr>
        <w:spacing w:before="120" w:line="276" w:lineRule="auto"/>
        <w:rPr>
          <w:rFonts w:asciiTheme="minorHAnsi" w:hAnsiTheme="minorHAnsi" w:cstheme="minorHAnsi"/>
          <w:szCs w:val="24"/>
        </w:rPr>
      </w:pPr>
      <w:bookmarkStart w:id="719" w:name="_Toc427225958"/>
      <w:bookmarkStart w:id="720" w:name="_Toc427226268"/>
      <w:bookmarkStart w:id="721" w:name="_Toc427225959"/>
      <w:bookmarkStart w:id="722" w:name="_Toc427226269"/>
      <w:bookmarkStart w:id="723" w:name="_Toc427225960"/>
      <w:bookmarkStart w:id="724" w:name="_Toc427226270"/>
      <w:bookmarkStart w:id="725" w:name="_Toc427225961"/>
      <w:bookmarkStart w:id="726" w:name="_Toc427226271"/>
      <w:bookmarkStart w:id="727" w:name="_Toc477857451"/>
      <w:bookmarkEnd w:id="719"/>
      <w:bookmarkEnd w:id="720"/>
      <w:bookmarkEnd w:id="721"/>
      <w:bookmarkEnd w:id="722"/>
      <w:bookmarkEnd w:id="723"/>
      <w:bookmarkEnd w:id="724"/>
      <w:bookmarkEnd w:id="725"/>
      <w:bookmarkEnd w:id="726"/>
      <w:r w:rsidRPr="009C1F91">
        <w:rPr>
          <w:rFonts w:asciiTheme="minorHAnsi" w:hAnsiTheme="minorHAnsi" w:cstheme="minorHAnsi"/>
          <w:szCs w:val="24"/>
          <w:u w:val="single"/>
        </w:rPr>
        <w:t>Załącznik nr 7</w:t>
      </w:r>
      <w:r w:rsidRPr="009C1F91">
        <w:rPr>
          <w:rFonts w:asciiTheme="minorHAnsi" w:hAnsiTheme="minorHAnsi" w:cstheme="minorHAnsi"/>
          <w:i/>
          <w:szCs w:val="24"/>
        </w:rPr>
        <w:t>:</w:t>
      </w:r>
      <w:r w:rsidR="00D41E0F">
        <w:rPr>
          <w:rFonts w:asciiTheme="minorHAnsi" w:hAnsiTheme="minorHAnsi" w:cstheme="minorHAnsi"/>
          <w:szCs w:val="24"/>
        </w:rPr>
        <w:t xml:space="preserve"> </w:t>
      </w:r>
      <w:r w:rsidRPr="00D41E0F">
        <w:rPr>
          <w:rFonts w:asciiTheme="minorHAnsi" w:hAnsiTheme="minorHAnsi" w:cstheme="minorHAnsi"/>
          <w:i/>
          <w:szCs w:val="24"/>
        </w:rPr>
        <w:t xml:space="preserve">Oświadczenie </w:t>
      </w:r>
      <w:r w:rsidR="00471499">
        <w:rPr>
          <w:rFonts w:asciiTheme="minorHAnsi" w:hAnsiTheme="minorHAnsi" w:cstheme="minorHAnsi"/>
          <w:i/>
          <w:szCs w:val="24"/>
        </w:rPr>
        <w:t>W</w:t>
      </w:r>
      <w:r w:rsidRPr="00D41E0F">
        <w:rPr>
          <w:rFonts w:asciiTheme="minorHAnsi" w:hAnsiTheme="minorHAnsi" w:cstheme="minorHAnsi"/>
          <w:i/>
          <w:szCs w:val="24"/>
        </w:rPr>
        <w:t>nioskodawcy o zgodności projektu z pomocą publiczną</w:t>
      </w:r>
      <w:r w:rsidRPr="00D41E0F">
        <w:rPr>
          <w:rFonts w:asciiTheme="minorHAnsi" w:hAnsiTheme="minorHAnsi" w:cstheme="minorHAnsi"/>
          <w:szCs w:val="24"/>
        </w:rPr>
        <w:t xml:space="preserve"> – wypełniają wszyscy </w:t>
      </w:r>
      <w:r w:rsidR="00471499">
        <w:rPr>
          <w:rFonts w:asciiTheme="minorHAnsi" w:hAnsiTheme="minorHAnsi" w:cstheme="minorHAnsi"/>
          <w:szCs w:val="24"/>
        </w:rPr>
        <w:t>W</w:t>
      </w:r>
      <w:r w:rsidRPr="00D41E0F">
        <w:rPr>
          <w:rFonts w:asciiTheme="minorHAnsi" w:hAnsiTheme="minorHAnsi" w:cstheme="minorHAnsi"/>
          <w:szCs w:val="24"/>
        </w:rPr>
        <w:t>nioskodawcy</w:t>
      </w:r>
      <w:r w:rsidR="00471499">
        <w:rPr>
          <w:rFonts w:asciiTheme="minorHAnsi" w:hAnsiTheme="minorHAnsi" w:cstheme="minorHAnsi"/>
          <w:szCs w:val="24"/>
        </w:rPr>
        <w:t xml:space="preserve"> i Partnerzy</w:t>
      </w:r>
      <w:r w:rsidRPr="00D41E0F">
        <w:rPr>
          <w:rFonts w:asciiTheme="minorHAnsi" w:hAnsiTheme="minorHAnsi" w:cstheme="minorHAnsi"/>
          <w:szCs w:val="24"/>
        </w:rPr>
        <w:t>;</w:t>
      </w:r>
    </w:p>
    <w:p w14:paraId="5CF8D3B8" w14:textId="4EBE24E3" w:rsidR="00D41E0F" w:rsidRDefault="00E262D3" w:rsidP="00D41E0F">
      <w:pPr>
        <w:spacing w:before="120" w:line="276" w:lineRule="auto"/>
        <w:rPr>
          <w:rFonts w:asciiTheme="minorHAnsi" w:hAnsiTheme="minorHAnsi" w:cstheme="minorHAnsi"/>
          <w:szCs w:val="24"/>
        </w:rPr>
      </w:pPr>
      <w:r w:rsidRPr="009C1F91">
        <w:rPr>
          <w:rFonts w:asciiTheme="minorHAnsi" w:hAnsiTheme="minorHAnsi" w:cstheme="minorHAnsi"/>
          <w:szCs w:val="24"/>
          <w:u w:val="single"/>
        </w:rPr>
        <w:lastRenderedPageBreak/>
        <w:t>Załącznik nr 7.1</w:t>
      </w:r>
      <w:r>
        <w:rPr>
          <w:rFonts w:asciiTheme="minorHAnsi" w:hAnsiTheme="minorHAnsi" w:cstheme="minorHAnsi"/>
          <w:szCs w:val="24"/>
        </w:rPr>
        <w:t xml:space="preserve"> </w:t>
      </w:r>
      <w:r w:rsidRPr="001B7C84">
        <w:rPr>
          <w:rFonts w:asciiTheme="minorHAnsi" w:hAnsiTheme="minorHAnsi" w:cstheme="minorHAnsi"/>
          <w:i/>
          <w:iCs/>
          <w:szCs w:val="24"/>
        </w:rPr>
        <w:t xml:space="preserve">Formularz informacji przedstawianych przy ubieganiu się o pomoc </w:t>
      </w:r>
      <w:r w:rsidR="000B16A7">
        <w:rPr>
          <w:rFonts w:asciiTheme="minorHAnsi" w:hAnsiTheme="minorHAnsi" w:cstheme="minorHAnsi"/>
          <w:i/>
          <w:iCs/>
          <w:szCs w:val="24"/>
        </w:rPr>
        <w:br/>
      </w:r>
      <w:r w:rsidRPr="001B7C84">
        <w:rPr>
          <w:rFonts w:asciiTheme="minorHAnsi" w:hAnsiTheme="minorHAnsi" w:cstheme="minorHAnsi"/>
          <w:i/>
          <w:iCs/>
          <w:szCs w:val="24"/>
        </w:rPr>
        <w:t xml:space="preserve">de </w:t>
      </w:r>
      <w:proofErr w:type="spellStart"/>
      <w:r w:rsidRPr="001B7C84">
        <w:rPr>
          <w:rFonts w:asciiTheme="minorHAnsi" w:hAnsiTheme="minorHAnsi" w:cstheme="minorHAnsi"/>
          <w:i/>
          <w:iCs/>
          <w:szCs w:val="24"/>
        </w:rPr>
        <w:t>minimis</w:t>
      </w:r>
      <w:proofErr w:type="spellEnd"/>
      <w:r w:rsidRPr="001B7C84">
        <w:rPr>
          <w:rFonts w:asciiTheme="minorHAnsi" w:hAnsiTheme="minorHAnsi" w:cstheme="minorHAnsi"/>
          <w:i/>
          <w:iCs/>
          <w:szCs w:val="24"/>
        </w:rPr>
        <w:t xml:space="preserve"> </w:t>
      </w:r>
      <w:r w:rsidR="00810D2D">
        <w:rPr>
          <w:rFonts w:asciiTheme="minorHAnsi" w:hAnsiTheme="minorHAnsi" w:cstheme="minorHAnsi"/>
          <w:szCs w:val="24"/>
        </w:rPr>
        <w:t>–</w:t>
      </w:r>
      <w:r w:rsidRPr="003042B2">
        <w:rPr>
          <w:rFonts w:asciiTheme="minorHAnsi" w:hAnsiTheme="minorHAnsi" w:cstheme="minorHAnsi"/>
          <w:szCs w:val="24"/>
        </w:rPr>
        <w:t xml:space="preserve"> wypełniają </w:t>
      </w:r>
      <w:r w:rsidR="00471499">
        <w:rPr>
          <w:rFonts w:asciiTheme="minorHAnsi" w:hAnsiTheme="minorHAnsi" w:cstheme="minorHAnsi"/>
          <w:szCs w:val="24"/>
        </w:rPr>
        <w:t>W</w:t>
      </w:r>
      <w:r w:rsidRPr="003042B2">
        <w:rPr>
          <w:rFonts w:asciiTheme="minorHAnsi" w:hAnsiTheme="minorHAnsi" w:cstheme="minorHAnsi"/>
          <w:szCs w:val="24"/>
        </w:rPr>
        <w:t>nioskodawcy</w:t>
      </w:r>
      <w:r w:rsidR="00471499">
        <w:rPr>
          <w:rFonts w:asciiTheme="minorHAnsi" w:hAnsiTheme="minorHAnsi" w:cstheme="minorHAnsi"/>
          <w:szCs w:val="24"/>
        </w:rPr>
        <w:t xml:space="preserve"> i Partnerzy</w:t>
      </w:r>
      <w:r w:rsidRPr="003042B2">
        <w:rPr>
          <w:rFonts w:asciiTheme="minorHAnsi" w:hAnsiTheme="minorHAnsi" w:cstheme="minorHAnsi"/>
          <w:szCs w:val="24"/>
        </w:rPr>
        <w:t xml:space="preserve"> ubiegający się o pomoc </w:t>
      </w:r>
      <w:r w:rsidRPr="00471499">
        <w:rPr>
          <w:rFonts w:asciiTheme="minorHAnsi" w:hAnsiTheme="minorHAnsi" w:cstheme="minorHAnsi"/>
          <w:i/>
          <w:iCs/>
          <w:szCs w:val="24"/>
        </w:rPr>
        <w:t xml:space="preserve">de </w:t>
      </w:r>
      <w:proofErr w:type="spellStart"/>
      <w:r w:rsidRPr="00471499">
        <w:rPr>
          <w:rFonts w:asciiTheme="minorHAnsi" w:hAnsiTheme="minorHAnsi" w:cstheme="minorHAnsi"/>
          <w:i/>
          <w:iCs/>
          <w:szCs w:val="24"/>
        </w:rPr>
        <w:t>minimis</w:t>
      </w:r>
      <w:proofErr w:type="spellEnd"/>
      <w:r w:rsidR="001B7C84">
        <w:rPr>
          <w:rFonts w:asciiTheme="minorHAnsi" w:hAnsiTheme="minorHAnsi" w:cstheme="minorHAnsi"/>
          <w:szCs w:val="24"/>
        </w:rPr>
        <w:t>.</w:t>
      </w:r>
    </w:p>
    <w:p w14:paraId="68DC2610" w14:textId="5905420A" w:rsidR="00FA7989" w:rsidRPr="00FA7989" w:rsidRDefault="00E262D3" w:rsidP="00840C83">
      <w:pPr>
        <w:spacing w:before="120" w:line="276" w:lineRule="auto"/>
        <w:rPr>
          <w:rFonts w:asciiTheme="minorHAnsi" w:hAnsiTheme="minorHAnsi" w:cstheme="minorHAnsi"/>
          <w:i/>
          <w:szCs w:val="24"/>
        </w:rPr>
      </w:pPr>
      <w:r w:rsidRPr="000F0717">
        <w:rPr>
          <w:rFonts w:asciiTheme="minorHAnsi" w:hAnsiTheme="minorHAnsi" w:cstheme="minorHAnsi"/>
          <w:szCs w:val="24"/>
          <w:u w:val="single"/>
        </w:rPr>
        <w:t>Załącznik nr 7.2</w:t>
      </w:r>
      <w:r w:rsidRPr="009165B7">
        <w:rPr>
          <w:rFonts w:asciiTheme="minorHAnsi" w:hAnsiTheme="minorHAnsi" w:cstheme="minorHAnsi"/>
          <w:szCs w:val="24"/>
        </w:rPr>
        <w:t xml:space="preserve"> </w:t>
      </w:r>
      <w:r w:rsidRPr="009165B7">
        <w:rPr>
          <w:rFonts w:asciiTheme="minorHAnsi" w:hAnsiTheme="minorHAnsi" w:cstheme="minorHAnsi"/>
          <w:i/>
          <w:szCs w:val="24"/>
        </w:rPr>
        <w:t xml:space="preserve">Formularz informacji przedstawianych przy ubieganiu się o pomoc inną niż pomoc w rolnictwie lub rybołówstwie, pomoc de </w:t>
      </w:r>
      <w:proofErr w:type="spellStart"/>
      <w:r w:rsidRPr="009165B7">
        <w:rPr>
          <w:rFonts w:asciiTheme="minorHAnsi" w:hAnsiTheme="minorHAnsi" w:cstheme="minorHAnsi"/>
          <w:i/>
          <w:szCs w:val="24"/>
        </w:rPr>
        <w:t>minimis</w:t>
      </w:r>
      <w:proofErr w:type="spellEnd"/>
      <w:r w:rsidRPr="009165B7">
        <w:rPr>
          <w:rFonts w:asciiTheme="minorHAnsi" w:hAnsiTheme="minorHAnsi" w:cstheme="minorHAnsi"/>
          <w:i/>
          <w:szCs w:val="24"/>
        </w:rPr>
        <w:t xml:space="preserve"> lub pomoc de </w:t>
      </w:r>
      <w:proofErr w:type="spellStart"/>
      <w:r w:rsidRPr="009165B7">
        <w:rPr>
          <w:rFonts w:asciiTheme="minorHAnsi" w:hAnsiTheme="minorHAnsi" w:cstheme="minorHAnsi"/>
          <w:i/>
          <w:szCs w:val="24"/>
        </w:rPr>
        <w:t>minimis</w:t>
      </w:r>
      <w:proofErr w:type="spellEnd"/>
      <w:r w:rsidRPr="009165B7">
        <w:rPr>
          <w:rFonts w:asciiTheme="minorHAnsi" w:hAnsiTheme="minorHAnsi" w:cstheme="minorHAnsi"/>
          <w:i/>
          <w:szCs w:val="24"/>
        </w:rPr>
        <w:t xml:space="preserve"> w rolnictwie lub rybołówstwie </w:t>
      </w:r>
      <w:r w:rsidR="00810D2D">
        <w:rPr>
          <w:rFonts w:asciiTheme="minorHAnsi" w:hAnsiTheme="minorHAnsi" w:cstheme="minorHAnsi"/>
          <w:i/>
          <w:szCs w:val="24"/>
        </w:rPr>
        <w:t>–</w:t>
      </w:r>
      <w:r w:rsidRPr="009165B7">
        <w:rPr>
          <w:rFonts w:asciiTheme="minorHAnsi" w:hAnsiTheme="minorHAnsi" w:cstheme="minorHAnsi"/>
          <w:szCs w:val="24"/>
        </w:rPr>
        <w:t xml:space="preserve"> wypełniają </w:t>
      </w:r>
      <w:r w:rsidR="00471499">
        <w:rPr>
          <w:rFonts w:asciiTheme="minorHAnsi" w:hAnsiTheme="minorHAnsi" w:cstheme="minorHAnsi"/>
          <w:szCs w:val="24"/>
        </w:rPr>
        <w:t>W</w:t>
      </w:r>
      <w:r w:rsidRPr="009165B7">
        <w:rPr>
          <w:rFonts w:asciiTheme="minorHAnsi" w:hAnsiTheme="minorHAnsi" w:cstheme="minorHAnsi"/>
          <w:szCs w:val="24"/>
        </w:rPr>
        <w:t xml:space="preserve">nioskodawcy </w:t>
      </w:r>
      <w:r w:rsidR="00471499">
        <w:rPr>
          <w:rFonts w:asciiTheme="minorHAnsi" w:hAnsiTheme="minorHAnsi" w:cstheme="minorHAnsi"/>
          <w:szCs w:val="24"/>
        </w:rPr>
        <w:t xml:space="preserve">i Partnerzy </w:t>
      </w:r>
      <w:r w:rsidRPr="009165B7">
        <w:rPr>
          <w:rFonts w:asciiTheme="minorHAnsi" w:hAnsiTheme="minorHAnsi" w:cstheme="minorHAnsi"/>
          <w:szCs w:val="24"/>
        </w:rPr>
        <w:t>ubiegający się</w:t>
      </w:r>
      <w:r w:rsidRPr="009165B7">
        <w:rPr>
          <w:rFonts w:asciiTheme="minorHAnsi" w:hAnsiTheme="minorHAnsi" w:cstheme="minorHAnsi"/>
          <w:i/>
          <w:szCs w:val="24"/>
        </w:rPr>
        <w:t xml:space="preserve"> </w:t>
      </w:r>
      <w:r w:rsidRPr="009165B7">
        <w:rPr>
          <w:rFonts w:asciiTheme="minorHAnsi" w:hAnsiTheme="minorHAnsi" w:cstheme="minorHAnsi"/>
          <w:szCs w:val="24"/>
        </w:rPr>
        <w:t>o pomoc inną ni</w:t>
      </w:r>
      <w:r>
        <w:rPr>
          <w:rFonts w:asciiTheme="minorHAnsi" w:hAnsiTheme="minorHAnsi" w:cstheme="minorHAnsi"/>
          <w:szCs w:val="24"/>
        </w:rPr>
        <w:t xml:space="preserve">ż </w:t>
      </w:r>
      <w:r w:rsidRPr="009165B7">
        <w:rPr>
          <w:rFonts w:asciiTheme="minorHAnsi" w:hAnsiTheme="minorHAnsi" w:cstheme="minorHAnsi"/>
          <w:szCs w:val="24"/>
        </w:rPr>
        <w:t xml:space="preserve">pomoc </w:t>
      </w:r>
      <w:r w:rsidRPr="00471499">
        <w:rPr>
          <w:rFonts w:asciiTheme="minorHAnsi" w:hAnsiTheme="minorHAnsi" w:cstheme="minorHAnsi"/>
          <w:i/>
          <w:iCs/>
          <w:szCs w:val="24"/>
        </w:rPr>
        <w:t xml:space="preserve">de </w:t>
      </w:r>
      <w:proofErr w:type="spellStart"/>
      <w:r w:rsidRPr="00471499">
        <w:rPr>
          <w:rFonts w:asciiTheme="minorHAnsi" w:hAnsiTheme="minorHAnsi" w:cstheme="minorHAnsi"/>
          <w:i/>
          <w:iCs/>
          <w:szCs w:val="24"/>
        </w:rPr>
        <w:t>minimis</w:t>
      </w:r>
      <w:proofErr w:type="spellEnd"/>
      <w:r w:rsidR="001B7C84">
        <w:rPr>
          <w:rFonts w:asciiTheme="minorHAnsi" w:hAnsiTheme="minorHAnsi" w:cstheme="minorHAnsi"/>
          <w:szCs w:val="24"/>
        </w:rPr>
        <w:t>.</w:t>
      </w:r>
      <w:r w:rsidR="00F850B4">
        <w:rPr>
          <w:rFonts w:asciiTheme="minorHAnsi" w:hAnsiTheme="minorHAnsi" w:cstheme="minorHAnsi"/>
          <w:i/>
          <w:szCs w:val="24"/>
        </w:rPr>
        <w:br/>
      </w:r>
    </w:p>
    <w:p w14:paraId="6E7841E7" w14:textId="4E7B0861" w:rsidR="00D61768" w:rsidRPr="004B77D6" w:rsidRDefault="00987340" w:rsidP="00FA2E31">
      <w:pPr>
        <w:pStyle w:val="Nagwek3"/>
        <w:numPr>
          <w:ilvl w:val="0"/>
          <w:numId w:val="0"/>
        </w:numPr>
        <w:suppressAutoHyphens w:val="0"/>
        <w:spacing w:before="0" w:after="120" w:line="276" w:lineRule="auto"/>
        <w:rPr>
          <w:rFonts w:ascii="Calibri" w:hAnsi="Calibri"/>
          <w:sz w:val="28"/>
          <w:lang w:val="pl-PL"/>
        </w:rPr>
      </w:pPr>
      <w:bookmarkStart w:id="728" w:name="_Toc241839730"/>
      <w:bookmarkStart w:id="729" w:name="_Hlk192146896"/>
      <w:r>
        <w:rPr>
          <w:rFonts w:ascii="Calibri" w:hAnsi="Calibri"/>
          <w:sz w:val="28"/>
          <w:szCs w:val="28"/>
          <w:lang w:val="pl-PL"/>
        </w:rPr>
        <w:t>8</w:t>
      </w:r>
      <w:r w:rsidR="00FA2E31">
        <w:rPr>
          <w:rFonts w:ascii="Calibri" w:hAnsi="Calibri"/>
          <w:sz w:val="28"/>
          <w:szCs w:val="28"/>
          <w:lang w:val="pl-PL"/>
        </w:rPr>
        <w:t>.</w:t>
      </w:r>
      <w:r w:rsidR="00DB2369">
        <w:rPr>
          <w:rFonts w:ascii="Calibri" w:hAnsi="Calibri"/>
          <w:sz w:val="28"/>
          <w:szCs w:val="28"/>
          <w:lang w:val="pl-PL"/>
        </w:rPr>
        <w:t xml:space="preserve"> </w:t>
      </w:r>
      <w:r w:rsidR="00A06439" w:rsidRPr="004B77D6">
        <w:rPr>
          <w:rFonts w:ascii="Calibri" w:hAnsi="Calibri"/>
          <w:sz w:val="28"/>
          <w:szCs w:val="28"/>
        </w:rPr>
        <w:t>INNE NIEZBĘDNE DOKUMENTY WYMAGANE PRAWEM LUB KATEGORIĄ PROJEKTU</w:t>
      </w:r>
      <w:bookmarkEnd w:id="727"/>
      <w:bookmarkEnd w:id="728"/>
    </w:p>
    <w:bookmarkEnd w:id="729"/>
    <w:p w14:paraId="16852D09" w14:textId="502C8F5A" w:rsidR="006C0052" w:rsidRDefault="0014342B" w:rsidP="0071603D">
      <w:pPr>
        <w:spacing w:after="120" w:line="276" w:lineRule="auto"/>
        <w:rPr>
          <w:rFonts w:asciiTheme="minorHAnsi" w:hAnsiTheme="minorHAnsi" w:cstheme="minorHAnsi"/>
          <w:b/>
          <w:szCs w:val="24"/>
        </w:rPr>
      </w:pPr>
      <w:r w:rsidRPr="004B77D6">
        <w:rPr>
          <w:rFonts w:ascii="Calibri" w:hAnsi="Calibri"/>
          <w:szCs w:val="24"/>
        </w:rPr>
        <w:t xml:space="preserve">Wnioskodawca może dołączyć </w:t>
      </w:r>
      <w:r w:rsidRPr="004B77D6">
        <w:rPr>
          <w:rFonts w:ascii="Calibri" w:hAnsi="Calibri"/>
          <w:b/>
          <w:szCs w:val="24"/>
        </w:rPr>
        <w:t xml:space="preserve">wszelkie inne załączniki mogące </w:t>
      </w:r>
      <w:bookmarkStart w:id="730" w:name="_Hlk189637799"/>
      <w:r w:rsidRPr="004B77D6">
        <w:rPr>
          <w:rFonts w:ascii="Calibri" w:hAnsi="Calibri"/>
          <w:b/>
          <w:szCs w:val="24"/>
        </w:rPr>
        <w:t xml:space="preserve">pomóc w należytej </w:t>
      </w:r>
      <w:r w:rsidR="00CF30A7" w:rsidRPr="004B77D6">
        <w:rPr>
          <w:rFonts w:ascii="Calibri" w:hAnsi="Calibri"/>
          <w:b/>
          <w:szCs w:val="24"/>
        </w:rPr>
        <w:t xml:space="preserve">ocenie </w:t>
      </w:r>
      <w:r w:rsidR="00CF30A7" w:rsidRPr="004B77D6">
        <w:rPr>
          <w:rFonts w:asciiTheme="minorHAnsi" w:hAnsiTheme="minorHAnsi" w:cstheme="minorHAnsi"/>
          <w:b/>
          <w:szCs w:val="24"/>
        </w:rPr>
        <w:t>przedstawionego projektu</w:t>
      </w:r>
      <w:bookmarkEnd w:id="730"/>
      <w:r w:rsidR="00AE6779">
        <w:rPr>
          <w:rFonts w:asciiTheme="minorHAnsi" w:hAnsiTheme="minorHAnsi" w:cstheme="minorHAnsi"/>
          <w:b/>
          <w:szCs w:val="24"/>
        </w:rPr>
        <w:t>.</w:t>
      </w:r>
    </w:p>
    <w:p w14:paraId="0E1D7E53" w14:textId="67D99614" w:rsidR="0014342B" w:rsidRPr="009D7856" w:rsidRDefault="0014342B" w:rsidP="001251B7">
      <w:pPr>
        <w:spacing w:before="120" w:after="120" w:line="276" w:lineRule="auto"/>
        <w:rPr>
          <w:rFonts w:asciiTheme="minorHAnsi" w:hAnsiTheme="minorHAnsi" w:cstheme="minorHAnsi"/>
          <w:szCs w:val="24"/>
        </w:rPr>
      </w:pPr>
      <w:r w:rsidRPr="009D7856">
        <w:rPr>
          <w:rFonts w:asciiTheme="minorHAnsi" w:hAnsiTheme="minorHAnsi" w:cstheme="minorHAnsi"/>
          <w:szCs w:val="24"/>
        </w:rPr>
        <w:t xml:space="preserve">Dodatkowymi dokumentami mogą być np. wszelkie upoważnienia, oświadczenia </w:t>
      </w:r>
      <w:r w:rsidR="005B2988" w:rsidRPr="009D7856">
        <w:rPr>
          <w:rFonts w:asciiTheme="minorHAnsi" w:hAnsiTheme="minorHAnsi" w:cstheme="minorHAnsi"/>
          <w:szCs w:val="24"/>
        </w:rPr>
        <w:br/>
      </w:r>
      <w:r w:rsidRPr="009D7856">
        <w:rPr>
          <w:rFonts w:asciiTheme="minorHAnsi" w:hAnsiTheme="minorHAnsi" w:cstheme="minorHAnsi"/>
          <w:szCs w:val="24"/>
        </w:rPr>
        <w:t>o zgodności tytułu wniosku z pozostałymi dokumentami, opinie, ekspertyzy</w:t>
      </w:r>
      <w:r w:rsidR="00C26578" w:rsidRPr="009D7856">
        <w:rPr>
          <w:rFonts w:asciiTheme="minorHAnsi" w:hAnsiTheme="minorHAnsi" w:cstheme="minorHAnsi"/>
          <w:szCs w:val="24"/>
        </w:rPr>
        <w:t>,</w:t>
      </w:r>
      <w:r w:rsidRPr="009D7856">
        <w:rPr>
          <w:rFonts w:asciiTheme="minorHAnsi" w:hAnsiTheme="minorHAnsi" w:cstheme="minorHAnsi"/>
          <w:szCs w:val="24"/>
        </w:rPr>
        <w:t xml:space="preserve"> </w:t>
      </w:r>
      <w:r w:rsidR="006C0052" w:rsidRPr="009D7856">
        <w:rPr>
          <w:rFonts w:asciiTheme="minorHAnsi" w:hAnsiTheme="minorHAnsi" w:cstheme="minorHAnsi"/>
          <w:szCs w:val="24"/>
        </w:rPr>
        <w:t>uchwały</w:t>
      </w:r>
      <w:r w:rsidR="00E101D3" w:rsidRPr="009D7856">
        <w:rPr>
          <w:rFonts w:asciiTheme="minorHAnsi" w:hAnsiTheme="minorHAnsi" w:cstheme="minorHAnsi"/>
          <w:szCs w:val="24"/>
        </w:rPr>
        <w:t xml:space="preserve"> </w:t>
      </w:r>
      <w:r w:rsidR="00FA2E31" w:rsidRPr="009D7856">
        <w:rPr>
          <w:rFonts w:asciiTheme="minorHAnsi" w:hAnsiTheme="minorHAnsi" w:cstheme="minorHAnsi"/>
          <w:szCs w:val="24"/>
        </w:rPr>
        <w:br/>
      </w:r>
      <w:r w:rsidR="00385C25" w:rsidRPr="009D7856">
        <w:rPr>
          <w:rFonts w:asciiTheme="minorHAnsi" w:hAnsiTheme="minorHAnsi" w:cstheme="minorHAnsi"/>
          <w:szCs w:val="24"/>
        </w:rPr>
        <w:t xml:space="preserve">w sprawie </w:t>
      </w:r>
      <w:r w:rsidR="00E101D3" w:rsidRPr="009D7856">
        <w:rPr>
          <w:rFonts w:asciiTheme="minorHAnsi" w:hAnsiTheme="minorHAnsi" w:cstheme="minorHAnsi"/>
          <w:szCs w:val="24"/>
        </w:rPr>
        <w:t>związanej z przedmiotem projektu, umowy o współpracy, dokumenty potwierdzające doświadczenie i potencjał Wnioskodawcy</w:t>
      </w:r>
      <w:r w:rsidR="00385C25" w:rsidRPr="009D7856">
        <w:rPr>
          <w:rFonts w:asciiTheme="minorHAnsi" w:hAnsiTheme="minorHAnsi" w:cstheme="minorHAnsi"/>
          <w:szCs w:val="24"/>
        </w:rPr>
        <w:t>, itp.</w:t>
      </w:r>
    </w:p>
    <w:tbl>
      <w:tblPr>
        <w:tblStyle w:val="Tabela-Siatka"/>
        <w:tblW w:w="0" w:type="auto"/>
        <w:tblLook w:val="04A0" w:firstRow="1" w:lastRow="0" w:firstColumn="1" w:lastColumn="0" w:noHBand="0" w:noVBand="1"/>
      </w:tblPr>
      <w:tblGrid>
        <w:gridCol w:w="9040"/>
      </w:tblGrid>
      <w:tr w:rsidR="00F850B4" w14:paraId="29C44569" w14:textId="77777777" w:rsidTr="00757490">
        <w:trPr>
          <w:trHeight w:val="1247"/>
        </w:trPr>
        <w:tc>
          <w:tcPr>
            <w:tcW w:w="9060" w:type="dxa"/>
            <w:tcBorders>
              <w:top w:val="single" w:sz="12" w:space="0" w:color="EE0000"/>
              <w:left w:val="single" w:sz="12" w:space="0" w:color="EE0000"/>
              <w:bottom w:val="single" w:sz="12" w:space="0" w:color="EE0000"/>
              <w:right w:val="single" w:sz="12" w:space="0" w:color="EE0000"/>
            </w:tcBorders>
          </w:tcPr>
          <w:p w14:paraId="38D11DAF" w14:textId="7A4289FF" w:rsidR="00F850B4" w:rsidRPr="00757490" w:rsidRDefault="00F850B4" w:rsidP="00CB1BD7">
            <w:pPr>
              <w:spacing w:after="120" w:line="276" w:lineRule="auto"/>
              <w:rPr>
                <w:rFonts w:asciiTheme="minorHAnsi" w:hAnsiTheme="minorHAnsi" w:cstheme="minorHAnsi"/>
                <w:b/>
                <w:bCs/>
                <w:szCs w:val="24"/>
              </w:rPr>
            </w:pPr>
            <w:r w:rsidRPr="00757490">
              <w:rPr>
                <w:rFonts w:asciiTheme="minorHAnsi" w:hAnsiTheme="minorHAnsi" w:cstheme="minorHAnsi"/>
                <w:b/>
                <w:bCs/>
                <w:szCs w:val="24"/>
              </w:rPr>
              <w:t>UWAGA!</w:t>
            </w:r>
          </w:p>
          <w:p w14:paraId="22120E88" w14:textId="27FB5FB6" w:rsidR="00F850B4" w:rsidRDefault="00F850B4" w:rsidP="00CB1BD7">
            <w:pPr>
              <w:spacing w:after="120" w:line="276" w:lineRule="auto"/>
              <w:rPr>
                <w:rFonts w:asciiTheme="minorHAnsi" w:hAnsiTheme="minorHAnsi" w:cstheme="minorHAnsi"/>
                <w:szCs w:val="24"/>
              </w:rPr>
            </w:pPr>
            <w:r w:rsidRPr="004F515D">
              <w:rPr>
                <w:rFonts w:asciiTheme="minorHAnsi" w:hAnsiTheme="minorHAnsi" w:cstheme="minorHAnsi"/>
                <w:szCs w:val="24"/>
              </w:rPr>
              <w:t xml:space="preserve">Wnioskodawca, dołączając </w:t>
            </w:r>
            <w:r>
              <w:rPr>
                <w:rFonts w:asciiTheme="minorHAnsi" w:hAnsiTheme="minorHAnsi" w:cstheme="minorHAnsi"/>
                <w:szCs w:val="24"/>
              </w:rPr>
              <w:t xml:space="preserve">dodatkowe </w:t>
            </w:r>
            <w:r w:rsidRPr="004F515D">
              <w:rPr>
                <w:rFonts w:asciiTheme="minorHAnsi" w:hAnsiTheme="minorHAnsi" w:cstheme="minorHAnsi"/>
                <w:szCs w:val="24"/>
              </w:rPr>
              <w:t>dokumenty zobowiązany jest zachować chronologiczną numerację załączników (tj. Załącznik nr 8.</w:t>
            </w:r>
            <w:r>
              <w:rPr>
                <w:rFonts w:asciiTheme="minorHAnsi" w:hAnsiTheme="minorHAnsi" w:cstheme="minorHAnsi"/>
                <w:szCs w:val="24"/>
              </w:rPr>
              <w:t xml:space="preserve">1, </w:t>
            </w:r>
            <w:r w:rsidRPr="004F515D">
              <w:rPr>
                <w:rFonts w:asciiTheme="minorHAnsi" w:hAnsiTheme="minorHAnsi" w:cstheme="minorHAnsi"/>
                <w:szCs w:val="24"/>
              </w:rPr>
              <w:t>Załącznik nr 8.</w:t>
            </w:r>
            <w:r>
              <w:rPr>
                <w:rFonts w:asciiTheme="minorHAnsi" w:hAnsiTheme="minorHAnsi" w:cstheme="minorHAnsi"/>
                <w:szCs w:val="24"/>
              </w:rPr>
              <w:t xml:space="preserve">2, </w:t>
            </w:r>
            <w:r w:rsidRPr="004F515D">
              <w:rPr>
                <w:rFonts w:asciiTheme="minorHAnsi" w:hAnsiTheme="minorHAnsi" w:cstheme="minorHAnsi"/>
                <w:szCs w:val="24"/>
              </w:rPr>
              <w:t xml:space="preserve">itd.). </w:t>
            </w:r>
          </w:p>
        </w:tc>
      </w:tr>
    </w:tbl>
    <w:p w14:paraId="5A6C4A52" w14:textId="28DF6535" w:rsidR="00CB1BD7" w:rsidRDefault="00F850B4" w:rsidP="00CB1BD7">
      <w:pPr>
        <w:spacing w:after="120" w:line="276" w:lineRule="auto"/>
        <w:rPr>
          <w:rFonts w:asciiTheme="minorHAnsi" w:hAnsiTheme="minorHAnsi" w:cstheme="minorHAnsi"/>
          <w:szCs w:val="24"/>
        </w:rPr>
      </w:pPr>
      <w:r>
        <w:rPr>
          <w:rFonts w:asciiTheme="minorHAnsi" w:hAnsiTheme="minorHAnsi" w:cstheme="minorHAnsi"/>
          <w:b/>
          <w:bCs/>
          <w:szCs w:val="24"/>
        </w:rPr>
        <w:br/>
      </w:r>
      <w:r w:rsidR="00CB1BD7" w:rsidRPr="00757490">
        <w:rPr>
          <w:rFonts w:asciiTheme="minorHAnsi" w:hAnsiTheme="minorHAnsi" w:cstheme="minorHAnsi"/>
          <w:b/>
          <w:bCs/>
          <w:szCs w:val="24"/>
        </w:rPr>
        <w:t>W przypadku, kiedy do dofinansowania składany jest projekt, którego rzeczowa realizacja już się rozpoczęła</w:t>
      </w:r>
      <w:r w:rsidR="00CB1BD7" w:rsidRPr="009D7856">
        <w:rPr>
          <w:rFonts w:asciiTheme="minorHAnsi" w:hAnsiTheme="minorHAnsi" w:cstheme="minorHAnsi"/>
          <w:szCs w:val="24"/>
        </w:rPr>
        <w:t xml:space="preserve">, w celu </w:t>
      </w:r>
      <w:r w:rsidR="00CB1BD7" w:rsidRPr="009D7856">
        <w:rPr>
          <w:rFonts w:asciiTheme="minorHAnsi" w:hAnsiTheme="minorHAnsi" w:cstheme="minorHAnsi"/>
          <w:szCs w:val="24"/>
          <w:u w:val="single"/>
        </w:rPr>
        <w:t xml:space="preserve">potwierdzenia poprawności wskazanego we wniosku </w:t>
      </w:r>
      <w:r w:rsidR="00CB1BD7" w:rsidRPr="009D7856">
        <w:rPr>
          <w:rFonts w:asciiTheme="minorHAnsi" w:hAnsiTheme="minorHAnsi" w:cstheme="minorHAnsi"/>
          <w:szCs w:val="24"/>
          <w:u w:val="single"/>
        </w:rPr>
        <w:br/>
        <w:t>o dofinansowanie terminu rozpoczęcia realizacji projektu</w:t>
      </w:r>
      <w:r w:rsidR="00CB1BD7" w:rsidRPr="009D7856">
        <w:rPr>
          <w:rFonts w:asciiTheme="minorHAnsi" w:hAnsiTheme="minorHAnsi" w:cstheme="minorHAnsi"/>
          <w:szCs w:val="24"/>
        </w:rPr>
        <w:t xml:space="preserve">, należy dołączyć do wniosku </w:t>
      </w:r>
      <w:r w:rsidR="00CB1BD7" w:rsidRPr="009D7856">
        <w:rPr>
          <w:rFonts w:asciiTheme="minorHAnsi" w:hAnsiTheme="minorHAnsi" w:cstheme="minorHAnsi"/>
          <w:szCs w:val="24"/>
        </w:rPr>
        <w:br/>
        <w:t xml:space="preserve">o dofinansowanie </w:t>
      </w:r>
      <w:r w:rsidR="00CB1BD7" w:rsidRPr="009D7856">
        <w:rPr>
          <w:rFonts w:asciiTheme="minorHAnsi" w:hAnsiTheme="minorHAnsi" w:cstheme="minorHAnsi"/>
          <w:b/>
          <w:bCs/>
          <w:szCs w:val="24"/>
        </w:rPr>
        <w:t>skan pierwszej umowy z wykonawcą/dostawcą lub dokument potwierdzający zaciągnięcie pierwszego zobowiązania do zamówienia towarów i/lub usług związanych z realizacją projektu</w:t>
      </w:r>
      <w:r w:rsidR="00CB1BD7" w:rsidRPr="009D7856">
        <w:rPr>
          <w:rFonts w:asciiTheme="minorHAnsi" w:hAnsiTheme="minorHAnsi" w:cstheme="minorHAnsi"/>
          <w:szCs w:val="24"/>
        </w:rPr>
        <w:t xml:space="preserve"> bądź wskazany w punkcie 5 </w:t>
      </w:r>
      <w:r w:rsidR="00CB1BD7" w:rsidRPr="009D7856">
        <w:rPr>
          <w:rFonts w:asciiTheme="minorHAnsi" w:hAnsiTheme="minorHAnsi" w:cstheme="minorHAnsi"/>
          <w:b/>
          <w:bCs/>
          <w:szCs w:val="24"/>
        </w:rPr>
        <w:t>dokument potwierdzający poniesienie pierwszego wydatku w projekcie</w:t>
      </w:r>
      <w:r w:rsidR="00CB1BD7" w:rsidRPr="009D7856">
        <w:rPr>
          <w:rFonts w:asciiTheme="minorHAnsi" w:hAnsiTheme="minorHAnsi" w:cstheme="minorHAnsi"/>
          <w:szCs w:val="24"/>
        </w:rPr>
        <w:t xml:space="preserve"> (w zależności co nastąpiło wcześniej).</w:t>
      </w:r>
      <w:r w:rsidR="00CB1BD7">
        <w:rPr>
          <w:rFonts w:asciiTheme="minorHAnsi" w:hAnsiTheme="minorHAnsi" w:cstheme="minorHAnsi"/>
          <w:szCs w:val="24"/>
        </w:rPr>
        <w:t xml:space="preserve"> </w:t>
      </w:r>
    </w:p>
    <w:p w14:paraId="0DC01EFB" w14:textId="64A5D18F" w:rsidR="001C025F" w:rsidRPr="00AE0EF5" w:rsidRDefault="00F541D7" w:rsidP="00AE0EF5">
      <w:pPr>
        <w:tabs>
          <w:tab w:val="left" w:pos="426"/>
        </w:tabs>
        <w:spacing w:after="120" w:line="276" w:lineRule="auto"/>
        <w:rPr>
          <w:rFonts w:asciiTheme="minorHAnsi" w:hAnsiTheme="minorHAnsi" w:cstheme="minorHAnsi"/>
          <w:szCs w:val="24"/>
        </w:rPr>
      </w:pPr>
      <w:r w:rsidRPr="00AE0EF5">
        <w:rPr>
          <w:rFonts w:asciiTheme="minorHAnsi" w:hAnsiTheme="minorHAnsi" w:cstheme="minorHAnsi"/>
          <w:szCs w:val="24"/>
        </w:rPr>
        <w:t xml:space="preserve">W przypadku </w:t>
      </w:r>
      <w:r w:rsidRPr="00AE0EF5">
        <w:rPr>
          <w:rFonts w:asciiTheme="minorHAnsi" w:hAnsiTheme="minorHAnsi" w:cstheme="minorHAnsi"/>
          <w:b/>
          <w:szCs w:val="24"/>
        </w:rPr>
        <w:t>projektów infrastrukturalnych</w:t>
      </w:r>
      <w:r w:rsidR="0012355D" w:rsidRPr="00AE0EF5">
        <w:rPr>
          <w:rFonts w:asciiTheme="minorHAnsi" w:hAnsiTheme="minorHAnsi" w:cstheme="minorHAnsi"/>
          <w:szCs w:val="24"/>
        </w:rPr>
        <w:t>, obejmujących prace budowalne,</w:t>
      </w:r>
      <w:r w:rsidRPr="00AE0EF5">
        <w:rPr>
          <w:rFonts w:asciiTheme="minorHAnsi" w:hAnsiTheme="minorHAnsi" w:cstheme="minorHAnsi"/>
          <w:szCs w:val="24"/>
        </w:rPr>
        <w:t xml:space="preserve"> </w:t>
      </w:r>
      <w:r w:rsidR="00A721F7" w:rsidRPr="00AE0EF5">
        <w:rPr>
          <w:rFonts w:asciiTheme="minorHAnsi" w:hAnsiTheme="minorHAnsi" w:cstheme="minorHAnsi"/>
          <w:szCs w:val="24"/>
        </w:rPr>
        <w:t>W</w:t>
      </w:r>
      <w:r w:rsidR="0012355D" w:rsidRPr="00AE0EF5">
        <w:rPr>
          <w:rFonts w:asciiTheme="minorHAnsi" w:hAnsiTheme="minorHAnsi" w:cstheme="minorHAnsi"/>
          <w:szCs w:val="24"/>
        </w:rPr>
        <w:t xml:space="preserve">nioskodawca może zostać wezwany </w:t>
      </w:r>
      <w:r w:rsidR="00C44A60" w:rsidRPr="00AE0EF5">
        <w:rPr>
          <w:rFonts w:asciiTheme="minorHAnsi" w:hAnsiTheme="minorHAnsi" w:cstheme="minorHAnsi"/>
          <w:szCs w:val="24"/>
        </w:rPr>
        <w:t>przez Komisj</w:t>
      </w:r>
      <w:r w:rsidR="00EB1D43" w:rsidRPr="00AE0EF5">
        <w:rPr>
          <w:rFonts w:asciiTheme="minorHAnsi" w:hAnsiTheme="minorHAnsi" w:cstheme="minorHAnsi"/>
          <w:szCs w:val="24"/>
        </w:rPr>
        <w:t>ę</w:t>
      </w:r>
      <w:r w:rsidR="00C44A60" w:rsidRPr="00AE0EF5">
        <w:rPr>
          <w:rFonts w:asciiTheme="minorHAnsi" w:hAnsiTheme="minorHAnsi" w:cstheme="minorHAnsi"/>
          <w:szCs w:val="24"/>
        </w:rPr>
        <w:t xml:space="preserve"> Oceny Projektów </w:t>
      </w:r>
      <w:r w:rsidR="0012355D" w:rsidRPr="00AE0EF5">
        <w:rPr>
          <w:rFonts w:asciiTheme="minorHAnsi" w:hAnsiTheme="minorHAnsi" w:cstheme="minorHAnsi"/>
          <w:szCs w:val="24"/>
        </w:rPr>
        <w:t>do przedstawienia kosztorysó</w:t>
      </w:r>
      <w:r w:rsidR="00C44A60" w:rsidRPr="00AE0EF5">
        <w:rPr>
          <w:rFonts w:asciiTheme="minorHAnsi" w:hAnsiTheme="minorHAnsi" w:cstheme="minorHAnsi"/>
          <w:szCs w:val="24"/>
        </w:rPr>
        <w:t>w inwestorskich, potwierdzających przyjęte koszty.</w:t>
      </w:r>
    </w:p>
    <w:p w14:paraId="7B26EA03" w14:textId="66C169EF" w:rsidR="00F850B4" w:rsidRPr="00316896" w:rsidRDefault="00F850B4" w:rsidP="00F850B4">
      <w:pPr>
        <w:spacing w:before="120" w:after="120" w:line="276" w:lineRule="auto"/>
        <w:rPr>
          <w:rFonts w:asciiTheme="minorHAnsi" w:hAnsiTheme="minorHAnsi" w:cstheme="minorHAnsi"/>
          <w:szCs w:val="24"/>
        </w:rPr>
      </w:pPr>
      <w:r w:rsidRPr="00840C83">
        <w:rPr>
          <w:rFonts w:asciiTheme="minorHAnsi" w:hAnsiTheme="minorHAnsi" w:cstheme="minorHAnsi"/>
          <w:b/>
          <w:bCs/>
          <w:szCs w:val="24"/>
        </w:rPr>
        <w:t xml:space="preserve">W przypadku, gdy </w:t>
      </w:r>
      <w:r w:rsidR="004E4EE7">
        <w:rPr>
          <w:rFonts w:asciiTheme="minorHAnsi" w:hAnsiTheme="minorHAnsi" w:cstheme="minorHAnsi"/>
          <w:b/>
          <w:bCs/>
          <w:szCs w:val="24"/>
        </w:rPr>
        <w:t>W</w:t>
      </w:r>
      <w:r w:rsidRPr="00840C83">
        <w:rPr>
          <w:rFonts w:asciiTheme="minorHAnsi" w:hAnsiTheme="minorHAnsi" w:cstheme="minorHAnsi"/>
          <w:b/>
          <w:bCs/>
          <w:szCs w:val="24"/>
        </w:rPr>
        <w:t xml:space="preserve">nioskodawca ubiega się o pomoc </w:t>
      </w:r>
      <w:r w:rsidRPr="00840C83">
        <w:rPr>
          <w:rFonts w:asciiTheme="minorHAnsi" w:hAnsiTheme="minorHAnsi" w:cstheme="minorHAnsi"/>
          <w:b/>
          <w:bCs/>
          <w:i/>
          <w:iCs/>
          <w:szCs w:val="24"/>
        </w:rPr>
        <w:t xml:space="preserve">de </w:t>
      </w:r>
      <w:proofErr w:type="spellStart"/>
      <w:r w:rsidRPr="00840C83">
        <w:rPr>
          <w:rFonts w:asciiTheme="minorHAnsi" w:hAnsiTheme="minorHAnsi" w:cstheme="minorHAnsi"/>
          <w:b/>
          <w:bCs/>
          <w:i/>
          <w:iCs/>
          <w:szCs w:val="24"/>
        </w:rPr>
        <w:t>minimis</w:t>
      </w:r>
      <w:proofErr w:type="spellEnd"/>
      <w:r w:rsidRPr="00840C83">
        <w:rPr>
          <w:rFonts w:asciiTheme="minorHAnsi" w:hAnsiTheme="minorHAnsi" w:cstheme="minorHAnsi"/>
          <w:b/>
          <w:bCs/>
          <w:szCs w:val="24"/>
        </w:rPr>
        <w:t xml:space="preserve"> na świadczenie usług </w:t>
      </w:r>
      <w:r>
        <w:rPr>
          <w:rFonts w:asciiTheme="minorHAnsi" w:hAnsiTheme="minorHAnsi" w:cstheme="minorHAnsi"/>
          <w:b/>
          <w:bCs/>
          <w:szCs w:val="24"/>
        </w:rPr>
        <w:br/>
      </w:r>
      <w:r w:rsidRPr="00840C83">
        <w:rPr>
          <w:rFonts w:asciiTheme="minorHAnsi" w:hAnsiTheme="minorHAnsi" w:cstheme="minorHAnsi"/>
          <w:b/>
          <w:bCs/>
          <w:szCs w:val="24"/>
        </w:rPr>
        <w:t>w ogólnym interesie gospodarczym (UOIG)</w:t>
      </w:r>
      <w:r>
        <w:rPr>
          <w:rFonts w:asciiTheme="minorHAnsi" w:hAnsiTheme="minorHAnsi" w:cstheme="minorHAnsi"/>
          <w:szCs w:val="24"/>
        </w:rPr>
        <w:t>, zobowiązany jest dostarczyć skan aktu powierzenia usług. Jeśli powierzenie nastąpiło w ramach procedury udzielania zamówień publicznych, Wnioskodawca zobowiązany jest dostarczyć dokument</w:t>
      </w:r>
      <w:r w:rsidR="00A22246">
        <w:rPr>
          <w:rFonts w:asciiTheme="minorHAnsi" w:hAnsiTheme="minorHAnsi" w:cstheme="minorHAnsi"/>
          <w:szCs w:val="24"/>
        </w:rPr>
        <w:t>y</w:t>
      </w:r>
      <w:r>
        <w:rPr>
          <w:rFonts w:asciiTheme="minorHAnsi" w:hAnsiTheme="minorHAnsi" w:cstheme="minorHAnsi"/>
          <w:szCs w:val="24"/>
        </w:rPr>
        <w:t xml:space="preserve"> potwierdzając</w:t>
      </w:r>
      <w:r w:rsidR="00A22246">
        <w:rPr>
          <w:rFonts w:asciiTheme="minorHAnsi" w:hAnsiTheme="minorHAnsi" w:cstheme="minorHAnsi"/>
          <w:szCs w:val="24"/>
        </w:rPr>
        <w:t>e</w:t>
      </w:r>
      <w:r>
        <w:rPr>
          <w:rFonts w:asciiTheme="minorHAnsi" w:hAnsiTheme="minorHAnsi" w:cstheme="minorHAnsi"/>
          <w:szCs w:val="24"/>
        </w:rPr>
        <w:t xml:space="preserve"> ten fakt. </w:t>
      </w:r>
    </w:p>
    <w:p w14:paraId="61B588E4" w14:textId="2533328D" w:rsidR="00142252" w:rsidRDefault="00142252" w:rsidP="00AE0EF5">
      <w:pPr>
        <w:pStyle w:val="Akapitzlist"/>
        <w:ind w:left="0"/>
        <w:rPr>
          <w:rFonts w:cstheme="minorHAnsi"/>
          <w:sz w:val="24"/>
          <w:szCs w:val="24"/>
        </w:rPr>
      </w:pPr>
      <w:r w:rsidRPr="00492569">
        <w:rPr>
          <w:rFonts w:cstheme="minorHAnsi"/>
          <w:sz w:val="24"/>
          <w:szCs w:val="24"/>
        </w:rPr>
        <w:t xml:space="preserve">W przypadku gdy </w:t>
      </w:r>
      <w:r>
        <w:rPr>
          <w:rFonts w:cstheme="minorHAnsi"/>
          <w:sz w:val="24"/>
          <w:szCs w:val="24"/>
        </w:rPr>
        <w:t xml:space="preserve">Wnioskodawca będący </w:t>
      </w:r>
      <w:r w:rsidRPr="00492569">
        <w:rPr>
          <w:rFonts w:cstheme="minorHAnsi"/>
          <w:sz w:val="24"/>
          <w:szCs w:val="24"/>
        </w:rPr>
        <w:t>Jednostk</w:t>
      </w:r>
      <w:r>
        <w:rPr>
          <w:rFonts w:cstheme="minorHAnsi"/>
          <w:sz w:val="24"/>
          <w:szCs w:val="24"/>
        </w:rPr>
        <w:t>ą</w:t>
      </w:r>
      <w:r w:rsidRPr="00492569">
        <w:rPr>
          <w:rFonts w:cstheme="minorHAnsi"/>
          <w:sz w:val="24"/>
          <w:szCs w:val="24"/>
        </w:rPr>
        <w:t xml:space="preserve"> Samorządu Terytorialnego (JST)</w:t>
      </w:r>
      <w:r w:rsidR="00A22246">
        <w:rPr>
          <w:rFonts w:cstheme="minorHAnsi"/>
          <w:sz w:val="24"/>
          <w:szCs w:val="24"/>
        </w:rPr>
        <w:t xml:space="preserve"> </w:t>
      </w:r>
      <w:r w:rsidRPr="00492569">
        <w:rPr>
          <w:rFonts w:cstheme="minorHAnsi"/>
          <w:sz w:val="24"/>
          <w:szCs w:val="24"/>
        </w:rPr>
        <w:t xml:space="preserve">powierza wykonywanie zadań z zakresu gospodarki odpadami podmiotowi zewnętrznemu (wykonawcy, operatorowi lub świadczącemu usługi), </w:t>
      </w:r>
      <w:r>
        <w:rPr>
          <w:rFonts w:cstheme="minorHAnsi"/>
          <w:sz w:val="24"/>
          <w:szCs w:val="24"/>
        </w:rPr>
        <w:t xml:space="preserve">Wnioskodawca zobowiązany jest </w:t>
      </w:r>
      <w:r>
        <w:rPr>
          <w:rFonts w:cstheme="minorHAnsi"/>
          <w:sz w:val="24"/>
          <w:szCs w:val="24"/>
        </w:rPr>
        <w:lastRenderedPageBreak/>
        <w:t xml:space="preserve">dostarczyć </w:t>
      </w:r>
      <w:r w:rsidRPr="008A1E6D">
        <w:rPr>
          <w:rFonts w:cstheme="minorHAnsi"/>
          <w:b/>
          <w:bCs/>
          <w:sz w:val="24"/>
          <w:szCs w:val="24"/>
        </w:rPr>
        <w:t>skan dokumentu potwierdzającego wpis tego podmiotu do Rejestru Działalności Regulowanej (RDR)</w:t>
      </w:r>
      <w:r w:rsidRPr="00492569">
        <w:rPr>
          <w:rFonts w:cstheme="minorHAnsi"/>
          <w:sz w:val="24"/>
          <w:szCs w:val="24"/>
        </w:rPr>
        <w:t xml:space="preserve"> właściwego ze względu na miejsce świadczenia usług lub wykonywania działalności objętej projektem, zgodnie z </w:t>
      </w:r>
      <w:r>
        <w:rPr>
          <w:rFonts w:cstheme="minorHAnsi"/>
          <w:sz w:val="24"/>
          <w:szCs w:val="24"/>
        </w:rPr>
        <w:t>art. 9b</w:t>
      </w:r>
      <w:r w:rsidRPr="00492569">
        <w:rPr>
          <w:rFonts w:cstheme="minorHAnsi"/>
          <w:sz w:val="24"/>
          <w:szCs w:val="24"/>
        </w:rPr>
        <w:t xml:space="preserve"> </w:t>
      </w:r>
      <w:r>
        <w:rPr>
          <w:rFonts w:cstheme="minorHAnsi"/>
          <w:sz w:val="24"/>
          <w:szCs w:val="24"/>
        </w:rPr>
        <w:t>U</w:t>
      </w:r>
      <w:r w:rsidRPr="00492569">
        <w:rPr>
          <w:rFonts w:cstheme="minorHAnsi"/>
          <w:sz w:val="24"/>
          <w:szCs w:val="24"/>
        </w:rPr>
        <w:t>stawy o utrzymaniu czystości i porządku w gminach</w:t>
      </w:r>
      <w:r>
        <w:rPr>
          <w:rFonts w:cstheme="minorHAnsi"/>
          <w:sz w:val="24"/>
          <w:szCs w:val="24"/>
        </w:rPr>
        <w:t>.</w:t>
      </w:r>
    </w:p>
    <w:p w14:paraId="37FEAFFC" w14:textId="30F68E30" w:rsidR="003E3759" w:rsidRPr="003E3759" w:rsidRDefault="00FA2E31" w:rsidP="00AE0EF5">
      <w:pPr>
        <w:pStyle w:val="Akapitzlist"/>
        <w:ind w:left="0"/>
        <w:rPr>
          <w:rFonts w:cstheme="minorHAnsi"/>
          <w:sz w:val="24"/>
          <w:szCs w:val="24"/>
        </w:rPr>
      </w:pPr>
      <w:r w:rsidRPr="00FA2E31">
        <w:rPr>
          <w:rFonts w:cstheme="minorHAnsi"/>
          <w:sz w:val="24"/>
          <w:szCs w:val="24"/>
        </w:rPr>
        <w:t xml:space="preserve">W </w:t>
      </w:r>
      <w:r w:rsidRPr="00FA2E31">
        <w:rPr>
          <w:rFonts w:cstheme="minorHAnsi"/>
          <w:sz w:val="24"/>
          <w:szCs w:val="24"/>
          <w:lang w:val="pl-PL"/>
        </w:rPr>
        <w:t xml:space="preserve">przypadku </w:t>
      </w:r>
      <w:r w:rsidRPr="00FA2E31">
        <w:rPr>
          <w:rFonts w:cstheme="minorHAnsi"/>
          <w:sz w:val="24"/>
          <w:szCs w:val="24"/>
        </w:rPr>
        <w:t>projek</w:t>
      </w:r>
      <w:r w:rsidRPr="00FA2E31">
        <w:rPr>
          <w:rFonts w:cstheme="minorHAnsi"/>
          <w:sz w:val="24"/>
          <w:szCs w:val="24"/>
          <w:lang w:val="pl-PL"/>
        </w:rPr>
        <w:t>tu</w:t>
      </w:r>
      <w:r w:rsidRPr="00FA2E31">
        <w:rPr>
          <w:rFonts w:cstheme="minorHAnsi"/>
          <w:sz w:val="24"/>
          <w:szCs w:val="24"/>
        </w:rPr>
        <w:t>, którego łączny koszt wynosi co najmniej 5 mln EUR (włączając VAT), podatek VAT może być kwalifikowalny, gdy brak jest prawnej możliwości odzyskania podatku VAT</w:t>
      </w:r>
      <w:r>
        <w:rPr>
          <w:rFonts w:cstheme="minorHAnsi"/>
          <w:sz w:val="24"/>
          <w:szCs w:val="24"/>
          <w:lang w:val="pl-PL"/>
        </w:rPr>
        <w:t>,</w:t>
      </w:r>
      <w:r w:rsidRPr="00FA2E31">
        <w:rPr>
          <w:rFonts w:cstheme="minorHAnsi"/>
          <w:sz w:val="24"/>
          <w:szCs w:val="24"/>
        </w:rPr>
        <w:t xml:space="preserve"> zgodnie z przepisami prawa krajowego.</w:t>
      </w:r>
      <w:r>
        <w:rPr>
          <w:rFonts w:cstheme="minorHAnsi"/>
          <w:sz w:val="24"/>
          <w:szCs w:val="24"/>
          <w:lang w:val="pl-PL"/>
        </w:rPr>
        <w:t xml:space="preserve"> W takiej sytuacji </w:t>
      </w:r>
      <w:r w:rsidR="00F850B4">
        <w:rPr>
          <w:rFonts w:asciiTheme="minorHAnsi" w:hAnsiTheme="minorHAnsi" w:cstheme="minorHAnsi"/>
          <w:sz w:val="24"/>
          <w:szCs w:val="24"/>
          <w:lang w:val="pl-PL"/>
        </w:rPr>
        <w:t>W</w:t>
      </w:r>
      <w:r w:rsidR="009C07F8">
        <w:rPr>
          <w:rFonts w:asciiTheme="minorHAnsi" w:hAnsiTheme="minorHAnsi" w:cstheme="minorHAnsi"/>
          <w:sz w:val="24"/>
          <w:szCs w:val="24"/>
          <w:lang w:val="pl-PL"/>
        </w:rPr>
        <w:t>nioskodawca</w:t>
      </w:r>
      <w:r w:rsidR="00A63277" w:rsidRPr="00FA2E31">
        <w:rPr>
          <w:rFonts w:asciiTheme="minorHAnsi" w:hAnsiTheme="minorHAnsi" w:cstheme="minorHAnsi"/>
          <w:sz w:val="24"/>
          <w:szCs w:val="24"/>
        </w:rPr>
        <w:t xml:space="preserve"> zobowiązany jest do załączenia do wniosku </w:t>
      </w:r>
      <w:r w:rsidR="00A63277" w:rsidRPr="00FA2E31">
        <w:rPr>
          <w:rFonts w:asciiTheme="minorHAnsi" w:hAnsiTheme="minorHAnsi" w:cstheme="minorHAnsi"/>
          <w:b/>
          <w:sz w:val="24"/>
          <w:szCs w:val="24"/>
        </w:rPr>
        <w:t>interpretacji przepisów prawa podatkowego</w:t>
      </w:r>
      <w:r w:rsidR="00A63277" w:rsidRPr="00FA2E31">
        <w:rPr>
          <w:rFonts w:asciiTheme="minorHAnsi" w:hAnsiTheme="minorHAnsi" w:cstheme="minorHAnsi"/>
          <w:sz w:val="24"/>
          <w:szCs w:val="24"/>
        </w:rPr>
        <w:t xml:space="preserve">, wydanej przez właściwy organ. W sytuacji, gdy </w:t>
      </w:r>
      <w:r w:rsidR="0016724D" w:rsidRPr="00FA2E31">
        <w:rPr>
          <w:rFonts w:asciiTheme="minorHAnsi" w:hAnsiTheme="minorHAnsi" w:cstheme="minorHAnsi"/>
          <w:sz w:val="24"/>
          <w:szCs w:val="24"/>
          <w:lang w:val="pl-PL"/>
        </w:rPr>
        <w:t>Wnioskodawca</w:t>
      </w:r>
      <w:r w:rsidR="0016724D" w:rsidRPr="00FA2E31">
        <w:rPr>
          <w:rFonts w:asciiTheme="minorHAnsi" w:hAnsiTheme="minorHAnsi" w:cstheme="minorHAnsi"/>
          <w:sz w:val="24"/>
          <w:szCs w:val="24"/>
        </w:rPr>
        <w:t xml:space="preserve"> </w:t>
      </w:r>
      <w:r w:rsidR="00A63277" w:rsidRPr="00FA2E31">
        <w:rPr>
          <w:rFonts w:asciiTheme="minorHAnsi" w:hAnsiTheme="minorHAnsi" w:cstheme="minorHAnsi"/>
          <w:sz w:val="24"/>
          <w:szCs w:val="24"/>
        </w:rPr>
        <w:t xml:space="preserve">nie jest w stanie dostarczyć indywidualnej interpretacji na etapie naboru wniosków o dofinansowanie projektów, zobowiązany jest dołączyć do wniosku o dofinansowanie </w:t>
      </w:r>
      <w:r w:rsidR="00A42915">
        <w:rPr>
          <w:rFonts w:asciiTheme="minorHAnsi" w:hAnsiTheme="minorHAnsi" w:cstheme="minorHAnsi"/>
          <w:sz w:val="24"/>
          <w:szCs w:val="24"/>
        </w:rPr>
        <w:t>skan</w:t>
      </w:r>
      <w:r w:rsidR="00A42915" w:rsidRPr="00FA2E31">
        <w:rPr>
          <w:rFonts w:asciiTheme="minorHAnsi" w:hAnsiTheme="minorHAnsi" w:cstheme="minorHAnsi"/>
          <w:sz w:val="24"/>
          <w:szCs w:val="24"/>
        </w:rPr>
        <w:t xml:space="preserve"> </w:t>
      </w:r>
      <w:r w:rsidR="00A63277" w:rsidRPr="00FA2E31">
        <w:rPr>
          <w:rFonts w:asciiTheme="minorHAnsi" w:hAnsiTheme="minorHAnsi" w:cstheme="minorHAnsi"/>
          <w:sz w:val="24"/>
          <w:szCs w:val="24"/>
        </w:rPr>
        <w:t>wniosku o wydanie interpretacji indywidualnej, który złożył do właściwego organu</w:t>
      </w:r>
      <w:r w:rsidR="00A00D82" w:rsidRPr="00FA2E31">
        <w:rPr>
          <w:rFonts w:asciiTheme="minorHAnsi" w:hAnsiTheme="minorHAnsi" w:cstheme="minorHAnsi"/>
          <w:sz w:val="24"/>
          <w:szCs w:val="24"/>
        </w:rPr>
        <w:t xml:space="preserve">, wraz z </w:t>
      </w:r>
      <w:r w:rsidR="00A00D82">
        <w:rPr>
          <w:rFonts w:asciiTheme="minorHAnsi" w:hAnsiTheme="minorHAnsi" w:cstheme="minorHAnsi"/>
          <w:sz w:val="24"/>
          <w:szCs w:val="24"/>
        </w:rPr>
        <w:t xml:space="preserve">potwierdzeniem jego złożenia oraz </w:t>
      </w:r>
      <w:r w:rsidR="00A63277" w:rsidRPr="00FA2E31">
        <w:rPr>
          <w:rFonts w:asciiTheme="minorHAnsi" w:hAnsiTheme="minorHAnsi" w:cstheme="minorHAnsi"/>
          <w:sz w:val="24"/>
          <w:szCs w:val="24"/>
        </w:rPr>
        <w:t xml:space="preserve">oświadczeniem, iż niezwłocznie po otrzymaniu indywidualnej interpretacji przedłoży ją do </w:t>
      </w:r>
      <w:r w:rsidR="00A626D1" w:rsidRPr="00FA2E31">
        <w:rPr>
          <w:rFonts w:asciiTheme="minorHAnsi" w:hAnsiTheme="minorHAnsi" w:cstheme="minorHAnsi"/>
          <w:sz w:val="24"/>
          <w:szCs w:val="24"/>
        </w:rPr>
        <w:t>I</w:t>
      </w:r>
      <w:r w:rsidR="00A626D1" w:rsidRPr="00FA2E31">
        <w:rPr>
          <w:rFonts w:asciiTheme="minorHAnsi" w:hAnsiTheme="minorHAnsi" w:cstheme="minorHAnsi"/>
          <w:sz w:val="24"/>
          <w:szCs w:val="24"/>
          <w:lang w:val="pl-PL"/>
        </w:rPr>
        <w:t>Z</w:t>
      </w:r>
      <w:r w:rsidR="000B01EA" w:rsidRPr="00FA2E31">
        <w:rPr>
          <w:rFonts w:asciiTheme="minorHAnsi" w:hAnsiTheme="minorHAnsi" w:cstheme="minorHAnsi"/>
          <w:sz w:val="24"/>
          <w:szCs w:val="24"/>
        </w:rPr>
        <w:t xml:space="preserve"> </w:t>
      </w:r>
      <w:r w:rsidR="00A42915">
        <w:rPr>
          <w:rFonts w:asciiTheme="minorHAnsi" w:hAnsiTheme="minorHAnsi" w:cstheme="minorHAnsi"/>
          <w:sz w:val="24"/>
          <w:szCs w:val="24"/>
        </w:rPr>
        <w:t xml:space="preserve">FEO </w:t>
      </w:r>
      <w:r w:rsidR="000B01EA" w:rsidRPr="00FA2E31">
        <w:rPr>
          <w:rFonts w:asciiTheme="minorHAnsi" w:hAnsiTheme="minorHAnsi" w:cstheme="minorHAnsi"/>
          <w:sz w:val="24"/>
          <w:szCs w:val="24"/>
        </w:rPr>
        <w:t>2021-2027</w:t>
      </w:r>
      <w:r w:rsidR="00A63277" w:rsidRPr="00FA2E31">
        <w:rPr>
          <w:rFonts w:asciiTheme="minorHAnsi" w:hAnsiTheme="minorHAnsi" w:cstheme="minorHAnsi"/>
          <w:sz w:val="24"/>
          <w:szCs w:val="24"/>
        </w:rPr>
        <w:t xml:space="preserve"> (maksymalnym terminem dostarczenia indywidua</w:t>
      </w:r>
      <w:r w:rsidR="000B01EA" w:rsidRPr="00FA2E31">
        <w:rPr>
          <w:rFonts w:asciiTheme="minorHAnsi" w:hAnsiTheme="minorHAnsi" w:cstheme="minorHAnsi"/>
          <w:sz w:val="24"/>
          <w:szCs w:val="24"/>
        </w:rPr>
        <w:t xml:space="preserve">lnej interpretacji jest okres </w:t>
      </w:r>
      <w:r w:rsidR="00A42915">
        <w:rPr>
          <w:rFonts w:asciiTheme="minorHAnsi" w:hAnsiTheme="minorHAnsi" w:cstheme="minorHAnsi"/>
          <w:sz w:val="24"/>
          <w:szCs w:val="24"/>
        </w:rPr>
        <w:t>60</w:t>
      </w:r>
      <w:r w:rsidR="00A42915" w:rsidRPr="00FA2E31">
        <w:rPr>
          <w:rFonts w:asciiTheme="minorHAnsi" w:hAnsiTheme="minorHAnsi" w:cstheme="minorHAnsi"/>
          <w:sz w:val="24"/>
          <w:szCs w:val="24"/>
        </w:rPr>
        <w:t xml:space="preserve"> </w:t>
      </w:r>
      <w:r w:rsidR="00A63277" w:rsidRPr="00FA2E31">
        <w:rPr>
          <w:rFonts w:asciiTheme="minorHAnsi" w:hAnsiTheme="minorHAnsi" w:cstheme="minorHAnsi"/>
          <w:sz w:val="24"/>
          <w:szCs w:val="24"/>
        </w:rPr>
        <w:t>dni</w:t>
      </w:r>
      <w:r w:rsidR="000B01EA" w:rsidRPr="00FA2E31">
        <w:rPr>
          <w:rFonts w:asciiTheme="minorHAnsi" w:hAnsiTheme="minorHAnsi" w:cstheme="minorHAnsi"/>
          <w:sz w:val="24"/>
          <w:szCs w:val="24"/>
        </w:rPr>
        <w:t xml:space="preserve"> </w:t>
      </w:r>
      <w:r w:rsidR="00A63277" w:rsidRPr="00FA2E31">
        <w:rPr>
          <w:rFonts w:asciiTheme="minorHAnsi" w:hAnsiTheme="minorHAnsi" w:cstheme="minorHAnsi"/>
          <w:sz w:val="24"/>
          <w:szCs w:val="24"/>
        </w:rPr>
        <w:t xml:space="preserve">od dnia przyjęcia przez Zarząd Województwa Opolskiego – IZ </w:t>
      </w:r>
      <w:r w:rsidR="00E101D3" w:rsidRPr="00FA2E31">
        <w:rPr>
          <w:rFonts w:asciiTheme="minorHAnsi" w:hAnsiTheme="minorHAnsi" w:cstheme="minorHAnsi"/>
          <w:sz w:val="24"/>
          <w:szCs w:val="24"/>
        </w:rPr>
        <w:t xml:space="preserve">FEO 2021-2027 Uchwały </w:t>
      </w:r>
      <w:r w:rsidR="00A63277" w:rsidRPr="00FA2E31">
        <w:rPr>
          <w:rFonts w:asciiTheme="minorHAnsi" w:hAnsiTheme="minorHAnsi" w:cstheme="minorHAnsi"/>
          <w:sz w:val="24"/>
          <w:szCs w:val="24"/>
        </w:rPr>
        <w:t>o wyborze projektów do dofinansowania). W uzasadnionych przypadkach na prośbę Wnioskodawcy ZWO może wyrazić zgodę na wydłużenie ww. terminu</w:t>
      </w:r>
      <w:r w:rsidR="003E3759">
        <w:rPr>
          <w:rFonts w:asciiTheme="minorHAnsi" w:hAnsiTheme="minorHAnsi" w:cstheme="minorHAnsi"/>
          <w:sz w:val="24"/>
          <w:szCs w:val="24"/>
          <w:lang w:val="pl-PL"/>
        </w:rPr>
        <w:t>.</w:t>
      </w:r>
    </w:p>
    <w:p w14:paraId="5507217F" w14:textId="54095BC0" w:rsidR="003333F0" w:rsidRPr="003E59C2" w:rsidRDefault="003333F0" w:rsidP="003E59C2">
      <w:pPr>
        <w:spacing w:after="120" w:line="276" w:lineRule="auto"/>
        <w:rPr>
          <w:rFonts w:asciiTheme="minorHAnsi" w:eastAsia="Calibri" w:hAnsiTheme="minorHAnsi" w:cstheme="minorHAnsi"/>
          <w:szCs w:val="24"/>
          <w:lang w:val="x-none" w:eastAsia="en-US"/>
        </w:rPr>
      </w:pPr>
      <w:r w:rsidRPr="00024ABA">
        <w:rPr>
          <w:rFonts w:asciiTheme="minorHAnsi" w:eastAsia="Calibri" w:hAnsiTheme="minorHAnsi" w:cstheme="minorHAnsi"/>
          <w:b/>
          <w:bCs/>
          <w:szCs w:val="24"/>
          <w:lang w:val="x-none" w:eastAsia="en-US"/>
        </w:rPr>
        <w:t>Wnioskodawcy</w:t>
      </w:r>
      <w:r w:rsidR="009102E3" w:rsidRPr="00024ABA">
        <w:rPr>
          <w:rFonts w:asciiTheme="minorHAnsi" w:eastAsia="Calibri" w:hAnsiTheme="minorHAnsi" w:cstheme="minorHAnsi"/>
          <w:b/>
          <w:bCs/>
          <w:szCs w:val="24"/>
          <w:lang w:val="x-none" w:eastAsia="en-US"/>
        </w:rPr>
        <w:t>/Partnerzy</w:t>
      </w:r>
      <w:r w:rsidRPr="00024ABA">
        <w:rPr>
          <w:rFonts w:asciiTheme="minorHAnsi" w:eastAsia="Calibri" w:hAnsiTheme="minorHAnsi" w:cstheme="minorHAnsi"/>
          <w:b/>
          <w:bCs/>
          <w:szCs w:val="24"/>
          <w:lang w:val="x-none" w:eastAsia="en-US"/>
        </w:rPr>
        <w:t xml:space="preserve"> </w:t>
      </w:r>
      <w:r w:rsidR="00143B1C" w:rsidRPr="00024ABA">
        <w:rPr>
          <w:rFonts w:asciiTheme="minorHAnsi" w:eastAsia="Calibri" w:hAnsiTheme="minorHAnsi" w:cstheme="minorHAnsi"/>
          <w:b/>
          <w:bCs/>
          <w:szCs w:val="24"/>
          <w:lang w:val="x-none" w:eastAsia="en-US"/>
        </w:rPr>
        <w:t>nie</w:t>
      </w:r>
      <w:r w:rsidRPr="00024ABA">
        <w:rPr>
          <w:rFonts w:asciiTheme="minorHAnsi" w:eastAsia="Calibri" w:hAnsiTheme="minorHAnsi" w:cstheme="minorHAnsi"/>
          <w:b/>
          <w:bCs/>
          <w:szCs w:val="24"/>
          <w:lang w:val="x-none" w:eastAsia="en-US"/>
        </w:rPr>
        <w:t>będący JST</w:t>
      </w:r>
      <w:r w:rsidRPr="003E59C2">
        <w:rPr>
          <w:rFonts w:asciiTheme="minorHAnsi" w:eastAsia="Calibri" w:hAnsiTheme="minorHAnsi" w:cstheme="minorHAnsi"/>
          <w:szCs w:val="24"/>
          <w:lang w:val="x-none" w:eastAsia="en-US"/>
        </w:rPr>
        <w:t xml:space="preserve"> </w:t>
      </w:r>
      <w:r w:rsidR="00143B1C" w:rsidRPr="003E59C2">
        <w:rPr>
          <w:rFonts w:asciiTheme="minorHAnsi" w:eastAsia="Calibri" w:hAnsiTheme="minorHAnsi" w:cstheme="minorHAnsi"/>
          <w:szCs w:val="24"/>
          <w:lang w:val="x-none" w:eastAsia="en-US"/>
        </w:rPr>
        <w:t xml:space="preserve">lub będący jednostkami organizacyjnymi JST </w:t>
      </w:r>
      <w:r w:rsidRPr="003E59C2">
        <w:rPr>
          <w:rFonts w:asciiTheme="minorHAnsi" w:eastAsia="Calibri" w:hAnsiTheme="minorHAnsi" w:cstheme="minorHAnsi"/>
          <w:szCs w:val="24"/>
          <w:lang w:val="x-none" w:eastAsia="en-US"/>
        </w:rPr>
        <w:t xml:space="preserve">zobowiązani są do dostarczenia bilansu jednostki za ostatni rok. Jeżeli </w:t>
      </w:r>
      <w:r w:rsidR="00F850B4">
        <w:rPr>
          <w:rFonts w:asciiTheme="minorHAnsi" w:eastAsia="Calibri" w:hAnsiTheme="minorHAnsi" w:cstheme="minorHAnsi"/>
          <w:szCs w:val="24"/>
          <w:lang w:val="x-none" w:eastAsia="en-US"/>
        </w:rPr>
        <w:t>W</w:t>
      </w:r>
      <w:r w:rsidRPr="003E59C2">
        <w:rPr>
          <w:rFonts w:asciiTheme="minorHAnsi" w:eastAsia="Calibri" w:hAnsiTheme="minorHAnsi" w:cstheme="minorHAnsi"/>
          <w:szCs w:val="24"/>
          <w:lang w:val="x-none" w:eastAsia="en-US"/>
        </w:rPr>
        <w:t xml:space="preserve">nioskodawca </w:t>
      </w:r>
      <w:r w:rsidR="000B16A7">
        <w:rPr>
          <w:rFonts w:asciiTheme="minorHAnsi" w:eastAsia="Calibri" w:hAnsiTheme="minorHAnsi" w:cstheme="minorHAnsi"/>
          <w:szCs w:val="24"/>
          <w:lang w:val="x-none" w:eastAsia="en-US"/>
        </w:rPr>
        <w:br/>
      </w:r>
      <w:r w:rsidRPr="003E59C2">
        <w:rPr>
          <w:rFonts w:asciiTheme="minorHAnsi" w:eastAsia="Calibri" w:hAnsiTheme="minorHAnsi" w:cstheme="minorHAnsi"/>
          <w:szCs w:val="24"/>
          <w:lang w:val="x-none" w:eastAsia="en-US"/>
        </w:rPr>
        <w:t>nie posiada jeszcze bilansu za ostatni rok, powinien dołączyć bilans za rok przedostatni.</w:t>
      </w:r>
    </w:p>
    <w:p w14:paraId="6F232424" w14:textId="560305CC" w:rsidR="006F5369" w:rsidRDefault="006F5369" w:rsidP="003E59C2">
      <w:pPr>
        <w:spacing w:after="120" w:line="276" w:lineRule="auto"/>
        <w:rPr>
          <w:rFonts w:asciiTheme="minorHAnsi" w:eastAsia="Calibri" w:hAnsiTheme="minorHAnsi" w:cstheme="minorHAnsi"/>
          <w:szCs w:val="24"/>
          <w:lang w:val="x-none" w:eastAsia="en-US"/>
        </w:rPr>
      </w:pPr>
      <w:r w:rsidRPr="003E59C2">
        <w:rPr>
          <w:rFonts w:asciiTheme="minorHAnsi" w:eastAsia="Calibri" w:hAnsiTheme="minorHAnsi" w:cstheme="minorHAnsi"/>
          <w:szCs w:val="24"/>
          <w:lang w:val="x-none" w:eastAsia="en-US"/>
        </w:rPr>
        <w:t xml:space="preserve">Dodatkowo, </w:t>
      </w:r>
      <w:r w:rsidR="00A721F7" w:rsidRPr="00024ABA">
        <w:rPr>
          <w:rFonts w:asciiTheme="minorHAnsi" w:eastAsia="Calibri" w:hAnsiTheme="minorHAnsi" w:cstheme="minorHAnsi"/>
          <w:b/>
          <w:bCs/>
          <w:szCs w:val="24"/>
          <w:lang w:val="x-none" w:eastAsia="en-US"/>
        </w:rPr>
        <w:t>W</w:t>
      </w:r>
      <w:r w:rsidRPr="00024ABA">
        <w:rPr>
          <w:rFonts w:asciiTheme="minorHAnsi" w:eastAsia="Calibri" w:hAnsiTheme="minorHAnsi" w:cstheme="minorHAnsi"/>
          <w:b/>
          <w:bCs/>
          <w:szCs w:val="24"/>
          <w:lang w:val="x-none" w:eastAsia="en-US"/>
        </w:rPr>
        <w:t>nioskodawcy</w:t>
      </w:r>
      <w:r w:rsidR="00A42915" w:rsidRPr="00024ABA">
        <w:rPr>
          <w:rFonts w:asciiTheme="minorHAnsi" w:eastAsia="Calibri" w:hAnsiTheme="minorHAnsi" w:cstheme="minorHAnsi"/>
          <w:b/>
          <w:bCs/>
          <w:szCs w:val="24"/>
          <w:lang w:val="x-none" w:eastAsia="en-US"/>
        </w:rPr>
        <w:t>/Partnerzy</w:t>
      </w:r>
      <w:r w:rsidRPr="00024ABA">
        <w:rPr>
          <w:rFonts w:asciiTheme="minorHAnsi" w:eastAsia="Calibri" w:hAnsiTheme="minorHAnsi" w:cstheme="minorHAnsi"/>
          <w:b/>
          <w:bCs/>
          <w:szCs w:val="24"/>
          <w:lang w:val="x-none" w:eastAsia="en-US"/>
        </w:rPr>
        <w:t xml:space="preserve"> zaliczający się do przedsiębiorców</w:t>
      </w:r>
      <w:r w:rsidRPr="003E59C2">
        <w:rPr>
          <w:rFonts w:asciiTheme="minorHAnsi" w:eastAsia="Calibri" w:hAnsiTheme="minorHAnsi" w:cstheme="minorHAnsi"/>
          <w:szCs w:val="24"/>
          <w:lang w:val="x-none" w:eastAsia="en-US"/>
        </w:rPr>
        <w:t xml:space="preserve"> zobowiązani </w:t>
      </w:r>
      <w:r w:rsidR="000B16A7">
        <w:rPr>
          <w:rFonts w:asciiTheme="minorHAnsi" w:eastAsia="Calibri" w:hAnsiTheme="minorHAnsi" w:cstheme="minorHAnsi"/>
          <w:szCs w:val="24"/>
          <w:lang w:val="x-none" w:eastAsia="en-US"/>
        </w:rPr>
        <w:br/>
      </w:r>
      <w:r w:rsidRPr="003E59C2">
        <w:rPr>
          <w:rFonts w:asciiTheme="minorHAnsi" w:eastAsia="Calibri" w:hAnsiTheme="minorHAnsi" w:cstheme="minorHAnsi"/>
          <w:szCs w:val="24"/>
          <w:lang w:val="x-none" w:eastAsia="en-US"/>
        </w:rPr>
        <w:t xml:space="preserve">są w przypadku, gdy złożony przez nich projekt zostanie wybrany do dofinansowania </w:t>
      </w:r>
      <w:r w:rsidR="000B16A7">
        <w:rPr>
          <w:rFonts w:asciiTheme="minorHAnsi" w:eastAsia="Calibri" w:hAnsiTheme="minorHAnsi" w:cstheme="minorHAnsi"/>
          <w:szCs w:val="24"/>
          <w:lang w:val="x-none" w:eastAsia="en-US"/>
        </w:rPr>
        <w:br/>
      </w:r>
      <w:r w:rsidRPr="003E59C2">
        <w:rPr>
          <w:rFonts w:asciiTheme="minorHAnsi" w:eastAsia="Calibri" w:hAnsiTheme="minorHAnsi" w:cstheme="minorHAnsi"/>
          <w:szCs w:val="24"/>
          <w:lang w:val="x-none" w:eastAsia="en-US"/>
        </w:rPr>
        <w:t xml:space="preserve">do dostarczenia aktualnego zaświadczenia z Urzędu Skarbowego oraz ZUS o niezaleganiu </w:t>
      </w:r>
      <w:r w:rsidR="005B2988" w:rsidRPr="003E59C2">
        <w:rPr>
          <w:rFonts w:asciiTheme="minorHAnsi" w:eastAsia="Calibri" w:hAnsiTheme="minorHAnsi" w:cstheme="minorHAnsi"/>
          <w:szCs w:val="24"/>
          <w:lang w:val="x-none" w:eastAsia="en-US"/>
        </w:rPr>
        <w:br/>
      </w:r>
      <w:r w:rsidRPr="003E59C2">
        <w:rPr>
          <w:rFonts w:asciiTheme="minorHAnsi" w:eastAsia="Calibri" w:hAnsiTheme="minorHAnsi" w:cstheme="minorHAnsi"/>
          <w:szCs w:val="24"/>
          <w:lang w:val="x-none" w:eastAsia="en-US"/>
        </w:rPr>
        <w:t xml:space="preserve">z należnościami </w:t>
      </w:r>
      <w:r w:rsidR="00C44A60" w:rsidRPr="003E59C2">
        <w:rPr>
          <w:rFonts w:asciiTheme="minorHAnsi" w:eastAsia="Calibri" w:hAnsiTheme="minorHAnsi" w:cstheme="minorHAnsi"/>
          <w:szCs w:val="24"/>
          <w:lang w:val="x-none" w:eastAsia="en-US"/>
        </w:rPr>
        <w:t xml:space="preserve">w terminie do </w:t>
      </w:r>
      <w:r w:rsidR="00A42915" w:rsidRPr="003E59C2">
        <w:rPr>
          <w:rFonts w:asciiTheme="minorHAnsi" w:eastAsia="Calibri" w:hAnsiTheme="minorHAnsi" w:cstheme="minorHAnsi"/>
          <w:szCs w:val="24"/>
          <w:lang w:val="x-none" w:eastAsia="en-US"/>
        </w:rPr>
        <w:t xml:space="preserve">60 </w:t>
      </w:r>
      <w:r w:rsidRPr="003E59C2">
        <w:rPr>
          <w:rFonts w:asciiTheme="minorHAnsi" w:eastAsia="Calibri" w:hAnsiTheme="minorHAnsi" w:cstheme="minorHAnsi"/>
          <w:szCs w:val="24"/>
          <w:lang w:val="x-none" w:eastAsia="en-US"/>
        </w:rPr>
        <w:t>dni kalendarzowych licząc od dnia następnego od decyzji ZWO o wyborze projektu do dofinansowania. W uzasadnionych przypadkach na prośbę Wnioskodawcy ZWO może wyrazić zgodę na wydłużenie ww. terminu.</w:t>
      </w:r>
      <w:r w:rsidR="00CB1BD7">
        <w:rPr>
          <w:rFonts w:asciiTheme="minorHAnsi" w:eastAsia="Calibri" w:hAnsiTheme="minorHAnsi" w:cstheme="minorHAnsi"/>
          <w:szCs w:val="24"/>
          <w:lang w:val="x-none" w:eastAsia="en-US"/>
        </w:rPr>
        <w:t xml:space="preserve"> </w:t>
      </w:r>
      <w:r w:rsidR="00CB1BD7" w:rsidRPr="00BA2216">
        <w:rPr>
          <w:rFonts w:asciiTheme="minorHAnsi" w:hAnsiTheme="minorHAnsi" w:cstheme="minorHAnsi"/>
          <w:b/>
          <w:szCs w:val="24"/>
          <w:u w:val="single"/>
        </w:rPr>
        <w:t>W przypadku braku dostarczenia przez Wnioskodawcę przedmiotowych dokumentów w ww. terminie, projekt utraci możliwość uzyskania dofinansowania.</w:t>
      </w:r>
    </w:p>
    <w:p w14:paraId="6B3C38B0" w14:textId="77777777" w:rsidR="000B16A7" w:rsidRPr="003E59C2" w:rsidRDefault="000B16A7" w:rsidP="003E59C2">
      <w:pPr>
        <w:spacing w:after="120" w:line="276" w:lineRule="auto"/>
        <w:rPr>
          <w:rFonts w:asciiTheme="minorHAnsi" w:eastAsia="Calibri" w:hAnsiTheme="minorHAnsi" w:cstheme="minorHAnsi"/>
          <w:szCs w:val="24"/>
          <w:lang w:val="x-none" w:eastAsia="en-US"/>
        </w:rPr>
      </w:pPr>
    </w:p>
    <w:p w14:paraId="322E5AB6" w14:textId="00579DC5" w:rsidR="000239A4" w:rsidRPr="009D0CDD" w:rsidRDefault="00A63277" w:rsidP="0071603D">
      <w:pPr>
        <w:spacing w:after="120" w:line="276" w:lineRule="auto"/>
        <w:rPr>
          <w:rFonts w:ascii="Calibri" w:hAnsi="Calibri"/>
          <w:szCs w:val="24"/>
        </w:rPr>
      </w:pPr>
      <w:r w:rsidRPr="004B77D6">
        <w:rPr>
          <w:rFonts w:ascii="Calibri" w:hAnsi="Calibri"/>
          <w:b/>
          <w:szCs w:val="24"/>
        </w:rPr>
        <w:t xml:space="preserve">Ponadto na każdym etapie oceny </w:t>
      </w:r>
      <w:r w:rsidR="00A721F7" w:rsidRPr="004B77D6">
        <w:rPr>
          <w:rFonts w:ascii="Calibri" w:hAnsi="Calibri"/>
          <w:b/>
          <w:szCs w:val="24"/>
        </w:rPr>
        <w:t>W</w:t>
      </w:r>
      <w:r w:rsidRPr="004B77D6">
        <w:rPr>
          <w:rFonts w:ascii="Calibri" w:hAnsi="Calibri"/>
          <w:b/>
          <w:szCs w:val="24"/>
        </w:rPr>
        <w:t>nioskodaw</w:t>
      </w:r>
      <w:r w:rsidR="000B01EA" w:rsidRPr="004B77D6">
        <w:rPr>
          <w:rFonts w:ascii="Calibri" w:hAnsi="Calibri"/>
          <w:b/>
          <w:szCs w:val="24"/>
        </w:rPr>
        <w:t>ca</w:t>
      </w:r>
      <w:r w:rsidR="00A42915">
        <w:rPr>
          <w:rFonts w:ascii="Calibri" w:hAnsi="Calibri"/>
          <w:b/>
          <w:szCs w:val="24"/>
        </w:rPr>
        <w:t>/Partner</w:t>
      </w:r>
      <w:r w:rsidR="000B01EA" w:rsidRPr="004B77D6">
        <w:rPr>
          <w:rFonts w:ascii="Calibri" w:hAnsi="Calibri"/>
          <w:b/>
          <w:szCs w:val="24"/>
        </w:rPr>
        <w:t xml:space="preserve"> m</w:t>
      </w:r>
      <w:r w:rsidR="00FA2E31">
        <w:rPr>
          <w:rFonts w:ascii="Calibri" w:hAnsi="Calibri"/>
          <w:b/>
          <w:szCs w:val="24"/>
        </w:rPr>
        <w:t xml:space="preserve">oże zostać wezwany przez </w:t>
      </w:r>
      <w:r w:rsidR="000B16A7">
        <w:rPr>
          <w:rFonts w:ascii="Calibri" w:hAnsi="Calibri"/>
          <w:b/>
          <w:szCs w:val="24"/>
        </w:rPr>
        <w:br/>
      </w:r>
      <w:r w:rsidR="00FA2E31">
        <w:rPr>
          <w:rFonts w:ascii="Calibri" w:hAnsi="Calibri"/>
          <w:b/>
          <w:szCs w:val="24"/>
        </w:rPr>
        <w:t>IZ</w:t>
      </w:r>
      <w:r w:rsidRPr="004B77D6">
        <w:rPr>
          <w:rFonts w:ascii="Calibri" w:hAnsi="Calibri"/>
          <w:b/>
          <w:szCs w:val="24"/>
        </w:rPr>
        <w:t xml:space="preserve"> do uzupełnienia niezbędnych dokumentów w celu przeprowadzania oceny projektów, </w:t>
      </w:r>
      <w:r w:rsidR="00774B4F">
        <w:rPr>
          <w:rFonts w:ascii="Calibri" w:hAnsi="Calibri"/>
          <w:b/>
          <w:szCs w:val="24"/>
        </w:rPr>
        <w:br/>
      </w:r>
      <w:r w:rsidRPr="004B77D6">
        <w:rPr>
          <w:rFonts w:ascii="Calibri" w:hAnsi="Calibri"/>
          <w:b/>
          <w:szCs w:val="24"/>
        </w:rPr>
        <w:t>a także dokonania weryfikacji prawidłowości zawartych w nim danych.</w:t>
      </w:r>
    </w:p>
    <w:p w14:paraId="237DB51F" w14:textId="77777777" w:rsidR="00707FDF" w:rsidRPr="00E1495E" w:rsidRDefault="00707FDF" w:rsidP="00CB1BD7">
      <w:pPr>
        <w:spacing w:after="120" w:line="276" w:lineRule="auto"/>
        <w:jc w:val="both"/>
        <w:rPr>
          <w:rFonts w:ascii="Calibri" w:hAnsi="Calibri"/>
          <w:b/>
          <w:bCs/>
          <w:sz w:val="22"/>
          <w:szCs w:val="22"/>
        </w:rPr>
      </w:pPr>
    </w:p>
    <w:sectPr w:rsidR="00707FDF" w:rsidRPr="00E1495E" w:rsidSect="00385756">
      <w:headerReference w:type="default" r:id="rId20"/>
      <w:footerReference w:type="even" r:id="rId21"/>
      <w:footerReference w:type="default" r:id="rId22"/>
      <w:headerReference w:type="first" r:id="rId23"/>
      <w:pgSz w:w="11906" w:h="16838"/>
      <w:pgMar w:top="1418" w:right="1418" w:bottom="1418" w:left="1418" w:header="425" w:footer="28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99ED6D" w14:textId="77777777" w:rsidR="004B2149" w:rsidRDefault="004B2149">
      <w:r>
        <w:separator/>
      </w:r>
    </w:p>
  </w:endnote>
  <w:endnote w:type="continuationSeparator" w:id="0">
    <w:p w14:paraId="217225CC" w14:textId="77777777" w:rsidR="004B2149" w:rsidRDefault="004B2149">
      <w:r>
        <w:continuationSeparator/>
      </w:r>
    </w:p>
  </w:endnote>
  <w:endnote w:type="continuationNotice" w:id="1">
    <w:p w14:paraId="0B764E3C" w14:textId="77777777" w:rsidR="004B2149" w:rsidRDefault="004B21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Black">
    <w:panose1 w:val="020B0A04020102020204"/>
    <w:charset w:val="EE"/>
    <w:family w:val="swiss"/>
    <w:pitch w:val="variable"/>
    <w:sig w:usb0="A00002AF" w:usb1="400078F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Palatino Linotype">
    <w:panose1 w:val="02040502050505030304"/>
    <w:charset w:val="EE"/>
    <w:family w:val="roman"/>
    <w:pitch w:val="variable"/>
    <w:sig w:usb0="E0000287" w:usb1="40000013" w:usb2="00000000" w:usb3="00000000" w:csb0="0000019F" w:csb1="00000000"/>
  </w:font>
  <w:font w:name="Sylfaen">
    <w:panose1 w:val="010A0502050306030303"/>
    <w:charset w:val="EE"/>
    <w:family w:val="roman"/>
    <w:pitch w:val="variable"/>
    <w:sig w:usb0="04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NewRoman">
    <w:altName w:val="Arial Unicode MS"/>
    <w:panose1 w:val="00000000000000000000"/>
    <w:charset w:val="80"/>
    <w:family w:val="auto"/>
    <w:notTrueType/>
    <w:pitch w:val="default"/>
    <w:sig w:usb0="00000003" w:usb1="08070000" w:usb2="00000010" w:usb3="00000000" w:csb0="0002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AA36E" w14:textId="77777777" w:rsidR="00044260" w:rsidRDefault="00044260" w:rsidP="001B61B6">
    <w:pPr>
      <w:pStyle w:val="Stopka"/>
      <w:framePr w:wrap="around" w:vAnchor="text" w:hAnchor="margin" w:xAlign="outside" w:y="1"/>
      <w:rPr>
        <w:rStyle w:val="Numerstrony"/>
      </w:rPr>
    </w:pPr>
    <w:r>
      <w:rPr>
        <w:rStyle w:val="Numerstrony"/>
      </w:rPr>
      <w:fldChar w:fldCharType="begin"/>
    </w:r>
    <w:r>
      <w:rPr>
        <w:rStyle w:val="Numerstrony"/>
      </w:rPr>
      <w:instrText xml:space="preserve">PAGE  </w:instrText>
    </w:r>
    <w:r>
      <w:rPr>
        <w:rStyle w:val="Numerstrony"/>
      </w:rPr>
      <w:fldChar w:fldCharType="end"/>
    </w:r>
  </w:p>
  <w:p w14:paraId="334C769F" w14:textId="77777777" w:rsidR="00044260" w:rsidRDefault="00044260" w:rsidP="001B61B6">
    <w:pPr>
      <w:pStyle w:val="Stopka"/>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B0332" w14:textId="77777777" w:rsidR="00044260" w:rsidRPr="0061182C" w:rsidRDefault="00044260">
    <w:pPr>
      <w:pStyle w:val="Stopka"/>
      <w:jc w:val="center"/>
      <w:rPr>
        <w:rFonts w:ascii="Calibri" w:hAnsi="Calibri"/>
        <w:sz w:val="22"/>
        <w:szCs w:val="22"/>
      </w:rPr>
    </w:pPr>
    <w:r w:rsidRPr="0061182C">
      <w:rPr>
        <w:rFonts w:ascii="Calibri" w:hAnsi="Calibri"/>
        <w:sz w:val="22"/>
        <w:szCs w:val="22"/>
      </w:rPr>
      <w:fldChar w:fldCharType="begin"/>
    </w:r>
    <w:r w:rsidRPr="0061182C">
      <w:rPr>
        <w:rFonts w:ascii="Calibri" w:hAnsi="Calibri"/>
        <w:sz w:val="22"/>
        <w:szCs w:val="22"/>
      </w:rPr>
      <w:instrText>PAGE   \* MERGEFORMAT</w:instrText>
    </w:r>
    <w:r w:rsidRPr="0061182C">
      <w:rPr>
        <w:rFonts w:ascii="Calibri" w:hAnsi="Calibri"/>
        <w:sz w:val="22"/>
        <w:szCs w:val="22"/>
      </w:rPr>
      <w:fldChar w:fldCharType="separate"/>
    </w:r>
    <w:r w:rsidR="00F20DE9">
      <w:rPr>
        <w:rFonts w:ascii="Calibri" w:hAnsi="Calibri"/>
        <w:noProof/>
        <w:sz w:val="22"/>
        <w:szCs w:val="22"/>
      </w:rPr>
      <w:t>63</w:t>
    </w:r>
    <w:r w:rsidRPr="0061182C">
      <w:rPr>
        <w:rFonts w:ascii="Calibri" w:hAnsi="Calibri"/>
        <w:sz w:val="22"/>
        <w:szCs w:val="22"/>
      </w:rPr>
      <w:fldChar w:fldCharType="end"/>
    </w:r>
  </w:p>
  <w:p w14:paraId="7D666795" w14:textId="77777777" w:rsidR="00044260" w:rsidRDefault="0004426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A5D643" w14:textId="77777777" w:rsidR="004B2149" w:rsidRDefault="004B2149">
      <w:r>
        <w:separator/>
      </w:r>
    </w:p>
  </w:footnote>
  <w:footnote w:type="continuationSeparator" w:id="0">
    <w:p w14:paraId="6B679ECF" w14:textId="77777777" w:rsidR="004B2149" w:rsidRDefault="004B2149">
      <w:r>
        <w:continuationSeparator/>
      </w:r>
    </w:p>
  </w:footnote>
  <w:footnote w:type="continuationNotice" w:id="1">
    <w:p w14:paraId="3646DDDB" w14:textId="77777777" w:rsidR="004B2149" w:rsidRDefault="004B2149"/>
  </w:footnote>
  <w:footnote w:id="2">
    <w:p w14:paraId="6AE3D985" w14:textId="1990475D" w:rsidR="00044260" w:rsidRPr="00AD1CCA" w:rsidRDefault="00044260" w:rsidP="0011322D">
      <w:pPr>
        <w:pStyle w:val="Tekstprzypisudolnego"/>
        <w:rPr>
          <w:sz w:val="16"/>
        </w:rPr>
      </w:pPr>
      <w:r w:rsidRPr="0011322D">
        <w:rPr>
          <w:vertAlign w:val="superscript"/>
        </w:rPr>
        <w:t>8</w:t>
      </w:r>
      <w:r w:rsidRPr="0011322D">
        <w:rPr>
          <w:rStyle w:val="Odwoanieprzypisudolnego"/>
          <w:rFonts w:cs="Arial"/>
          <w:color w:val="FFFFFF"/>
          <w:szCs w:val="22"/>
        </w:rPr>
        <w:footnoteRef/>
      </w:r>
      <w:r w:rsidRPr="0011322D">
        <w:t xml:space="preserve">Jeżeli na rzecz projektu wnoszony jest wkład niepieniężny (w rozumieniu Wytycznych </w:t>
      </w:r>
      <w:r w:rsidRPr="0011322D">
        <w:rPr>
          <w:lang w:val="pl-PL"/>
        </w:rPr>
        <w:t>dotyczących</w:t>
      </w:r>
      <w:r w:rsidRPr="0011322D">
        <w:t xml:space="preserve"> kwalifikowalności wydatków</w:t>
      </w:r>
      <w:r w:rsidRPr="0011322D">
        <w:rPr>
          <w:lang w:val="pl-PL"/>
        </w:rPr>
        <w:t xml:space="preserve"> na lata 2021-2027) </w:t>
      </w:r>
      <w:r w:rsidRPr="0011322D">
        <w:t xml:space="preserve">powinien on również zostać uwzględniony w nakładach inwestycyjnych oraz przy określaniu wartości rezydualnej. </w:t>
      </w:r>
    </w:p>
  </w:footnote>
  <w:footnote w:id="3">
    <w:p w14:paraId="00DEF9B6" w14:textId="77777777" w:rsidR="00044260" w:rsidRPr="0011322D" w:rsidRDefault="00044260" w:rsidP="0011322D">
      <w:pPr>
        <w:pStyle w:val="Tekstprzypisudolnego"/>
      </w:pPr>
      <w:r w:rsidRPr="0011322D">
        <w:rPr>
          <w:vertAlign w:val="superscript"/>
        </w:rPr>
        <w:t xml:space="preserve">9 </w:t>
      </w:r>
      <w:r w:rsidRPr="0011322D">
        <w:t>Szerzej patrz: Opłata za dostępność. Interpretacja prawna i finansowa pojęcia wraz z opinią na temat wybranych zagadnień dotyczących podziału ryzyk, wpływu na dług publiczny oraz klasyfikacji opłaty za dostępność w budżetach podmiotów publicznych. Warszawa, marzec 2012. Publikacja dostępna pod adresem: www.ppp.gov.pl</w:t>
      </w:r>
    </w:p>
  </w:footnote>
  <w:footnote w:id="4">
    <w:p w14:paraId="6BD4CEB8" w14:textId="77777777" w:rsidR="00044260" w:rsidRPr="0011322D" w:rsidRDefault="00044260" w:rsidP="0011322D">
      <w:pPr>
        <w:pStyle w:val="Tekstprzypisudolnego"/>
      </w:pPr>
      <w:r w:rsidRPr="0011322D">
        <w:rPr>
          <w:rFonts w:asciiTheme="minorHAnsi" w:hAnsiTheme="minorHAnsi" w:cstheme="minorHAnsi"/>
          <w:vertAlign w:val="superscript"/>
        </w:rPr>
        <w:footnoteRef/>
      </w:r>
      <w:r w:rsidRPr="0011322D">
        <w:rPr>
          <w:rFonts w:asciiTheme="minorHAnsi" w:hAnsiTheme="minorHAnsi" w:cstheme="minorHAnsi"/>
          <w:vertAlign w:val="superscript"/>
        </w:rPr>
        <w:t xml:space="preserve"> </w:t>
      </w:r>
      <w:r w:rsidRPr="0011322D">
        <w:t>Dokument dostępny jest pod adresem:</w:t>
      </w:r>
    </w:p>
    <w:p w14:paraId="5E0B5078" w14:textId="77777777" w:rsidR="00044260" w:rsidRDefault="00044260" w:rsidP="0011322D">
      <w:pPr>
        <w:pStyle w:val="Tekstprzypisudolnego"/>
      </w:pPr>
      <w:hyperlink r:id="rId1" w:history="1">
        <w:r w:rsidRPr="0011322D">
          <w:rPr>
            <w:rStyle w:val="Hipercze"/>
            <w:rFonts w:cs="Arial"/>
            <w:szCs w:val="36"/>
          </w:rPr>
          <w:t>https://www.funduszeeuropejskie.gov.pl/strony/o-funduszach/dokumenty/wytyczne-ministra-infrastruktury-i-rozwoju-w-zakresie-zagadnien-zwiazanych-z-przygotowaniem-projektow-inwestycyjnych-w-tym-projektow-generujacych-dochod-i-projektow-hybrydowych-na-lata-2014-2020-1/</w:t>
        </w:r>
      </w:hyperlink>
    </w:p>
  </w:footnote>
  <w:footnote w:id="5">
    <w:p w14:paraId="6B171707" w14:textId="77777777" w:rsidR="00044260" w:rsidRPr="0011322D" w:rsidRDefault="00044260" w:rsidP="0011322D">
      <w:pPr>
        <w:pStyle w:val="Tekstprzypisudolnego"/>
      </w:pPr>
      <w:r w:rsidRPr="0011322D">
        <w:rPr>
          <w:rStyle w:val="Odwoanieprzypisudolnego"/>
          <w:szCs w:val="22"/>
        </w:rPr>
        <w:footnoteRef/>
      </w:r>
      <w:r w:rsidRPr="0011322D">
        <w:t xml:space="preserve"> Jeśli beneficjent równolegle do projektu UE prowadzi jeszcze inną inwestycję, to w scenariuszu bezinwestycyjnym i inwestycyjnym należy ująć wszystkie przepływy finansowe związane z tą inną inwestycją, w tym nakłady inwestycyjne, koszty operacyjne i przychody. Jeśli na przykład przedsiębiorstwo komunikacji publicznej aktualnie kupuje 20 autobusów, z czego tylko 15 stanowi projekt UE, to w scenariuszu bezinwestycyjnym pokazujemy zakup 5 autobusów, natomiast w scenariuszu inwestycyjnym zakup 20 autobusów, w podziale na projekt UE (15 autobusów) i pozostałe inwestycje (5 autobusów). Scenariusz inwestycyjny będzie w takim ujęciu pokazywał rzeczywistą sytuację przedsiębiorstwa, czyli 20 nowych autobusów w procesie inwestycyjnym, a potem w eksploatacji. Jednocześnie, przepływy różnicowe dotyczyć będą tylko 15 autobusów objętych projektem UE.</w:t>
      </w:r>
    </w:p>
  </w:footnote>
  <w:footnote w:id="6">
    <w:p w14:paraId="23B5C997" w14:textId="392DA311" w:rsidR="00044260" w:rsidRPr="00B34EE2" w:rsidRDefault="00044260" w:rsidP="0011322D">
      <w:pPr>
        <w:pStyle w:val="Tekstprzypisudolnego"/>
        <w:rPr>
          <w:lang w:val="pl-PL"/>
        </w:rPr>
      </w:pPr>
      <w:r w:rsidRPr="0011322D">
        <w:rPr>
          <w:rStyle w:val="Odwoanieprzypisudolnego"/>
        </w:rPr>
        <w:footnoteRef/>
      </w:r>
      <w:r w:rsidRPr="0011322D">
        <w:t xml:space="preserve"> Dokument (w wersji angielskojęzycznej oraz polskojęzycznej [robocze tłumaczenie MFiPR]) dostępny jest w Portalu Funduszy Europejskich (https://www.funduszeeuropejskie.gov.pl/)</w:t>
      </w:r>
      <w:r w:rsidRPr="0011322D">
        <w:rPr>
          <w:lang w:val="pl-PL"/>
        </w:rPr>
        <w:t>.</w:t>
      </w:r>
    </w:p>
  </w:footnote>
  <w:footnote w:id="7">
    <w:p w14:paraId="63445AA2" w14:textId="7F7278EC" w:rsidR="00044260" w:rsidRPr="00B34EE2" w:rsidRDefault="00044260" w:rsidP="0011322D">
      <w:pPr>
        <w:pStyle w:val="Tekstprzypisudolnego"/>
        <w:rPr>
          <w:lang w:val="pl-PL"/>
        </w:rPr>
      </w:pPr>
      <w:r w:rsidRPr="0011322D">
        <w:rPr>
          <w:rStyle w:val="Odwoanieprzypisudolnego"/>
        </w:rPr>
        <w:footnoteRef/>
      </w:r>
      <w:r w:rsidRPr="0011322D">
        <w:t xml:space="preserve"> Dla przykładu: 1) Budynek urzędu gminy – po realizacji projektu nadal będzie służył do tych samych celów, a ponadto nie będzie możliwości jego sprzedaży. 2) Budynek biurowy – jest prawdopodobne, że po zakończeniu okresu odniesienia zmieni swoją obecną funkcję, a ponadto może on zostać sprzedany.</w:t>
      </w:r>
    </w:p>
  </w:footnote>
  <w:footnote w:id="8">
    <w:p w14:paraId="5BC8E197" w14:textId="32E0D902" w:rsidR="00044260" w:rsidRPr="00316531" w:rsidRDefault="00044260" w:rsidP="0011322D">
      <w:pPr>
        <w:pStyle w:val="Tekstprzypisudolnego"/>
        <w:rPr>
          <w:sz w:val="16"/>
          <w:lang w:val="pl-PL"/>
        </w:rPr>
      </w:pPr>
      <w:r w:rsidRPr="00257C1B">
        <w:rPr>
          <w:rStyle w:val="Odwoanieprzypisudolnego"/>
          <w:szCs w:val="16"/>
        </w:rPr>
        <w:footnoteRef/>
      </w:r>
      <w:r w:rsidRPr="00257C1B">
        <w:t xml:space="preserve"> Patrz: Podrozdział </w:t>
      </w:r>
      <w:r>
        <w:t xml:space="preserve">6.6 </w:t>
      </w:r>
      <w:r w:rsidRPr="00316531">
        <w:t>Wytyczn</w:t>
      </w:r>
      <w:r w:rsidRPr="00316531">
        <w:rPr>
          <w:lang w:val="pl-PL"/>
        </w:rPr>
        <w:t>ych</w:t>
      </w:r>
      <w:r w:rsidRPr="00316531">
        <w:t xml:space="preserve"> dotycząc</w:t>
      </w:r>
      <w:r w:rsidRPr="00316531">
        <w:rPr>
          <w:lang w:val="pl-PL"/>
        </w:rPr>
        <w:t>ych</w:t>
      </w:r>
      <w:r w:rsidRPr="00316531">
        <w:t xml:space="preserve"> zagadnień związanych z przygotowaniem projektów inwestycyjnych, w tym hybrydowych na lata 2021-2027</w:t>
      </w:r>
      <w:r w:rsidRPr="00316531">
        <w:rPr>
          <w:lang w:val="pl-PL"/>
        </w:rPr>
        <w:t>.</w:t>
      </w:r>
    </w:p>
  </w:footnote>
  <w:footnote w:id="9">
    <w:p w14:paraId="448343FC" w14:textId="77777777" w:rsidR="00044260" w:rsidRPr="00AF63AD" w:rsidRDefault="00044260" w:rsidP="0011322D">
      <w:pPr>
        <w:pStyle w:val="Tekstprzypisudolnego"/>
        <w:rPr>
          <w:sz w:val="16"/>
        </w:rPr>
      </w:pPr>
      <w:r w:rsidRPr="00257C1B">
        <w:rPr>
          <w:rStyle w:val="Odwoanieprzypisudolnego"/>
          <w:szCs w:val="16"/>
        </w:rPr>
        <w:footnoteRef/>
      </w:r>
      <w:r w:rsidRPr="00257C1B">
        <w:t xml:space="preserve"> Sektorów, których celem jest realizacja usług ogólnego interesu gospodarczego – usług, które nie byłyby świadczone na rynku (lub byłyby świadczone na innych warunkach, jeżeli chodzi o jakość, bezpieczeństwo, przystępność cenową, równe traktowanie czy powszechny dostęp) bez interwencji publicznej.  </w:t>
      </w:r>
    </w:p>
  </w:footnote>
  <w:footnote w:id="10">
    <w:p w14:paraId="4B4BF4B6" w14:textId="28F5773A" w:rsidR="00044260" w:rsidRPr="00257C1B" w:rsidRDefault="00044260" w:rsidP="0011322D">
      <w:pPr>
        <w:pStyle w:val="Tekstprzypisudolnego"/>
      </w:pPr>
      <w:r w:rsidRPr="00257C1B">
        <w:rPr>
          <w:rStyle w:val="Odwoanieprzypisudolnego"/>
          <w:szCs w:val="16"/>
        </w:rPr>
        <w:footnoteRef/>
      </w:r>
      <w:r w:rsidRPr="00257C1B">
        <w:t xml:space="preserve"> Instytucja zarządzająca powinna zobowiązać beneficjenta do przedstawienia we wniosku o dofinansowanie bardziej szczegółowych danych, np. opisania sposobu zdefiniowania kategorii prawdopodobieństwa oraz wskazania, po czyjej stronie znajduje się ryzyko (np. beneficjenta, wykonawców itp.). Ponadto, w przypadku uwzględnienia przez beneficjent w wartości całkowitej projektu rezerwy na nieprzewidziane wydatki, instytucja zarządzająca może zobowiązać beneficjenta do uwzględnienia tej okoliczności w jakościowej analizie ryzyka oraz uzasadnienia takiego podejścia.</w:t>
      </w:r>
    </w:p>
  </w:footnote>
  <w:footnote w:id="11">
    <w:p w14:paraId="3BF7CAC6" w14:textId="77777777" w:rsidR="00044260" w:rsidRPr="00AF63AD" w:rsidRDefault="00044260" w:rsidP="0011322D">
      <w:pPr>
        <w:pStyle w:val="Tekstprzypisudolnego"/>
        <w:rPr>
          <w:sz w:val="16"/>
        </w:rPr>
      </w:pPr>
      <w:r w:rsidRPr="00257C1B">
        <w:rPr>
          <w:rStyle w:val="Odwoanieprzypisudolnego"/>
          <w:szCs w:val="16"/>
        </w:rPr>
        <w:footnoteRef/>
      </w:r>
      <w:r w:rsidRPr="00257C1B">
        <w:t xml:space="preserve"> W szczególności można wziąć pod uwagę podejście wskazane w </w:t>
      </w:r>
      <w:r w:rsidRPr="00257C1B">
        <w:rPr>
          <w:i/>
        </w:rPr>
        <w:t>Przewodniku AKK</w:t>
      </w:r>
      <w:r w:rsidRPr="00257C1B">
        <w:t>, wersja polskojęzyczna,</w:t>
      </w:r>
      <w:r w:rsidRPr="00257C1B">
        <w:rPr>
          <w:i/>
        </w:rPr>
        <w:t xml:space="preserve"> </w:t>
      </w:r>
      <w:r w:rsidRPr="00257C1B">
        <w:t>str. 65 i nast</w:t>
      </w:r>
      <w:r w:rsidRPr="00257C1B">
        <w:rPr>
          <w:i/>
        </w:rPr>
        <w:t xml:space="preserve">.  </w:t>
      </w:r>
    </w:p>
  </w:footnote>
  <w:footnote w:id="12">
    <w:p w14:paraId="2C2AF3E9" w14:textId="77777777" w:rsidR="00044260" w:rsidRPr="00AF63AD" w:rsidRDefault="00044260" w:rsidP="0011322D">
      <w:pPr>
        <w:pStyle w:val="Tekstprzypisudolnego"/>
        <w:rPr>
          <w:sz w:val="16"/>
        </w:rPr>
      </w:pPr>
      <w:r w:rsidRPr="00257C1B">
        <w:rPr>
          <w:rStyle w:val="Odwoanieprzypisudolnego"/>
          <w:szCs w:val="16"/>
        </w:rPr>
        <w:footnoteRef/>
      </w:r>
      <w:r w:rsidRPr="00257C1B">
        <w:t xml:space="preserve"> Szerzej patrz: Podrozdział 2.9.3. Probabilistyczna ocena ryzyka Przewodnika AKK.</w:t>
      </w:r>
    </w:p>
  </w:footnote>
  <w:footnote w:id="13">
    <w:p w14:paraId="6CCA715A" w14:textId="77777777" w:rsidR="004A44B0" w:rsidRPr="00AD1CCA" w:rsidRDefault="004A44B0" w:rsidP="0011322D">
      <w:pPr>
        <w:pStyle w:val="Tekstprzypisudolnego"/>
        <w:rPr>
          <w:sz w:val="16"/>
        </w:rPr>
      </w:pPr>
      <w:r w:rsidRPr="00257C1B">
        <w:rPr>
          <w:vertAlign w:val="superscript"/>
        </w:rPr>
        <w:t>8</w:t>
      </w:r>
      <w:r w:rsidRPr="00257C1B">
        <w:rPr>
          <w:rStyle w:val="Odwoanieprzypisudolnego"/>
          <w:rFonts w:cs="Arial"/>
          <w:color w:val="FFFFFF"/>
          <w:szCs w:val="16"/>
        </w:rPr>
        <w:footnoteRef/>
      </w:r>
      <w:r w:rsidRPr="00257C1B">
        <w:t xml:space="preserve">Jeżeli na rzecz projektu wnoszony jest wkład niepieniężny (w rozumieniu Wytycznych </w:t>
      </w:r>
      <w:r>
        <w:rPr>
          <w:lang w:val="pl-PL"/>
        </w:rPr>
        <w:t>dotyczących</w:t>
      </w:r>
      <w:r w:rsidRPr="00257C1B">
        <w:t xml:space="preserve"> kwalifikowalności wydatków</w:t>
      </w:r>
      <w:r>
        <w:rPr>
          <w:lang w:val="pl-PL"/>
        </w:rPr>
        <w:t xml:space="preserve"> na lata 2021-2027) </w:t>
      </w:r>
      <w:r w:rsidRPr="00257C1B">
        <w:t xml:space="preserve">powinien on również zostać uwzględniony w nakładach inwestycyjnych oraz przy określaniu wartości rezydualnej.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223C1" w14:textId="28C8DCE9" w:rsidR="00866E28" w:rsidRDefault="00044260" w:rsidP="008706DB">
    <w:pPr>
      <w:autoSpaceDE w:val="0"/>
      <w:autoSpaceDN w:val="0"/>
      <w:rPr>
        <w:iCs/>
        <w:szCs w:val="24"/>
      </w:rPr>
    </w:pPr>
    <w:r w:rsidRPr="00C2071D">
      <w:rPr>
        <w:rFonts w:asciiTheme="minorHAnsi" w:eastAsia="Arial" w:hAnsiTheme="minorHAnsi" w:cstheme="minorHAnsi"/>
        <w:b/>
      </w:rPr>
      <w:t>Załącznik nr 6</w:t>
    </w:r>
    <w:r w:rsidR="00F26FC0">
      <w:rPr>
        <w:rFonts w:asciiTheme="minorHAnsi" w:eastAsia="Arial" w:hAnsiTheme="minorHAnsi" w:cstheme="minorHAnsi"/>
        <w:b/>
      </w:rPr>
      <w:t xml:space="preserve"> </w:t>
    </w:r>
    <w:r w:rsidRPr="00C2071D">
      <w:rPr>
        <w:rFonts w:asciiTheme="minorHAnsi" w:hAnsiTheme="minorHAnsi" w:cstheme="minorHAnsi"/>
        <w:iCs/>
        <w:szCs w:val="24"/>
        <w:lang w:eastAsia="en-US"/>
      </w:rPr>
      <w:t xml:space="preserve">do Regulaminu wyboru projektów </w:t>
    </w:r>
    <w:r w:rsidRPr="00C2071D">
      <w:rPr>
        <w:rFonts w:asciiTheme="minorHAnsi" w:hAnsiTheme="minorHAnsi" w:cstheme="minorHAnsi"/>
        <w:iCs/>
        <w:szCs w:val="24"/>
        <w:lang w:eastAsia="en-US"/>
      </w:rPr>
      <w:br/>
    </w:r>
    <w:r w:rsidR="00854A1A" w:rsidRPr="00854A1A">
      <w:rPr>
        <w:rFonts w:asciiTheme="minorHAnsi" w:hAnsiTheme="minorHAnsi" w:cstheme="minorHAnsi"/>
        <w:iCs/>
        <w:szCs w:val="24"/>
        <w:lang w:eastAsia="en-US"/>
      </w:rPr>
      <w:t xml:space="preserve">Działanie </w:t>
    </w:r>
    <w:bookmarkStart w:id="731" w:name="_Hlk155694420"/>
    <w:r w:rsidR="00633984">
      <w:rPr>
        <w:rFonts w:asciiTheme="minorHAnsi" w:hAnsiTheme="minorHAnsi" w:cstheme="minorHAnsi"/>
        <w:iCs/>
        <w:szCs w:val="24"/>
        <w:lang w:eastAsia="en-US"/>
      </w:rPr>
      <w:t>2.5</w:t>
    </w:r>
    <w:r w:rsidR="00FE5AE4">
      <w:rPr>
        <w:rFonts w:asciiTheme="minorHAnsi" w:hAnsiTheme="minorHAnsi" w:cstheme="minorHAnsi"/>
        <w:iCs/>
        <w:szCs w:val="24"/>
        <w:lang w:eastAsia="en-US"/>
      </w:rPr>
      <w:t xml:space="preserve"> </w:t>
    </w:r>
    <w:r w:rsidR="00633984">
      <w:rPr>
        <w:rFonts w:asciiTheme="minorHAnsi" w:hAnsiTheme="minorHAnsi" w:cstheme="minorHAnsi"/>
        <w:iCs/>
        <w:szCs w:val="24"/>
        <w:lang w:eastAsia="en-US"/>
      </w:rPr>
      <w:t>Odpady i gospodarka o obiegu zamkniętym</w:t>
    </w:r>
    <w:r w:rsidR="008706DB">
      <w:rPr>
        <w:rFonts w:asciiTheme="minorHAnsi" w:hAnsiTheme="minorHAnsi" w:cstheme="minorHAnsi"/>
        <w:iCs/>
        <w:szCs w:val="24"/>
        <w:lang w:eastAsia="en-US"/>
      </w:rPr>
      <w:t xml:space="preserve"> </w:t>
    </w:r>
    <w:r w:rsidR="00EC036A">
      <w:rPr>
        <w:rFonts w:asciiTheme="minorHAnsi" w:hAnsiTheme="minorHAnsi" w:cstheme="minorHAnsi"/>
        <w:iCs/>
        <w:szCs w:val="24"/>
        <w:lang w:eastAsia="en-US"/>
      </w:rPr>
      <w:t>FEO 2021-2027</w:t>
    </w:r>
    <w:r w:rsidR="00866E28" w:rsidRPr="003C01E6">
      <w:rPr>
        <w:iCs/>
        <w:szCs w:val="24"/>
      </w:rPr>
      <w:t xml:space="preserve"> </w:t>
    </w:r>
  </w:p>
  <w:bookmarkEnd w:id="731"/>
  <w:p w14:paraId="38709267" w14:textId="0D2F8871" w:rsidR="00044260" w:rsidRDefault="00854A1A" w:rsidP="008706DB">
    <w:pPr>
      <w:autoSpaceDE w:val="0"/>
      <w:autoSpaceDN w:val="0"/>
      <w:rPr>
        <w:rFonts w:asciiTheme="minorHAnsi" w:hAnsiTheme="minorHAnsi" w:cstheme="minorHAnsi"/>
        <w:iCs/>
        <w:szCs w:val="24"/>
        <w:lang w:eastAsia="en-US"/>
      </w:rPr>
    </w:pPr>
    <w:r w:rsidRPr="00854A1A">
      <w:rPr>
        <w:rFonts w:asciiTheme="minorHAnsi" w:hAnsiTheme="minorHAnsi" w:cstheme="minorHAnsi"/>
        <w:iCs/>
        <w:szCs w:val="24"/>
        <w:lang w:eastAsia="en-US"/>
      </w:rPr>
      <w:t xml:space="preserve">Wersja </w:t>
    </w:r>
    <w:r w:rsidRPr="000155E4">
      <w:rPr>
        <w:rFonts w:asciiTheme="minorHAnsi" w:hAnsiTheme="minorHAnsi" w:cstheme="minorHAnsi"/>
        <w:iCs/>
        <w:szCs w:val="24"/>
        <w:lang w:eastAsia="en-US"/>
      </w:rPr>
      <w:t xml:space="preserve">nr 1, </w:t>
    </w:r>
    <w:r w:rsidR="007D0C7F">
      <w:rPr>
        <w:rFonts w:asciiTheme="minorHAnsi" w:hAnsiTheme="minorHAnsi" w:cstheme="minorHAnsi"/>
        <w:iCs/>
        <w:szCs w:val="24"/>
        <w:lang w:eastAsia="en-US"/>
      </w:rPr>
      <w:t>październik</w:t>
    </w:r>
    <w:r w:rsidR="000155E4" w:rsidRPr="000155E4">
      <w:rPr>
        <w:rFonts w:asciiTheme="minorHAnsi" w:hAnsiTheme="minorHAnsi" w:cstheme="minorHAnsi"/>
        <w:iCs/>
        <w:szCs w:val="24"/>
        <w:lang w:eastAsia="en-US"/>
      </w:rPr>
      <w:t xml:space="preserve"> </w:t>
    </w:r>
    <w:r w:rsidR="00CF5391" w:rsidRPr="000155E4">
      <w:rPr>
        <w:rFonts w:asciiTheme="minorHAnsi" w:hAnsiTheme="minorHAnsi" w:cstheme="minorHAnsi"/>
        <w:iCs/>
        <w:szCs w:val="24"/>
        <w:lang w:eastAsia="en-US"/>
      </w:rPr>
      <w:t>202</w:t>
    </w:r>
    <w:r w:rsidR="008706DB">
      <w:rPr>
        <w:rFonts w:asciiTheme="minorHAnsi" w:hAnsiTheme="minorHAnsi" w:cstheme="minorHAnsi"/>
        <w:iCs/>
        <w:szCs w:val="24"/>
        <w:lang w:eastAsia="en-US"/>
      </w:rPr>
      <w:t>6</w:t>
    </w:r>
    <w:r w:rsidR="00CF5391" w:rsidRPr="000155E4">
      <w:rPr>
        <w:rFonts w:asciiTheme="minorHAnsi" w:hAnsiTheme="minorHAnsi" w:cstheme="minorHAnsi"/>
        <w:iCs/>
        <w:szCs w:val="24"/>
        <w:lang w:eastAsia="en-US"/>
      </w:rPr>
      <w:t xml:space="preserve"> r.</w:t>
    </w:r>
  </w:p>
  <w:p w14:paraId="2792A6FF" w14:textId="15033E0F" w:rsidR="00044260" w:rsidRPr="007E2797" w:rsidRDefault="00044260" w:rsidP="00C2071D">
    <w:pPr>
      <w:ind w:right="-28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97E90" w14:textId="77777777" w:rsidR="00044260" w:rsidRPr="00851EE6" w:rsidRDefault="00044260" w:rsidP="00431FF5">
    <w:pPr>
      <w:jc w:val="right"/>
      <w:rPr>
        <w:i/>
        <w:sz w:val="20"/>
        <w:szCs w:val="24"/>
        <w:lang w:eastAsia="en-US"/>
      </w:rPr>
    </w:pPr>
    <w:r w:rsidRPr="00851EE6">
      <w:rPr>
        <w:b/>
        <w:i/>
        <w:sz w:val="20"/>
        <w:szCs w:val="24"/>
        <w:lang w:eastAsia="en-US"/>
      </w:rPr>
      <w:t>Z</w:t>
    </w:r>
    <w:r>
      <w:rPr>
        <w:b/>
        <w:i/>
        <w:sz w:val="20"/>
        <w:szCs w:val="24"/>
        <w:lang w:eastAsia="en-US"/>
      </w:rPr>
      <w:t>ałącznik nr 6</w:t>
    </w:r>
    <w:r w:rsidRPr="00851EE6">
      <w:rPr>
        <w:b/>
        <w:i/>
        <w:sz w:val="20"/>
        <w:szCs w:val="24"/>
        <w:lang w:eastAsia="en-US"/>
      </w:rPr>
      <w:t xml:space="preserve"> </w:t>
    </w:r>
    <w:r w:rsidRPr="00851EE6">
      <w:rPr>
        <w:i/>
        <w:sz w:val="20"/>
        <w:szCs w:val="24"/>
        <w:lang w:eastAsia="en-US"/>
      </w:rPr>
      <w:t xml:space="preserve">do </w:t>
    </w:r>
    <w:r w:rsidRPr="00851EE6">
      <w:rPr>
        <w:i/>
        <w:sz w:val="20"/>
        <w:szCs w:val="24"/>
        <w:u w:val="single"/>
        <w:lang w:eastAsia="en-US"/>
      </w:rPr>
      <w:t>Regulaminu konkursu</w:t>
    </w:r>
  </w:p>
  <w:p w14:paraId="13390A6B" w14:textId="77777777" w:rsidR="00044260" w:rsidRPr="00851EE6" w:rsidRDefault="00044260" w:rsidP="00431FF5">
    <w:pPr>
      <w:jc w:val="right"/>
      <w:rPr>
        <w:i/>
        <w:sz w:val="20"/>
        <w:szCs w:val="24"/>
        <w:lang w:eastAsia="en-US"/>
      </w:rPr>
    </w:pPr>
    <w:r w:rsidRPr="00851EE6">
      <w:rPr>
        <w:i/>
        <w:sz w:val="20"/>
        <w:szCs w:val="24"/>
        <w:lang w:eastAsia="en-US"/>
      </w:rPr>
      <w:t>Działanie 4.2 System wczesnego reagowania i ratownictwa RPO WO 2014-2020</w:t>
    </w:r>
  </w:p>
  <w:p w14:paraId="0E5175E1" w14:textId="77777777" w:rsidR="00044260" w:rsidRPr="001A325D" w:rsidRDefault="00044260" w:rsidP="00431FF5">
    <w:pPr>
      <w:jc w:val="right"/>
    </w:pPr>
    <w:r w:rsidRPr="00851EE6">
      <w:rPr>
        <w:i/>
        <w:sz w:val="20"/>
        <w:lang w:eastAsia="en-US"/>
      </w:rPr>
      <w:t>kwiecień 2016 r.</w:t>
    </w:r>
  </w:p>
  <w:p w14:paraId="6623E565" w14:textId="77777777" w:rsidR="00044260" w:rsidRPr="00431FF5" w:rsidRDefault="00044260" w:rsidP="00431FF5">
    <w:pPr>
      <w:pStyle w:val="Nagwek"/>
      <w:rPr>
        <w:rFonts w:eastAsia="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Num2"/>
    <w:lvl w:ilvl="0">
      <w:start w:val="1"/>
      <w:numFmt w:val="bullet"/>
      <w:lvlText w:val=""/>
      <w:lvlJc w:val="left"/>
      <w:pPr>
        <w:tabs>
          <w:tab w:val="num" w:pos="0"/>
        </w:tabs>
        <w:ind w:left="720" w:hanging="360"/>
      </w:pPr>
      <w:rPr>
        <w:rFonts w:ascii="Wingdings" w:hAnsi="Wingdings"/>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 w15:restartNumberingAfterBreak="0">
    <w:nsid w:val="00000002"/>
    <w:multiLevelType w:val="multilevel"/>
    <w:tmpl w:val="00000002"/>
    <w:name w:val="WWNum3"/>
    <w:lvl w:ilvl="0">
      <w:start w:val="1"/>
      <w:numFmt w:val="lowerLetter"/>
      <w:lvlText w:val="%1)"/>
      <w:lvlJc w:val="left"/>
      <w:pPr>
        <w:tabs>
          <w:tab w:val="num" w:pos="0"/>
        </w:tabs>
        <w:ind w:left="1429" w:hanging="360"/>
      </w:pPr>
      <w:rPr>
        <w:rFonts w:ascii="Calibri" w:hAnsi="Calibri"/>
        <w:spacing w:val="-2"/>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 w15:restartNumberingAfterBreak="0">
    <w:nsid w:val="00000004"/>
    <w:multiLevelType w:val="multilevel"/>
    <w:tmpl w:val="00000004"/>
    <w:name w:val="WWNum4"/>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3" w15:restartNumberingAfterBreak="0">
    <w:nsid w:val="00000005"/>
    <w:multiLevelType w:val="multilevel"/>
    <w:tmpl w:val="00000005"/>
    <w:name w:val="WWNum5"/>
    <w:lvl w:ilvl="0">
      <w:start w:val="1"/>
      <w:numFmt w:val="bullet"/>
      <w:lvlText w:val=""/>
      <w:lvlJc w:val="left"/>
      <w:pPr>
        <w:tabs>
          <w:tab w:val="num" w:pos="0"/>
        </w:tabs>
        <w:ind w:left="1069" w:hanging="360"/>
      </w:pPr>
      <w:rPr>
        <w:rFonts w:ascii="Symbol" w:hAnsi="Symbol"/>
      </w:rPr>
    </w:lvl>
    <w:lvl w:ilvl="1">
      <w:start w:val="1"/>
      <w:numFmt w:val="bullet"/>
      <w:lvlText w:val="o"/>
      <w:lvlJc w:val="left"/>
      <w:pPr>
        <w:tabs>
          <w:tab w:val="num" w:pos="0"/>
        </w:tabs>
        <w:ind w:left="1789" w:hanging="360"/>
      </w:pPr>
      <w:rPr>
        <w:rFonts w:ascii="Courier New" w:hAnsi="Courier New" w:cs="Courier New"/>
      </w:rPr>
    </w:lvl>
    <w:lvl w:ilvl="2">
      <w:start w:val="1"/>
      <w:numFmt w:val="bullet"/>
      <w:lvlText w:val=""/>
      <w:lvlJc w:val="left"/>
      <w:pPr>
        <w:tabs>
          <w:tab w:val="num" w:pos="0"/>
        </w:tabs>
        <w:ind w:left="2509" w:hanging="360"/>
      </w:pPr>
      <w:rPr>
        <w:rFonts w:ascii="Wingdings" w:hAnsi="Wingdings"/>
      </w:rPr>
    </w:lvl>
    <w:lvl w:ilvl="3">
      <w:start w:val="1"/>
      <w:numFmt w:val="bullet"/>
      <w:lvlText w:val=""/>
      <w:lvlJc w:val="left"/>
      <w:pPr>
        <w:tabs>
          <w:tab w:val="num" w:pos="0"/>
        </w:tabs>
        <w:ind w:left="3229" w:hanging="360"/>
      </w:pPr>
      <w:rPr>
        <w:rFonts w:ascii="Symbol" w:hAnsi="Symbol"/>
      </w:rPr>
    </w:lvl>
    <w:lvl w:ilvl="4">
      <w:start w:val="1"/>
      <w:numFmt w:val="bullet"/>
      <w:lvlText w:val="o"/>
      <w:lvlJc w:val="left"/>
      <w:pPr>
        <w:tabs>
          <w:tab w:val="num" w:pos="0"/>
        </w:tabs>
        <w:ind w:left="3949" w:hanging="360"/>
      </w:pPr>
      <w:rPr>
        <w:rFonts w:ascii="Courier New" w:hAnsi="Courier New" w:cs="Courier New"/>
      </w:rPr>
    </w:lvl>
    <w:lvl w:ilvl="5">
      <w:start w:val="1"/>
      <w:numFmt w:val="bullet"/>
      <w:lvlText w:val=""/>
      <w:lvlJc w:val="left"/>
      <w:pPr>
        <w:tabs>
          <w:tab w:val="num" w:pos="0"/>
        </w:tabs>
        <w:ind w:left="4669" w:hanging="360"/>
      </w:pPr>
      <w:rPr>
        <w:rFonts w:ascii="Wingdings" w:hAnsi="Wingdings"/>
      </w:rPr>
    </w:lvl>
    <w:lvl w:ilvl="6">
      <w:start w:val="1"/>
      <w:numFmt w:val="bullet"/>
      <w:lvlText w:val=""/>
      <w:lvlJc w:val="left"/>
      <w:pPr>
        <w:tabs>
          <w:tab w:val="num" w:pos="0"/>
        </w:tabs>
        <w:ind w:left="5389" w:hanging="360"/>
      </w:pPr>
      <w:rPr>
        <w:rFonts w:ascii="Symbol" w:hAnsi="Symbol"/>
      </w:rPr>
    </w:lvl>
    <w:lvl w:ilvl="7">
      <w:start w:val="1"/>
      <w:numFmt w:val="bullet"/>
      <w:lvlText w:val="o"/>
      <w:lvlJc w:val="left"/>
      <w:pPr>
        <w:tabs>
          <w:tab w:val="num" w:pos="0"/>
        </w:tabs>
        <w:ind w:left="6109" w:hanging="360"/>
      </w:pPr>
      <w:rPr>
        <w:rFonts w:ascii="Courier New" w:hAnsi="Courier New" w:cs="Courier New"/>
      </w:rPr>
    </w:lvl>
    <w:lvl w:ilvl="8">
      <w:start w:val="1"/>
      <w:numFmt w:val="bullet"/>
      <w:lvlText w:val=""/>
      <w:lvlJc w:val="left"/>
      <w:pPr>
        <w:tabs>
          <w:tab w:val="num" w:pos="0"/>
        </w:tabs>
        <w:ind w:left="6829" w:hanging="360"/>
      </w:pPr>
      <w:rPr>
        <w:rFonts w:ascii="Wingdings" w:hAnsi="Wingdings"/>
      </w:rPr>
    </w:lvl>
  </w:abstractNum>
  <w:abstractNum w:abstractNumId="4" w15:restartNumberingAfterBreak="0">
    <w:nsid w:val="00000007"/>
    <w:multiLevelType w:val="multilevel"/>
    <w:tmpl w:val="00000007"/>
    <w:name w:val="WWNum7"/>
    <w:lvl w:ilvl="0">
      <w:start w:val="1"/>
      <w:numFmt w:val="lowerLetter"/>
      <w:lvlText w:val="%1)"/>
      <w:lvlJc w:val="left"/>
      <w:pPr>
        <w:tabs>
          <w:tab w:val="num" w:pos="0"/>
        </w:tabs>
        <w:ind w:left="720" w:hanging="360"/>
      </w:pPr>
      <w:rPr>
        <w:rFonts w:ascii="Calibri" w:hAnsi="Calibri"/>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00000008"/>
    <w:multiLevelType w:val="multilevel"/>
    <w:tmpl w:val="00000008"/>
    <w:name w:val="WWNum8"/>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6" w15:restartNumberingAfterBreak="0">
    <w:nsid w:val="00000009"/>
    <w:multiLevelType w:val="multilevel"/>
    <w:tmpl w:val="00000009"/>
    <w:name w:val="WWNum9"/>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7" w15:restartNumberingAfterBreak="0">
    <w:nsid w:val="0000000A"/>
    <w:multiLevelType w:val="multilevel"/>
    <w:tmpl w:val="0000000A"/>
    <w:name w:val="WWNum10"/>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8" w15:restartNumberingAfterBreak="0">
    <w:nsid w:val="0000000B"/>
    <w:multiLevelType w:val="multilevel"/>
    <w:tmpl w:val="9E72EDB8"/>
    <w:name w:val="WWNum11"/>
    <w:lvl w:ilvl="0">
      <w:start w:val="1"/>
      <w:numFmt w:val="decimal"/>
      <w:lvlText w:val="%1."/>
      <w:lvlJc w:val="left"/>
      <w:pPr>
        <w:tabs>
          <w:tab w:val="num" w:pos="-76"/>
        </w:tabs>
        <w:ind w:left="644" w:hanging="360"/>
      </w:pPr>
      <w:rPr>
        <w:rFonts w:asciiTheme="minorHAnsi" w:hAnsiTheme="minorHAnsi" w:cstheme="minorHAnsi" w:hint="default"/>
        <w:b/>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2"/>
      <w:numFmt w:val="decimal"/>
      <w:lvlText w:val="%1.%2."/>
      <w:lvlJc w:val="left"/>
      <w:pPr>
        <w:tabs>
          <w:tab w:val="num" w:pos="0"/>
        </w:tabs>
        <w:ind w:left="1965" w:hanging="720"/>
      </w:pPr>
    </w:lvl>
    <w:lvl w:ilvl="2">
      <w:start w:val="2"/>
      <w:numFmt w:val="decimal"/>
      <w:lvlText w:val="%1.%2.%3."/>
      <w:lvlJc w:val="left"/>
      <w:pPr>
        <w:tabs>
          <w:tab w:val="num" w:pos="0"/>
        </w:tabs>
        <w:ind w:left="2850" w:hanging="720"/>
      </w:pPr>
    </w:lvl>
    <w:lvl w:ilvl="3">
      <w:start w:val="1"/>
      <w:numFmt w:val="decimal"/>
      <w:lvlText w:val="%1.%2.%3.%4."/>
      <w:lvlJc w:val="left"/>
      <w:pPr>
        <w:tabs>
          <w:tab w:val="num" w:pos="0"/>
        </w:tabs>
        <w:ind w:left="4095" w:hanging="1080"/>
      </w:pPr>
    </w:lvl>
    <w:lvl w:ilvl="4">
      <w:start w:val="1"/>
      <w:numFmt w:val="decimal"/>
      <w:lvlText w:val="%1.%2.%3.%4.%5."/>
      <w:lvlJc w:val="left"/>
      <w:pPr>
        <w:tabs>
          <w:tab w:val="num" w:pos="0"/>
        </w:tabs>
        <w:ind w:left="4980" w:hanging="1080"/>
      </w:pPr>
    </w:lvl>
    <w:lvl w:ilvl="5">
      <w:start w:val="1"/>
      <w:numFmt w:val="decimal"/>
      <w:lvlText w:val="%1.%2.%3.%4.%5.%6."/>
      <w:lvlJc w:val="left"/>
      <w:pPr>
        <w:tabs>
          <w:tab w:val="num" w:pos="0"/>
        </w:tabs>
        <w:ind w:left="6225" w:hanging="1440"/>
      </w:pPr>
    </w:lvl>
    <w:lvl w:ilvl="6">
      <w:start w:val="1"/>
      <w:numFmt w:val="decimal"/>
      <w:lvlText w:val="%1.%2.%3.%4.%5.%6.%7."/>
      <w:lvlJc w:val="left"/>
      <w:pPr>
        <w:tabs>
          <w:tab w:val="num" w:pos="0"/>
        </w:tabs>
        <w:ind w:left="7110" w:hanging="1440"/>
      </w:pPr>
    </w:lvl>
    <w:lvl w:ilvl="7">
      <w:start w:val="1"/>
      <w:numFmt w:val="decimal"/>
      <w:lvlText w:val="%1.%2.%3.%4.%5.%6.%7.%8."/>
      <w:lvlJc w:val="left"/>
      <w:pPr>
        <w:tabs>
          <w:tab w:val="num" w:pos="0"/>
        </w:tabs>
        <w:ind w:left="8355" w:hanging="1800"/>
      </w:pPr>
    </w:lvl>
    <w:lvl w:ilvl="8">
      <w:start w:val="1"/>
      <w:numFmt w:val="decimal"/>
      <w:lvlText w:val="%1.%2.%3.%4.%5.%6.%7.%8.%9."/>
      <w:lvlJc w:val="left"/>
      <w:pPr>
        <w:tabs>
          <w:tab w:val="num" w:pos="0"/>
        </w:tabs>
        <w:ind w:left="9240" w:hanging="1800"/>
      </w:pPr>
    </w:lvl>
  </w:abstractNum>
  <w:abstractNum w:abstractNumId="9" w15:restartNumberingAfterBreak="0">
    <w:nsid w:val="0000000C"/>
    <w:multiLevelType w:val="multilevel"/>
    <w:tmpl w:val="0000000C"/>
    <w:name w:val="WWNum12"/>
    <w:lvl w:ilvl="0">
      <w:start w:val="1"/>
      <w:numFmt w:val="bullet"/>
      <w:lvlText w:val=""/>
      <w:lvlJc w:val="left"/>
      <w:pPr>
        <w:tabs>
          <w:tab w:val="num" w:pos="0"/>
        </w:tabs>
        <w:ind w:left="1069" w:hanging="360"/>
      </w:pPr>
      <w:rPr>
        <w:rFonts w:ascii="Symbol" w:hAnsi="Symbol"/>
      </w:rPr>
    </w:lvl>
    <w:lvl w:ilvl="1">
      <w:start w:val="1"/>
      <w:numFmt w:val="bullet"/>
      <w:lvlText w:val="o"/>
      <w:lvlJc w:val="left"/>
      <w:pPr>
        <w:tabs>
          <w:tab w:val="num" w:pos="0"/>
        </w:tabs>
        <w:ind w:left="1789" w:hanging="360"/>
      </w:pPr>
      <w:rPr>
        <w:rFonts w:ascii="Courier New" w:hAnsi="Courier New" w:cs="Courier New"/>
      </w:rPr>
    </w:lvl>
    <w:lvl w:ilvl="2">
      <w:start w:val="1"/>
      <w:numFmt w:val="bullet"/>
      <w:lvlText w:val=""/>
      <w:lvlJc w:val="left"/>
      <w:pPr>
        <w:tabs>
          <w:tab w:val="num" w:pos="0"/>
        </w:tabs>
        <w:ind w:left="2509" w:hanging="360"/>
      </w:pPr>
      <w:rPr>
        <w:rFonts w:ascii="Wingdings" w:hAnsi="Wingdings"/>
      </w:rPr>
    </w:lvl>
    <w:lvl w:ilvl="3">
      <w:start w:val="1"/>
      <w:numFmt w:val="bullet"/>
      <w:lvlText w:val=""/>
      <w:lvlJc w:val="left"/>
      <w:pPr>
        <w:tabs>
          <w:tab w:val="num" w:pos="0"/>
        </w:tabs>
        <w:ind w:left="3229" w:hanging="360"/>
      </w:pPr>
      <w:rPr>
        <w:rFonts w:ascii="Symbol" w:hAnsi="Symbol"/>
      </w:rPr>
    </w:lvl>
    <w:lvl w:ilvl="4">
      <w:start w:val="1"/>
      <w:numFmt w:val="bullet"/>
      <w:lvlText w:val="o"/>
      <w:lvlJc w:val="left"/>
      <w:pPr>
        <w:tabs>
          <w:tab w:val="num" w:pos="0"/>
        </w:tabs>
        <w:ind w:left="3949" w:hanging="360"/>
      </w:pPr>
      <w:rPr>
        <w:rFonts w:ascii="Courier New" w:hAnsi="Courier New" w:cs="Courier New"/>
      </w:rPr>
    </w:lvl>
    <w:lvl w:ilvl="5">
      <w:start w:val="1"/>
      <w:numFmt w:val="bullet"/>
      <w:lvlText w:val=""/>
      <w:lvlJc w:val="left"/>
      <w:pPr>
        <w:tabs>
          <w:tab w:val="num" w:pos="0"/>
        </w:tabs>
        <w:ind w:left="4669" w:hanging="360"/>
      </w:pPr>
      <w:rPr>
        <w:rFonts w:ascii="Wingdings" w:hAnsi="Wingdings"/>
      </w:rPr>
    </w:lvl>
    <w:lvl w:ilvl="6">
      <w:start w:val="1"/>
      <w:numFmt w:val="bullet"/>
      <w:lvlText w:val=""/>
      <w:lvlJc w:val="left"/>
      <w:pPr>
        <w:tabs>
          <w:tab w:val="num" w:pos="0"/>
        </w:tabs>
        <w:ind w:left="5389" w:hanging="360"/>
      </w:pPr>
      <w:rPr>
        <w:rFonts w:ascii="Symbol" w:hAnsi="Symbol"/>
      </w:rPr>
    </w:lvl>
    <w:lvl w:ilvl="7">
      <w:start w:val="1"/>
      <w:numFmt w:val="bullet"/>
      <w:lvlText w:val="o"/>
      <w:lvlJc w:val="left"/>
      <w:pPr>
        <w:tabs>
          <w:tab w:val="num" w:pos="0"/>
        </w:tabs>
        <w:ind w:left="6109" w:hanging="360"/>
      </w:pPr>
      <w:rPr>
        <w:rFonts w:ascii="Courier New" w:hAnsi="Courier New" w:cs="Courier New"/>
      </w:rPr>
    </w:lvl>
    <w:lvl w:ilvl="8">
      <w:start w:val="1"/>
      <w:numFmt w:val="bullet"/>
      <w:lvlText w:val=""/>
      <w:lvlJc w:val="left"/>
      <w:pPr>
        <w:tabs>
          <w:tab w:val="num" w:pos="0"/>
        </w:tabs>
        <w:ind w:left="6829" w:hanging="360"/>
      </w:pPr>
      <w:rPr>
        <w:rFonts w:ascii="Wingdings" w:hAnsi="Wingdings"/>
      </w:rPr>
    </w:lvl>
  </w:abstractNum>
  <w:abstractNum w:abstractNumId="10" w15:restartNumberingAfterBreak="0">
    <w:nsid w:val="0000000D"/>
    <w:multiLevelType w:val="multilevel"/>
    <w:tmpl w:val="0000000D"/>
    <w:name w:val="WWNum13"/>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1" w15:restartNumberingAfterBreak="0">
    <w:nsid w:val="0000000E"/>
    <w:multiLevelType w:val="multilevel"/>
    <w:tmpl w:val="0000000E"/>
    <w:name w:val="WWNum14"/>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0000000F"/>
    <w:multiLevelType w:val="multilevel"/>
    <w:tmpl w:val="0000000F"/>
    <w:name w:val="WWNum15"/>
    <w:lvl w:ilvl="0">
      <w:start w:val="1"/>
      <w:numFmt w:val="bullet"/>
      <w:lvlText w:val=""/>
      <w:lvlJc w:val="left"/>
      <w:pPr>
        <w:tabs>
          <w:tab w:val="num" w:pos="0"/>
        </w:tabs>
        <w:ind w:left="1069" w:hanging="360"/>
      </w:pPr>
      <w:rPr>
        <w:rFonts w:ascii="Symbol" w:hAnsi="Symbol"/>
      </w:rPr>
    </w:lvl>
    <w:lvl w:ilvl="1">
      <w:start w:val="1"/>
      <w:numFmt w:val="bullet"/>
      <w:lvlText w:val="o"/>
      <w:lvlJc w:val="left"/>
      <w:pPr>
        <w:tabs>
          <w:tab w:val="num" w:pos="0"/>
        </w:tabs>
        <w:ind w:left="1789" w:hanging="360"/>
      </w:pPr>
      <w:rPr>
        <w:rFonts w:ascii="Courier New" w:hAnsi="Courier New" w:cs="Courier New"/>
      </w:rPr>
    </w:lvl>
    <w:lvl w:ilvl="2">
      <w:start w:val="1"/>
      <w:numFmt w:val="bullet"/>
      <w:lvlText w:val=""/>
      <w:lvlJc w:val="left"/>
      <w:pPr>
        <w:tabs>
          <w:tab w:val="num" w:pos="0"/>
        </w:tabs>
        <w:ind w:left="2509" w:hanging="360"/>
      </w:pPr>
      <w:rPr>
        <w:rFonts w:ascii="Wingdings" w:hAnsi="Wingdings"/>
      </w:rPr>
    </w:lvl>
    <w:lvl w:ilvl="3">
      <w:start w:val="1"/>
      <w:numFmt w:val="bullet"/>
      <w:lvlText w:val=""/>
      <w:lvlJc w:val="left"/>
      <w:pPr>
        <w:tabs>
          <w:tab w:val="num" w:pos="0"/>
        </w:tabs>
        <w:ind w:left="3229" w:hanging="360"/>
      </w:pPr>
      <w:rPr>
        <w:rFonts w:ascii="Symbol" w:hAnsi="Symbol"/>
      </w:rPr>
    </w:lvl>
    <w:lvl w:ilvl="4">
      <w:start w:val="1"/>
      <w:numFmt w:val="bullet"/>
      <w:lvlText w:val="o"/>
      <w:lvlJc w:val="left"/>
      <w:pPr>
        <w:tabs>
          <w:tab w:val="num" w:pos="0"/>
        </w:tabs>
        <w:ind w:left="3949" w:hanging="360"/>
      </w:pPr>
      <w:rPr>
        <w:rFonts w:ascii="Courier New" w:hAnsi="Courier New" w:cs="Courier New"/>
      </w:rPr>
    </w:lvl>
    <w:lvl w:ilvl="5">
      <w:start w:val="1"/>
      <w:numFmt w:val="bullet"/>
      <w:lvlText w:val=""/>
      <w:lvlJc w:val="left"/>
      <w:pPr>
        <w:tabs>
          <w:tab w:val="num" w:pos="0"/>
        </w:tabs>
        <w:ind w:left="4669" w:hanging="360"/>
      </w:pPr>
      <w:rPr>
        <w:rFonts w:ascii="Wingdings" w:hAnsi="Wingdings"/>
      </w:rPr>
    </w:lvl>
    <w:lvl w:ilvl="6">
      <w:start w:val="1"/>
      <w:numFmt w:val="bullet"/>
      <w:lvlText w:val=""/>
      <w:lvlJc w:val="left"/>
      <w:pPr>
        <w:tabs>
          <w:tab w:val="num" w:pos="0"/>
        </w:tabs>
        <w:ind w:left="5389" w:hanging="360"/>
      </w:pPr>
      <w:rPr>
        <w:rFonts w:ascii="Symbol" w:hAnsi="Symbol"/>
      </w:rPr>
    </w:lvl>
    <w:lvl w:ilvl="7">
      <w:start w:val="1"/>
      <w:numFmt w:val="bullet"/>
      <w:lvlText w:val="o"/>
      <w:lvlJc w:val="left"/>
      <w:pPr>
        <w:tabs>
          <w:tab w:val="num" w:pos="0"/>
        </w:tabs>
        <w:ind w:left="6109" w:hanging="360"/>
      </w:pPr>
      <w:rPr>
        <w:rFonts w:ascii="Courier New" w:hAnsi="Courier New" w:cs="Courier New"/>
      </w:rPr>
    </w:lvl>
    <w:lvl w:ilvl="8">
      <w:start w:val="1"/>
      <w:numFmt w:val="bullet"/>
      <w:lvlText w:val=""/>
      <w:lvlJc w:val="left"/>
      <w:pPr>
        <w:tabs>
          <w:tab w:val="num" w:pos="0"/>
        </w:tabs>
        <w:ind w:left="6829" w:hanging="360"/>
      </w:pPr>
      <w:rPr>
        <w:rFonts w:ascii="Wingdings" w:hAnsi="Wingdings"/>
      </w:rPr>
    </w:lvl>
  </w:abstractNum>
  <w:abstractNum w:abstractNumId="13" w15:restartNumberingAfterBreak="0">
    <w:nsid w:val="00000010"/>
    <w:multiLevelType w:val="multilevel"/>
    <w:tmpl w:val="00000010"/>
    <w:name w:val="WWNum1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000011"/>
    <w:multiLevelType w:val="multilevel"/>
    <w:tmpl w:val="00000011"/>
    <w:name w:val="WWNum17"/>
    <w:lvl w:ilvl="0">
      <w:start w:val="1"/>
      <w:numFmt w:val="bullet"/>
      <w:lvlText w:val=""/>
      <w:lvlJc w:val="left"/>
      <w:pPr>
        <w:tabs>
          <w:tab w:val="num" w:pos="0"/>
        </w:tabs>
        <w:ind w:left="1069" w:hanging="360"/>
      </w:pPr>
      <w:rPr>
        <w:rFonts w:ascii="Symbol" w:hAnsi="Symbol"/>
      </w:rPr>
    </w:lvl>
    <w:lvl w:ilvl="1">
      <w:start w:val="1"/>
      <w:numFmt w:val="bullet"/>
      <w:lvlText w:val="o"/>
      <w:lvlJc w:val="left"/>
      <w:pPr>
        <w:tabs>
          <w:tab w:val="num" w:pos="0"/>
        </w:tabs>
        <w:ind w:left="1789" w:hanging="360"/>
      </w:pPr>
      <w:rPr>
        <w:rFonts w:ascii="Courier New" w:hAnsi="Courier New" w:cs="Courier New"/>
      </w:rPr>
    </w:lvl>
    <w:lvl w:ilvl="2">
      <w:start w:val="1"/>
      <w:numFmt w:val="bullet"/>
      <w:lvlText w:val=""/>
      <w:lvlJc w:val="left"/>
      <w:pPr>
        <w:tabs>
          <w:tab w:val="num" w:pos="0"/>
        </w:tabs>
        <w:ind w:left="2509" w:hanging="360"/>
      </w:pPr>
      <w:rPr>
        <w:rFonts w:ascii="Wingdings" w:hAnsi="Wingdings"/>
      </w:rPr>
    </w:lvl>
    <w:lvl w:ilvl="3">
      <w:start w:val="1"/>
      <w:numFmt w:val="bullet"/>
      <w:lvlText w:val=""/>
      <w:lvlJc w:val="left"/>
      <w:pPr>
        <w:tabs>
          <w:tab w:val="num" w:pos="0"/>
        </w:tabs>
        <w:ind w:left="3229" w:hanging="360"/>
      </w:pPr>
      <w:rPr>
        <w:rFonts w:ascii="Symbol" w:hAnsi="Symbol"/>
      </w:rPr>
    </w:lvl>
    <w:lvl w:ilvl="4">
      <w:start w:val="1"/>
      <w:numFmt w:val="bullet"/>
      <w:lvlText w:val="o"/>
      <w:lvlJc w:val="left"/>
      <w:pPr>
        <w:tabs>
          <w:tab w:val="num" w:pos="0"/>
        </w:tabs>
        <w:ind w:left="3949" w:hanging="360"/>
      </w:pPr>
      <w:rPr>
        <w:rFonts w:ascii="Courier New" w:hAnsi="Courier New" w:cs="Courier New"/>
      </w:rPr>
    </w:lvl>
    <w:lvl w:ilvl="5">
      <w:start w:val="1"/>
      <w:numFmt w:val="bullet"/>
      <w:lvlText w:val=""/>
      <w:lvlJc w:val="left"/>
      <w:pPr>
        <w:tabs>
          <w:tab w:val="num" w:pos="0"/>
        </w:tabs>
        <w:ind w:left="4669" w:hanging="360"/>
      </w:pPr>
      <w:rPr>
        <w:rFonts w:ascii="Wingdings" w:hAnsi="Wingdings"/>
      </w:rPr>
    </w:lvl>
    <w:lvl w:ilvl="6">
      <w:start w:val="1"/>
      <w:numFmt w:val="bullet"/>
      <w:lvlText w:val=""/>
      <w:lvlJc w:val="left"/>
      <w:pPr>
        <w:tabs>
          <w:tab w:val="num" w:pos="0"/>
        </w:tabs>
        <w:ind w:left="5389" w:hanging="360"/>
      </w:pPr>
      <w:rPr>
        <w:rFonts w:ascii="Symbol" w:hAnsi="Symbol"/>
      </w:rPr>
    </w:lvl>
    <w:lvl w:ilvl="7">
      <w:start w:val="1"/>
      <w:numFmt w:val="bullet"/>
      <w:lvlText w:val="o"/>
      <w:lvlJc w:val="left"/>
      <w:pPr>
        <w:tabs>
          <w:tab w:val="num" w:pos="0"/>
        </w:tabs>
        <w:ind w:left="6109" w:hanging="360"/>
      </w:pPr>
      <w:rPr>
        <w:rFonts w:ascii="Courier New" w:hAnsi="Courier New" w:cs="Courier New"/>
      </w:rPr>
    </w:lvl>
    <w:lvl w:ilvl="8">
      <w:start w:val="1"/>
      <w:numFmt w:val="bullet"/>
      <w:lvlText w:val=""/>
      <w:lvlJc w:val="left"/>
      <w:pPr>
        <w:tabs>
          <w:tab w:val="num" w:pos="0"/>
        </w:tabs>
        <w:ind w:left="6829" w:hanging="360"/>
      </w:pPr>
      <w:rPr>
        <w:rFonts w:ascii="Wingdings" w:hAnsi="Wingdings"/>
      </w:rPr>
    </w:lvl>
  </w:abstractNum>
  <w:abstractNum w:abstractNumId="15" w15:restartNumberingAfterBreak="0">
    <w:nsid w:val="00000012"/>
    <w:multiLevelType w:val="multilevel"/>
    <w:tmpl w:val="00000012"/>
    <w:name w:val="WWNum18"/>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6" w15:restartNumberingAfterBreak="0">
    <w:nsid w:val="00000013"/>
    <w:multiLevelType w:val="multilevel"/>
    <w:tmpl w:val="00000013"/>
    <w:name w:val="WWNum19"/>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7" w15:restartNumberingAfterBreak="0">
    <w:nsid w:val="00000014"/>
    <w:multiLevelType w:val="multilevel"/>
    <w:tmpl w:val="00000014"/>
    <w:name w:val="WWNum20"/>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8" w15:restartNumberingAfterBreak="0">
    <w:nsid w:val="0084014E"/>
    <w:multiLevelType w:val="hybridMultilevel"/>
    <w:tmpl w:val="292E350E"/>
    <w:lvl w:ilvl="0" w:tplc="46D24624">
      <w:start w:val="1"/>
      <w:numFmt w:val="lowerLetter"/>
      <w:lvlText w:val="%1)"/>
      <w:lvlJc w:val="left"/>
      <w:pPr>
        <w:tabs>
          <w:tab w:val="num" w:pos="2007"/>
        </w:tabs>
        <w:ind w:left="2007" w:hanging="360"/>
      </w:pPr>
      <w:rPr>
        <w:rFonts w:hint="default"/>
      </w:rPr>
    </w:lvl>
    <w:lvl w:ilvl="1" w:tplc="30F47630">
      <w:start w:val="1"/>
      <w:numFmt w:val="bullet"/>
      <w:lvlText w:val="-"/>
      <w:lvlJc w:val="left"/>
      <w:pPr>
        <w:tabs>
          <w:tab w:val="num" w:pos="1440"/>
        </w:tabs>
        <w:ind w:left="1440" w:hanging="360"/>
      </w:pPr>
      <w:rPr>
        <w:rFonts w:ascii="Calibri" w:hAnsi="Calibri"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009800F0"/>
    <w:multiLevelType w:val="hybridMultilevel"/>
    <w:tmpl w:val="35D0F3D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00FA277A"/>
    <w:multiLevelType w:val="multilevel"/>
    <w:tmpl w:val="AFCCC284"/>
    <w:lvl w:ilvl="0">
      <w:start w:val="1"/>
      <w:numFmt w:val="decimal"/>
      <w:lvlText w:val="%1."/>
      <w:lvlJc w:val="left"/>
      <w:pPr>
        <w:tabs>
          <w:tab w:val="num" w:pos="360"/>
        </w:tabs>
        <w:ind w:left="360" w:hanging="360"/>
      </w:pPr>
      <w:rPr>
        <w:rFonts w:hint="default"/>
      </w:rPr>
    </w:lvl>
    <w:lvl w:ilvl="1">
      <w:start w:val="1"/>
      <w:numFmt w:val="decimal"/>
      <w:pStyle w:val="PodPodrozdziaW"/>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01070B6C"/>
    <w:multiLevelType w:val="hybridMultilevel"/>
    <w:tmpl w:val="1DA0E374"/>
    <w:lvl w:ilvl="0" w:tplc="73085F0E">
      <w:start w:val="1"/>
      <w:numFmt w:val="lowerLetter"/>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01A53AF7"/>
    <w:multiLevelType w:val="hybridMultilevel"/>
    <w:tmpl w:val="9D7069F4"/>
    <w:lvl w:ilvl="0" w:tplc="4692C7CA">
      <w:start w:val="1"/>
      <w:numFmt w:val="lowerLetter"/>
      <w:lvlText w:val="%1)"/>
      <w:lvlJc w:val="left"/>
      <w:pPr>
        <w:tabs>
          <w:tab w:val="num" w:pos="720"/>
        </w:tabs>
        <w:ind w:left="720" w:hanging="360"/>
      </w:pPr>
      <w:rPr>
        <w:rFonts w:hint="default"/>
        <w:b w:val="0"/>
      </w:rPr>
    </w:lvl>
    <w:lvl w:ilvl="1" w:tplc="09568FAA" w:tentative="1">
      <w:start w:val="1"/>
      <w:numFmt w:val="lowerLetter"/>
      <w:lvlText w:val="%2."/>
      <w:lvlJc w:val="left"/>
      <w:pPr>
        <w:tabs>
          <w:tab w:val="num" w:pos="720"/>
        </w:tabs>
        <w:ind w:left="720" w:hanging="360"/>
      </w:pPr>
    </w:lvl>
    <w:lvl w:ilvl="2" w:tplc="DF2EA7B2" w:tentative="1">
      <w:start w:val="1"/>
      <w:numFmt w:val="lowerRoman"/>
      <w:lvlText w:val="%3."/>
      <w:lvlJc w:val="right"/>
      <w:pPr>
        <w:tabs>
          <w:tab w:val="num" w:pos="1440"/>
        </w:tabs>
        <w:ind w:left="1440" w:hanging="180"/>
      </w:pPr>
    </w:lvl>
    <w:lvl w:ilvl="3" w:tplc="FF0296EE" w:tentative="1">
      <w:start w:val="1"/>
      <w:numFmt w:val="decimal"/>
      <w:lvlText w:val="%4."/>
      <w:lvlJc w:val="left"/>
      <w:pPr>
        <w:tabs>
          <w:tab w:val="num" w:pos="2160"/>
        </w:tabs>
        <w:ind w:left="2160" w:hanging="360"/>
      </w:pPr>
    </w:lvl>
    <w:lvl w:ilvl="4" w:tplc="995CC8CE" w:tentative="1">
      <w:start w:val="1"/>
      <w:numFmt w:val="lowerLetter"/>
      <w:lvlText w:val="%5."/>
      <w:lvlJc w:val="left"/>
      <w:pPr>
        <w:tabs>
          <w:tab w:val="num" w:pos="2880"/>
        </w:tabs>
        <w:ind w:left="2880" w:hanging="360"/>
      </w:pPr>
    </w:lvl>
    <w:lvl w:ilvl="5" w:tplc="110421D2" w:tentative="1">
      <w:start w:val="1"/>
      <w:numFmt w:val="lowerRoman"/>
      <w:lvlText w:val="%6."/>
      <w:lvlJc w:val="right"/>
      <w:pPr>
        <w:tabs>
          <w:tab w:val="num" w:pos="3600"/>
        </w:tabs>
        <w:ind w:left="3600" w:hanging="180"/>
      </w:pPr>
    </w:lvl>
    <w:lvl w:ilvl="6" w:tplc="ED961664" w:tentative="1">
      <w:start w:val="1"/>
      <w:numFmt w:val="decimal"/>
      <w:lvlText w:val="%7."/>
      <w:lvlJc w:val="left"/>
      <w:pPr>
        <w:tabs>
          <w:tab w:val="num" w:pos="4320"/>
        </w:tabs>
        <w:ind w:left="4320" w:hanging="360"/>
      </w:pPr>
    </w:lvl>
    <w:lvl w:ilvl="7" w:tplc="58DA164C" w:tentative="1">
      <w:start w:val="1"/>
      <w:numFmt w:val="lowerLetter"/>
      <w:lvlText w:val="%8."/>
      <w:lvlJc w:val="left"/>
      <w:pPr>
        <w:tabs>
          <w:tab w:val="num" w:pos="5040"/>
        </w:tabs>
        <w:ind w:left="5040" w:hanging="360"/>
      </w:pPr>
    </w:lvl>
    <w:lvl w:ilvl="8" w:tplc="B986EB9E" w:tentative="1">
      <w:start w:val="1"/>
      <w:numFmt w:val="lowerRoman"/>
      <w:lvlText w:val="%9."/>
      <w:lvlJc w:val="right"/>
      <w:pPr>
        <w:tabs>
          <w:tab w:val="num" w:pos="5760"/>
        </w:tabs>
        <w:ind w:left="5760" w:hanging="180"/>
      </w:pPr>
    </w:lvl>
  </w:abstractNum>
  <w:abstractNum w:abstractNumId="23" w15:restartNumberingAfterBreak="0">
    <w:nsid w:val="059B2ADB"/>
    <w:multiLevelType w:val="hybridMultilevel"/>
    <w:tmpl w:val="4E2C47FA"/>
    <w:lvl w:ilvl="0" w:tplc="46D24624">
      <w:start w:val="7"/>
      <w:numFmt w:val="decimal"/>
      <w:lvlText w:val="%1."/>
      <w:lvlJc w:val="left"/>
      <w:pPr>
        <w:tabs>
          <w:tab w:val="num" w:pos="1440"/>
        </w:tabs>
        <w:ind w:left="1440" w:hanging="360"/>
      </w:pPr>
      <w:rPr>
        <w:rFonts w:hint="default"/>
      </w:rPr>
    </w:lvl>
    <w:lvl w:ilvl="1" w:tplc="04150019" w:tentative="1">
      <w:start w:val="1"/>
      <w:numFmt w:val="lowerLetter"/>
      <w:lvlText w:val="%2."/>
      <w:lvlJc w:val="left"/>
      <w:pPr>
        <w:tabs>
          <w:tab w:val="num" w:pos="2160"/>
        </w:tabs>
        <w:ind w:left="2160" w:hanging="360"/>
      </w:pPr>
    </w:lvl>
    <w:lvl w:ilvl="2" w:tplc="0415001B">
      <w:start w:val="1"/>
      <w:numFmt w:val="lowerRoman"/>
      <w:lvlText w:val="%3."/>
      <w:lvlJc w:val="right"/>
      <w:pPr>
        <w:tabs>
          <w:tab w:val="num" w:pos="2880"/>
        </w:tabs>
        <w:ind w:left="2880" w:hanging="180"/>
      </w:pPr>
    </w:lvl>
    <w:lvl w:ilvl="3" w:tplc="0415000F">
      <w:start w:val="1"/>
      <w:numFmt w:val="decimal"/>
      <w:lvlText w:val="%4."/>
      <w:lvlJc w:val="left"/>
      <w:pPr>
        <w:tabs>
          <w:tab w:val="num" w:pos="3600"/>
        </w:tabs>
        <w:ind w:left="3600" w:hanging="360"/>
      </w:pPr>
      <w:rPr>
        <w:b w:val="0"/>
      </w:rPr>
    </w:lvl>
    <w:lvl w:ilvl="4" w:tplc="04150019" w:tentative="1">
      <w:start w:val="1"/>
      <w:numFmt w:val="lowerLetter"/>
      <w:lvlText w:val="%5."/>
      <w:lvlJc w:val="left"/>
      <w:pPr>
        <w:tabs>
          <w:tab w:val="num" w:pos="4320"/>
        </w:tabs>
        <w:ind w:left="4320" w:hanging="360"/>
      </w:pPr>
    </w:lvl>
    <w:lvl w:ilvl="5" w:tplc="0415001B" w:tentative="1">
      <w:start w:val="1"/>
      <w:numFmt w:val="lowerRoman"/>
      <w:lvlText w:val="%6."/>
      <w:lvlJc w:val="right"/>
      <w:pPr>
        <w:tabs>
          <w:tab w:val="num" w:pos="5040"/>
        </w:tabs>
        <w:ind w:left="5040" w:hanging="180"/>
      </w:pPr>
    </w:lvl>
    <w:lvl w:ilvl="6" w:tplc="0415000F" w:tentative="1">
      <w:start w:val="1"/>
      <w:numFmt w:val="decimal"/>
      <w:lvlText w:val="%7."/>
      <w:lvlJc w:val="left"/>
      <w:pPr>
        <w:tabs>
          <w:tab w:val="num" w:pos="5760"/>
        </w:tabs>
        <w:ind w:left="5760" w:hanging="360"/>
      </w:pPr>
    </w:lvl>
    <w:lvl w:ilvl="7" w:tplc="04150019" w:tentative="1">
      <w:start w:val="1"/>
      <w:numFmt w:val="lowerLetter"/>
      <w:lvlText w:val="%8."/>
      <w:lvlJc w:val="left"/>
      <w:pPr>
        <w:tabs>
          <w:tab w:val="num" w:pos="6480"/>
        </w:tabs>
        <w:ind w:left="6480" w:hanging="360"/>
      </w:pPr>
    </w:lvl>
    <w:lvl w:ilvl="8" w:tplc="0415001B" w:tentative="1">
      <w:start w:val="1"/>
      <w:numFmt w:val="lowerRoman"/>
      <w:lvlText w:val="%9."/>
      <w:lvlJc w:val="right"/>
      <w:pPr>
        <w:tabs>
          <w:tab w:val="num" w:pos="7200"/>
        </w:tabs>
        <w:ind w:left="7200" w:hanging="180"/>
      </w:pPr>
    </w:lvl>
  </w:abstractNum>
  <w:abstractNum w:abstractNumId="24" w15:restartNumberingAfterBreak="0">
    <w:nsid w:val="0706267D"/>
    <w:multiLevelType w:val="hybridMultilevel"/>
    <w:tmpl w:val="7C2ABC06"/>
    <w:lvl w:ilvl="0" w:tplc="04150011">
      <w:start w:val="1"/>
      <w:numFmt w:val="decimal"/>
      <w:lvlText w:val="%1)"/>
      <w:lvlJc w:val="left"/>
      <w:pPr>
        <w:tabs>
          <w:tab w:val="num" w:pos="360"/>
        </w:tabs>
        <w:ind w:left="360" w:hanging="360"/>
      </w:pPr>
      <w:rPr>
        <w:rFonts w:cs="Times New Roman" w:hint="default"/>
      </w:rPr>
    </w:lvl>
    <w:lvl w:ilvl="1" w:tplc="E25EB2B0">
      <w:start w:val="1"/>
      <w:numFmt w:val="lowerLetter"/>
      <w:lvlText w:val="%2)"/>
      <w:lvlJc w:val="left"/>
      <w:pPr>
        <w:tabs>
          <w:tab w:val="num" w:pos="1080"/>
        </w:tabs>
        <w:ind w:left="1080" w:hanging="360"/>
      </w:pPr>
      <w:rPr>
        <w:rFonts w:hint="default"/>
        <w:b w:val="0"/>
        <w:bCs/>
      </w:rPr>
    </w:lvl>
    <w:lvl w:ilvl="2" w:tplc="0415001B">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25" w15:restartNumberingAfterBreak="0">
    <w:nsid w:val="089C74A8"/>
    <w:multiLevelType w:val="hybridMultilevel"/>
    <w:tmpl w:val="443AC0EE"/>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6" w15:restartNumberingAfterBreak="0">
    <w:nsid w:val="0E7710A8"/>
    <w:multiLevelType w:val="hybridMultilevel"/>
    <w:tmpl w:val="EDE62F92"/>
    <w:lvl w:ilvl="0" w:tplc="FFFFFFFF">
      <w:start w:val="1"/>
      <w:numFmt w:val="decimal"/>
      <w:lvlText w:val="%1."/>
      <w:lvlJc w:val="left"/>
      <w:pPr>
        <w:ind w:left="360" w:hanging="360"/>
      </w:pPr>
      <w:rPr>
        <w:rFonts w:hint="default"/>
        <w:sz w:val="24"/>
        <w:szCs w:val="24"/>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0F236C48"/>
    <w:multiLevelType w:val="multilevel"/>
    <w:tmpl w:val="0415001F"/>
    <w:styleLink w:val="111111"/>
    <w:lvl w:ilvl="0">
      <w:start w:val="1"/>
      <w:numFmt w:val="decimal"/>
      <w:lvlText w:val="%1."/>
      <w:lvlJc w:val="left"/>
      <w:pPr>
        <w:tabs>
          <w:tab w:val="num" w:pos="360"/>
        </w:tabs>
        <w:ind w:left="360" w:hanging="360"/>
      </w:pPr>
      <w:rPr>
        <w:rFonts w:ascii="Calibri" w:hAnsi="Calibri"/>
        <w:sz w:val="24"/>
      </w:rPr>
    </w:lvl>
    <w:lvl w:ilvl="1">
      <w:start w:val="1"/>
      <w:numFmt w:val="decimal"/>
      <w:lvlText w:val="%1.%2."/>
      <w:lvlJc w:val="left"/>
      <w:pPr>
        <w:tabs>
          <w:tab w:val="num" w:pos="792"/>
        </w:tabs>
        <w:ind w:left="792" w:hanging="432"/>
      </w:pPr>
      <w:rPr>
        <w:rFonts w:ascii="Calibri" w:hAnsi="Calibri"/>
        <w:sz w:val="22"/>
      </w:rPr>
    </w:lvl>
    <w:lvl w:ilvl="2">
      <w:start w:val="1"/>
      <w:numFmt w:val="decimal"/>
      <w:lvlText w:val="%1.%2.%3."/>
      <w:lvlJc w:val="left"/>
      <w:pPr>
        <w:tabs>
          <w:tab w:val="num" w:pos="1440"/>
        </w:tabs>
        <w:ind w:left="1224" w:hanging="504"/>
      </w:pPr>
      <w:rPr>
        <w:rFonts w:ascii="Calibri" w:hAnsi="Calibri"/>
      </w:r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8" w15:restartNumberingAfterBreak="0">
    <w:nsid w:val="10F7124C"/>
    <w:multiLevelType w:val="hybridMultilevel"/>
    <w:tmpl w:val="537AFBB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14FA690C"/>
    <w:multiLevelType w:val="hybridMultilevel"/>
    <w:tmpl w:val="65389E76"/>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0" w15:restartNumberingAfterBreak="0">
    <w:nsid w:val="15A925E8"/>
    <w:multiLevelType w:val="hybridMultilevel"/>
    <w:tmpl w:val="D7903B62"/>
    <w:lvl w:ilvl="0" w:tplc="AB44025E">
      <w:start w:val="1"/>
      <w:numFmt w:val="bullet"/>
      <w:lvlText w:val=""/>
      <w:lvlJc w:val="left"/>
      <w:pPr>
        <w:ind w:left="787" w:hanging="360"/>
      </w:pPr>
      <w:rPr>
        <w:rFonts w:ascii="Symbol" w:hAnsi="Symbol" w:hint="default"/>
      </w:rPr>
    </w:lvl>
    <w:lvl w:ilvl="1" w:tplc="04150003" w:tentative="1">
      <w:start w:val="1"/>
      <w:numFmt w:val="bullet"/>
      <w:lvlText w:val="o"/>
      <w:lvlJc w:val="left"/>
      <w:pPr>
        <w:ind w:left="1507" w:hanging="360"/>
      </w:pPr>
      <w:rPr>
        <w:rFonts w:ascii="Courier New" w:hAnsi="Courier New" w:cs="Courier New" w:hint="default"/>
      </w:rPr>
    </w:lvl>
    <w:lvl w:ilvl="2" w:tplc="04150005" w:tentative="1">
      <w:start w:val="1"/>
      <w:numFmt w:val="bullet"/>
      <w:lvlText w:val=""/>
      <w:lvlJc w:val="left"/>
      <w:pPr>
        <w:ind w:left="2227" w:hanging="360"/>
      </w:pPr>
      <w:rPr>
        <w:rFonts w:ascii="Wingdings" w:hAnsi="Wingdings" w:hint="default"/>
      </w:rPr>
    </w:lvl>
    <w:lvl w:ilvl="3" w:tplc="04150001" w:tentative="1">
      <w:start w:val="1"/>
      <w:numFmt w:val="bullet"/>
      <w:lvlText w:val=""/>
      <w:lvlJc w:val="left"/>
      <w:pPr>
        <w:ind w:left="2947" w:hanging="360"/>
      </w:pPr>
      <w:rPr>
        <w:rFonts w:ascii="Symbol" w:hAnsi="Symbol" w:hint="default"/>
      </w:rPr>
    </w:lvl>
    <w:lvl w:ilvl="4" w:tplc="04150003" w:tentative="1">
      <w:start w:val="1"/>
      <w:numFmt w:val="bullet"/>
      <w:lvlText w:val="o"/>
      <w:lvlJc w:val="left"/>
      <w:pPr>
        <w:ind w:left="3667" w:hanging="360"/>
      </w:pPr>
      <w:rPr>
        <w:rFonts w:ascii="Courier New" w:hAnsi="Courier New" w:cs="Courier New" w:hint="default"/>
      </w:rPr>
    </w:lvl>
    <w:lvl w:ilvl="5" w:tplc="04150005" w:tentative="1">
      <w:start w:val="1"/>
      <w:numFmt w:val="bullet"/>
      <w:lvlText w:val=""/>
      <w:lvlJc w:val="left"/>
      <w:pPr>
        <w:ind w:left="4387" w:hanging="360"/>
      </w:pPr>
      <w:rPr>
        <w:rFonts w:ascii="Wingdings" w:hAnsi="Wingdings" w:hint="default"/>
      </w:rPr>
    </w:lvl>
    <w:lvl w:ilvl="6" w:tplc="04150001" w:tentative="1">
      <w:start w:val="1"/>
      <w:numFmt w:val="bullet"/>
      <w:lvlText w:val=""/>
      <w:lvlJc w:val="left"/>
      <w:pPr>
        <w:ind w:left="5107" w:hanging="360"/>
      </w:pPr>
      <w:rPr>
        <w:rFonts w:ascii="Symbol" w:hAnsi="Symbol" w:hint="default"/>
      </w:rPr>
    </w:lvl>
    <w:lvl w:ilvl="7" w:tplc="04150003" w:tentative="1">
      <w:start w:val="1"/>
      <w:numFmt w:val="bullet"/>
      <w:lvlText w:val="o"/>
      <w:lvlJc w:val="left"/>
      <w:pPr>
        <w:ind w:left="5827" w:hanging="360"/>
      </w:pPr>
      <w:rPr>
        <w:rFonts w:ascii="Courier New" w:hAnsi="Courier New" w:cs="Courier New" w:hint="default"/>
      </w:rPr>
    </w:lvl>
    <w:lvl w:ilvl="8" w:tplc="04150005" w:tentative="1">
      <w:start w:val="1"/>
      <w:numFmt w:val="bullet"/>
      <w:lvlText w:val=""/>
      <w:lvlJc w:val="left"/>
      <w:pPr>
        <w:ind w:left="6547" w:hanging="360"/>
      </w:pPr>
      <w:rPr>
        <w:rFonts w:ascii="Wingdings" w:hAnsi="Wingdings" w:hint="default"/>
      </w:rPr>
    </w:lvl>
  </w:abstractNum>
  <w:abstractNum w:abstractNumId="31" w15:restartNumberingAfterBreak="0">
    <w:nsid w:val="171A6AB6"/>
    <w:multiLevelType w:val="hybridMultilevel"/>
    <w:tmpl w:val="8CA63802"/>
    <w:lvl w:ilvl="0" w:tplc="FFFFFFFF">
      <w:start w:val="1"/>
      <w:numFmt w:val="lowerLetter"/>
      <w:lvlText w:val="%1)"/>
      <w:lvlJc w:val="left"/>
      <w:pPr>
        <w:tabs>
          <w:tab w:val="num" w:pos="720"/>
        </w:tabs>
        <w:ind w:left="720" w:hanging="360"/>
      </w:pPr>
      <w:rPr>
        <w:rFonts w:hint="default"/>
        <w:b w:val="0"/>
      </w:rPr>
    </w:lvl>
    <w:lvl w:ilvl="1" w:tplc="FFFFFFFF">
      <w:start w:val="1"/>
      <w:numFmt w:val="bullet"/>
      <w:lvlText w:val="-"/>
      <w:lvlJc w:val="left"/>
      <w:pPr>
        <w:tabs>
          <w:tab w:val="num" w:pos="720"/>
        </w:tabs>
        <w:ind w:left="720" w:hanging="360"/>
      </w:pPr>
      <w:rPr>
        <w:rFonts w:ascii="Courier New" w:hAnsi="Courier New" w:hint="default"/>
        <w:b w:val="0"/>
      </w:rPr>
    </w:lvl>
    <w:lvl w:ilvl="2" w:tplc="FFFFFFFF" w:tentative="1">
      <w:start w:val="1"/>
      <w:numFmt w:val="lowerRoman"/>
      <w:lvlText w:val="%3."/>
      <w:lvlJc w:val="right"/>
      <w:pPr>
        <w:tabs>
          <w:tab w:val="num" w:pos="1440"/>
        </w:tabs>
        <w:ind w:left="1440" w:hanging="180"/>
      </w:pPr>
    </w:lvl>
    <w:lvl w:ilvl="3" w:tplc="FFFFFFFF" w:tentative="1">
      <w:start w:val="1"/>
      <w:numFmt w:val="decimal"/>
      <w:lvlText w:val="%4."/>
      <w:lvlJc w:val="left"/>
      <w:pPr>
        <w:tabs>
          <w:tab w:val="num" w:pos="2160"/>
        </w:tabs>
        <w:ind w:left="2160" w:hanging="360"/>
      </w:pPr>
    </w:lvl>
    <w:lvl w:ilvl="4" w:tplc="FFFFFFFF" w:tentative="1">
      <w:start w:val="1"/>
      <w:numFmt w:val="lowerLetter"/>
      <w:lvlText w:val="%5."/>
      <w:lvlJc w:val="left"/>
      <w:pPr>
        <w:tabs>
          <w:tab w:val="num" w:pos="2880"/>
        </w:tabs>
        <w:ind w:left="2880" w:hanging="360"/>
      </w:pPr>
    </w:lvl>
    <w:lvl w:ilvl="5" w:tplc="FFFFFFFF" w:tentative="1">
      <w:start w:val="1"/>
      <w:numFmt w:val="lowerRoman"/>
      <w:lvlText w:val="%6."/>
      <w:lvlJc w:val="right"/>
      <w:pPr>
        <w:tabs>
          <w:tab w:val="num" w:pos="3600"/>
        </w:tabs>
        <w:ind w:left="3600" w:hanging="180"/>
      </w:pPr>
    </w:lvl>
    <w:lvl w:ilvl="6" w:tplc="FFFFFFFF" w:tentative="1">
      <w:start w:val="1"/>
      <w:numFmt w:val="decimal"/>
      <w:lvlText w:val="%7."/>
      <w:lvlJc w:val="left"/>
      <w:pPr>
        <w:tabs>
          <w:tab w:val="num" w:pos="4320"/>
        </w:tabs>
        <w:ind w:left="4320" w:hanging="360"/>
      </w:pPr>
    </w:lvl>
    <w:lvl w:ilvl="7" w:tplc="FFFFFFFF" w:tentative="1">
      <w:start w:val="1"/>
      <w:numFmt w:val="lowerLetter"/>
      <w:lvlText w:val="%8."/>
      <w:lvlJc w:val="left"/>
      <w:pPr>
        <w:tabs>
          <w:tab w:val="num" w:pos="5040"/>
        </w:tabs>
        <w:ind w:left="5040" w:hanging="360"/>
      </w:pPr>
    </w:lvl>
    <w:lvl w:ilvl="8" w:tplc="FFFFFFFF" w:tentative="1">
      <w:start w:val="1"/>
      <w:numFmt w:val="lowerRoman"/>
      <w:lvlText w:val="%9."/>
      <w:lvlJc w:val="right"/>
      <w:pPr>
        <w:tabs>
          <w:tab w:val="num" w:pos="5760"/>
        </w:tabs>
        <w:ind w:left="5760" w:hanging="180"/>
      </w:pPr>
    </w:lvl>
  </w:abstractNum>
  <w:abstractNum w:abstractNumId="32" w15:restartNumberingAfterBreak="0">
    <w:nsid w:val="19AA47B8"/>
    <w:multiLevelType w:val="hybridMultilevel"/>
    <w:tmpl w:val="5EC2C988"/>
    <w:lvl w:ilvl="0" w:tplc="0415000F">
      <w:start w:val="1"/>
      <w:numFmt w:val="decimal"/>
      <w:lvlText w:val="%1."/>
      <w:lvlJc w:val="left"/>
      <w:pPr>
        <w:tabs>
          <w:tab w:val="num" w:pos="720"/>
        </w:tabs>
        <w:ind w:left="720" w:hanging="360"/>
      </w:pPr>
      <w:rPr>
        <w:rFonts w:hint="default"/>
        <w:color w:val="auto"/>
      </w:rPr>
    </w:lvl>
    <w:lvl w:ilvl="1" w:tplc="BE323482">
      <w:start w:val="1"/>
      <w:numFmt w:val="bullet"/>
      <w:lvlText w:val=""/>
      <w:lvlJc w:val="left"/>
      <w:pPr>
        <w:ind w:left="1440" w:hanging="360"/>
      </w:pPr>
      <w:rPr>
        <w:rFonts w:ascii="Symbol" w:hAnsi="Symbol" w:hint="default"/>
      </w:rPr>
    </w:lvl>
    <w:lvl w:ilvl="2" w:tplc="0415001B">
      <w:start w:val="5"/>
      <w:numFmt w:val="decimal"/>
      <w:lvlText w:val="%3."/>
      <w:lvlJc w:val="left"/>
      <w:pPr>
        <w:tabs>
          <w:tab w:val="num" w:pos="2340"/>
        </w:tabs>
        <w:ind w:left="2340" w:hanging="360"/>
      </w:pPr>
      <w:rPr>
        <w:rFonts w:hint="default"/>
        <w:color w:val="auto"/>
      </w:rPr>
    </w:lvl>
    <w:lvl w:ilvl="3" w:tplc="0415000F">
      <w:start w:val="16"/>
      <w:numFmt w:val="decimal"/>
      <w:lvlText w:val="%4"/>
      <w:lvlJc w:val="left"/>
      <w:pPr>
        <w:ind w:left="2880" w:hanging="360"/>
      </w:pPr>
      <w:rPr>
        <w:rFonts w:hint="default"/>
      </w:r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3" w15:restartNumberingAfterBreak="0">
    <w:nsid w:val="1A8216A1"/>
    <w:multiLevelType w:val="hybridMultilevel"/>
    <w:tmpl w:val="5FFCCA60"/>
    <w:lvl w:ilvl="0" w:tplc="0415000F">
      <w:start w:val="1"/>
      <w:numFmt w:val="decimal"/>
      <w:lvlText w:val="%1."/>
      <w:lvlJc w:val="left"/>
      <w:pPr>
        <w:tabs>
          <w:tab w:val="num" w:pos="720"/>
        </w:tabs>
        <w:ind w:left="720" w:hanging="360"/>
      </w:pPr>
      <w:rPr>
        <w:b w:val="0"/>
        <w:i w:val="0"/>
      </w:rPr>
    </w:lvl>
    <w:lvl w:ilvl="1" w:tplc="04150005" w:tentative="1">
      <w:start w:val="1"/>
      <w:numFmt w:val="lowerLetter"/>
      <w:lvlText w:val="%2."/>
      <w:lvlJc w:val="left"/>
      <w:pPr>
        <w:tabs>
          <w:tab w:val="num" w:pos="1440"/>
        </w:tabs>
        <w:ind w:left="1440" w:hanging="360"/>
      </w:pPr>
    </w:lvl>
    <w:lvl w:ilvl="2" w:tplc="B95A3C8E" w:tentative="1">
      <w:start w:val="1"/>
      <w:numFmt w:val="lowerRoman"/>
      <w:lvlText w:val="%3."/>
      <w:lvlJc w:val="right"/>
      <w:pPr>
        <w:tabs>
          <w:tab w:val="num" w:pos="2160"/>
        </w:tabs>
        <w:ind w:left="2160" w:hanging="180"/>
      </w:pPr>
    </w:lvl>
    <w:lvl w:ilvl="3" w:tplc="DF241B0E"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35" w15:restartNumberingAfterBreak="0">
    <w:nsid w:val="1BF07365"/>
    <w:multiLevelType w:val="hybridMultilevel"/>
    <w:tmpl w:val="8EBE8D26"/>
    <w:lvl w:ilvl="0" w:tplc="23F4C010">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6" w15:restartNumberingAfterBreak="0">
    <w:nsid w:val="1C325C17"/>
    <w:multiLevelType w:val="hybridMultilevel"/>
    <w:tmpl w:val="E9CE3BF6"/>
    <w:lvl w:ilvl="0" w:tplc="CF78A90A">
      <w:start w:val="1"/>
      <w:numFmt w:val="lowerLetter"/>
      <w:lvlText w:val="%1)"/>
      <w:lvlJc w:val="left"/>
      <w:pPr>
        <w:ind w:left="360" w:hanging="360"/>
      </w:pPr>
      <w:rPr>
        <w:b w:val="0"/>
        <w:bCs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7" w15:restartNumberingAfterBreak="0">
    <w:nsid w:val="1D417843"/>
    <w:multiLevelType w:val="hybridMultilevel"/>
    <w:tmpl w:val="BDBC69EC"/>
    <w:lvl w:ilvl="0" w:tplc="C4660B1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1D696DF5"/>
    <w:multiLevelType w:val="hybridMultilevel"/>
    <w:tmpl w:val="3CF8785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1E9C0153"/>
    <w:multiLevelType w:val="hybridMultilevel"/>
    <w:tmpl w:val="C096B272"/>
    <w:lvl w:ilvl="0" w:tplc="AB44025E">
      <w:start w:val="1"/>
      <w:numFmt w:val="bullet"/>
      <w:lvlText w:val=""/>
      <w:lvlJc w:val="left"/>
      <w:pPr>
        <w:ind w:left="720" w:hanging="360"/>
      </w:pPr>
      <w:rPr>
        <w:rFonts w:ascii="Symbol" w:hAnsi="Symbol" w:hint="default"/>
      </w:rPr>
    </w:lvl>
    <w:lvl w:ilvl="1" w:tplc="C5EEE948">
      <w:start w:val="1"/>
      <w:numFmt w:val="bullet"/>
      <w:lvlText w:val="­"/>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21242918"/>
    <w:multiLevelType w:val="hybridMultilevel"/>
    <w:tmpl w:val="8A02E1D8"/>
    <w:lvl w:ilvl="0" w:tplc="E66A0B9A">
      <w:start w:val="1"/>
      <w:numFmt w:val="bullet"/>
      <w:lvlText w:val=""/>
      <w:lvlJc w:val="left"/>
      <w:pPr>
        <w:ind w:left="711" w:hanging="360"/>
      </w:pPr>
      <w:rPr>
        <w:rFonts w:ascii="Symbol" w:hAnsi="Symbol" w:hint="default"/>
      </w:rPr>
    </w:lvl>
    <w:lvl w:ilvl="1" w:tplc="04150003" w:tentative="1">
      <w:start w:val="1"/>
      <w:numFmt w:val="bullet"/>
      <w:lvlText w:val="o"/>
      <w:lvlJc w:val="left"/>
      <w:pPr>
        <w:ind w:left="1431" w:hanging="360"/>
      </w:pPr>
      <w:rPr>
        <w:rFonts w:ascii="Courier New" w:hAnsi="Courier New" w:cs="Courier New" w:hint="default"/>
      </w:rPr>
    </w:lvl>
    <w:lvl w:ilvl="2" w:tplc="04150005" w:tentative="1">
      <w:start w:val="1"/>
      <w:numFmt w:val="bullet"/>
      <w:lvlText w:val=""/>
      <w:lvlJc w:val="left"/>
      <w:pPr>
        <w:ind w:left="2151" w:hanging="360"/>
      </w:pPr>
      <w:rPr>
        <w:rFonts w:ascii="Wingdings" w:hAnsi="Wingdings" w:hint="default"/>
      </w:rPr>
    </w:lvl>
    <w:lvl w:ilvl="3" w:tplc="04150001" w:tentative="1">
      <w:start w:val="1"/>
      <w:numFmt w:val="bullet"/>
      <w:lvlText w:val=""/>
      <w:lvlJc w:val="left"/>
      <w:pPr>
        <w:ind w:left="2871" w:hanging="360"/>
      </w:pPr>
      <w:rPr>
        <w:rFonts w:ascii="Symbol" w:hAnsi="Symbol" w:hint="default"/>
      </w:rPr>
    </w:lvl>
    <w:lvl w:ilvl="4" w:tplc="04150003" w:tentative="1">
      <w:start w:val="1"/>
      <w:numFmt w:val="bullet"/>
      <w:lvlText w:val="o"/>
      <w:lvlJc w:val="left"/>
      <w:pPr>
        <w:ind w:left="3591" w:hanging="360"/>
      </w:pPr>
      <w:rPr>
        <w:rFonts w:ascii="Courier New" w:hAnsi="Courier New" w:cs="Courier New" w:hint="default"/>
      </w:rPr>
    </w:lvl>
    <w:lvl w:ilvl="5" w:tplc="04150005" w:tentative="1">
      <w:start w:val="1"/>
      <w:numFmt w:val="bullet"/>
      <w:lvlText w:val=""/>
      <w:lvlJc w:val="left"/>
      <w:pPr>
        <w:ind w:left="4311" w:hanging="360"/>
      </w:pPr>
      <w:rPr>
        <w:rFonts w:ascii="Wingdings" w:hAnsi="Wingdings" w:hint="default"/>
      </w:rPr>
    </w:lvl>
    <w:lvl w:ilvl="6" w:tplc="04150001" w:tentative="1">
      <w:start w:val="1"/>
      <w:numFmt w:val="bullet"/>
      <w:lvlText w:val=""/>
      <w:lvlJc w:val="left"/>
      <w:pPr>
        <w:ind w:left="5031" w:hanging="360"/>
      </w:pPr>
      <w:rPr>
        <w:rFonts w:ascii="Symbol" w:hAnsi="Symbol" w:hint="default"/>
      </w:rPr>
    </w:lvl>
    <w:lvl w:ilvl="7" w:tplc="04150003" w:tentative="1">
      <w:start w:val="1"/>
      <w:numFmt w:val="bullet"/>
      <w:lvlText w:val="o"/>
      <w:lvlJc w:val="left"/>
      <w:pPr>
        <w:ind w:left="5751" w:hanging="360"/>
      </w:pPr>
      <w:rPr>
        <w:rFonts w:ascii="Courier New" w:hAnsi="Courier New" w:cs="Courier New" w:hint="default"/>
      </w:rPr>
    </w:lvl>
    <w:lvl w:ilvl="8" w:tplc="04150005" w:tentative="1">
      <w:start w:val="1"/>
      <w:numFmt w:val="bullet"/>
      <w:lvlText w:val=""/>
      <w:lvlJc w:val="left"/>
      <w:pPr>
        <w:ind w:left="6471" w:hanging="360"/>
      </w:pPr>
      <w:rPr>
        <w:rFonts w:ascii="Wingdings" w:hAnsi="Wingdings" w:hint="default"/>
      </w:rPr>
    </w:lvl>
  </w:abstractNum>
  <w:abstractNum w:abstractNumId="41" w15:restartNumberingAfterBreak="0">
    <w:nsid w:val="24871166"/>
    <w:multiLevelType w:val="hybridMultilevel"/>
    <w:tmpl w:val="0AEA3112"/>
    <w:lvl w:ilvl="0" w:tplc="17100F78">
      <w:start w:val="1"/>
      <w:numFmt w:val="lowerLetter"/>
      <w:lvlText w:val="%1)"/>
      <w:lvlJc w:val="left"/>
      <w:pPr>
        <w:tabs>
          <w:tab w:val="num" w:pos="1428"/>
        </w:tabs>
        <w:ind w:left="1428" w:hanging="360"/>
      </w:pPr>
      <w:rPr>
        <w:rFonts w:hint="default"/>
      </w:rPr>
    </w:lvl>
    <w:lvl w:ilvl="1" w:tplc="04150019">
      <w:start w:val="1"/>
      <w:numFmt w:val="bullet"/>
      <w:lvlText w:val="-"/>
      <w:lvlJc w:val="left"/>
      <w:pPr>
        <w:tabs>
          <w:tab w:val="num" w:pos="1440"/>
        </w:tabs>
        <w:ind w:left="1440" w:hanging="360"/>
      </w:pPr>
      <w:rPr>
        <w:rFonts w:ascii="Courier New" w:hAnsi="Courier New" w:hint="default"/>
      </w:rPr>
    </w:lvl>
    <w:lvl w:ilvl="2" w:tplc="0415001B">
      <w:start w:val="1"/>
      <w:numFmt w:val="decimal"/>
      <w:lvlText w:val="%3)"/>
      <w:lvlJc w:val="left"/>
      <w:pPr>
        <w:tabs>
          <w:tab w:val="num" w:pos="2340"/>
        </w:tabs>
        <w:ind w:left="234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2" w15:restartNumberingAfterBreak="0">
    <w:nsid w:val="24F740CC"/>
    <w:multiLevelType w:val="hybridMultilevel"/>
    <w:tmpl w:val="8CA63802"/>
    <w:lvl w:ilvl="0" w:tplc="0A0E2E80">
      <w:start w:val="1"/>
      <w:numFmt w:val="lowerLetter"/>
      <w:lvlText w:val="%1)"/>
      <w:lvlJc w:val="left"/>
      <w:pPr>
        <w:tabs>
          <w:tab w:val="num" w:pos="720"/>
        </w:tabs>
        <w:ind w:left="720" w:hanging="360"/>
      </w:pPr>
      <w:rPr>
        <w:rFonts w:hint="default"/>
        <w:b w:val="0"/>
      </w:rPr>
    </w:lvl>
    <w:lvl w:ilvl="1" w:tplc="5262DF66">
      <w:start w:val="1"/>
      <w:numFmt w:val="bullet"/>
      <w:lvlText w:val="-"/>
      <w:lvlJc w:val="left"/>
      <w:pPr>
        <w:tabs>
          <w:tab w:val="num" w:pos="720"/>
        </w:tabs>
        <w:ind w:left="720" w:hanging="360"/>
      </w:pPr>
      <w:rPr>
        <w:rFonts w:ascii="Courier New" w:hAnsi="Courier New" w:hint="default"/>
        <w:b w:val="0"/>
      </w:rPr>
    </w:lvl>
    <w:lvl w:ilvl="2" w:tplc="C9C06E3C" w:tentative="1">
      <w:start w:val="1"/>
      <w:numFmt w:val="lowerRoman"/>
      <w:lvlText w:val="%3."/>
      <w:lvlJc w:val="right"/>
      <w:pPr>
        <w:tabs>
          <w:tab w:val="num" w:pos="1440"/>
        </w:tabs>
        <w:ind w:left="1440" w:hanging="180"/>
      </w:pPr>
    </w:lvl>
    <w:lvl w:ilvl="3" w:tplc="6D84CB52" w:tentative="1">
      <w:start w:val="1"/>
      <w:numFmt w:val="decimal"/>
      <w:lvlText w:val="%4."/>
      <w:lvlJc w:val="left"/>
      <w:pPr>
        <w:tabs>
          <w:tab w:val="num" w:pos="2160"/>
        </w:tabs>
        <w:ind w:left="2160" w:hanging="360"/>
      </w:pPr>
    </w:lvl>
    <w:lvl w:ilvl="4" w:tplc="7DFE11EE" w:tentative="1">
      <w:start w:val="1"/>
      <w:numFmt w:val="lowerLetter"/>
      <w:lvlText w:val="%5."/>
      <w:lvlJc w:val="left"/>
      <w:pPr>
        <w:tabs>
          <w:tab w:val="num" w:pos="2880"/>
        </w:tabs>
        <w:ind w:left="2880" w:hanging="360"/>
      </w:pPr>
    </w:lvl>
    <w:lvl w:ilvl="5" w:tplc="1994AB9E" w:tentative="1">
      <w:start w:val="1"/>
      <w:numFmt w:val="lowerRoman"/>
      <w:lvlText w:val="%6."/>
      <w:lvlJc w:val="right"/>
      <w:pPr>
        <w:tabs>
          <w:tab w:val="num" w:pos="3600"/>
        </w:tabs>
        <w:ind w:left="3600" w:hanging="180"/>
      </w:pPr>
    </w:lvl>
    <w:lvl w:ilvl="6" w:tplc="63925064" w:tentative="1">
      <w:start w:val="1"/>
      <w:numFmt w:val="decimal"/>
      <w:lvlText w:val="%7."/>
      <w:lvlJc w:val="left"/>
      <w:pPr>
        <w:tabs>
          <w:tab w:val="num" w:pos="4320"/>
        </w:tabs>
        <w:ind w:left="4320" w:hanging="360"/>
      </w:pPr>
    </w:lvl>
    <w:lvl w:ilvl="7" w:tplc="7C66E0F4" w:tentative="1">
      <w:start w:val="1"/>
      <w:numFmt w:val="lowerLetter"/>
      <w:lvlText w:val="%8."/>
      <w:lvlJc w:val="left"/>
      <w:pPr>
        <w:tabs>
          <w:tab w:val="num" w:pos="5040"/>
        </w:tabs>
        <w:ind w:left="5040" w:hanging="360"/>
      </w:pPr>
    </w:lvl>
    <w:lvl w:ilvl="8" w:tplc="A70CEE5A" w:tentative="1">
      <w:start w:val="1"/>
      <w:numFmt w:val="lowerRoman"/>
      <w:lvlText w:val="%9."/>
      <w:lvlJc w:val="right"/>
      <w:pPr>
        <w:tabs>
          <w:tab w:val="num" w:pos="5760"/>
        </w:tabs>
        <w:ind w:left="5760" w:hanging="180"/>
      </w:pPr>
    </w:lvl>
  </w:abstractNum>
  <w:abstractNum w:abstractNumId="43" w15:restartNumberingAfterBreak="0">
    <w:nsid w:val="27F87FD8"/>
    <w:multiLevelType w:val="hybridMultilevel"/>
    <w:tmpl w:val="47BE9B4E"/>
    <w:lvl w:ilvl="0" w:tplc="FFFFFFFF">
      <w:start w:val="1"/>
      <w:numFmt w:val="upperLetter"/>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4" w15:restartNumberingAfterBreak="0">
    <w:nsid w:val="27FF0FF8"/>
    <w:multiLevelType w:val="multilevel"/>
    <w:tmpl w:val="AF1419E0"/>
    <w:lvl w:ilvl="0">
      <w:start w:val="7"/>
      <w:numFmt w:val="decimal"/>
      <w:lvlText w:val="%1)"/>
      <w:lvlJc w:val="left"/>
      <w:pPr>
        <w:tabs>
          <w:tab w:val="num" w:pos="360"/>
        </w:tabs>
        <w:ind w:left="360" w:hanging="360"/>
      </w:pPr>
      <w:rPr>
        <w:rFonts w:ascii="Arial" w:eastAsia="Times New Roman" w:hAnsi="Arial" w:cs="Arial" w:hint="default"/>
      </w:rPr>
    </w:lvl>
    <w:lvl w:ilvl="1">
      <w:start w:val="1"/>
      <w:numFmt w:val="lowerLetter"/>
      <w:lvlText w:val="%2)"/>
      <w:lvlJc w:val="left"/>
      <w:pPr>
        <w:tabs>
          <w:tab w:val="num" w:pos="720"/>
        </w:tabs>
        <w:ind w:left="720" w:hanging="360"/>
      </w:pPr>
      <w:rPr>
        <w:rFonts w:ascii="Arial" w:eastAsia="Times New Roman" w:hAnsi="Arial" w:cs="Arial" w:hint="default"/>
      </w:rPr>
    </w:lvl>
    <w:lvl w:ilvl="2">
      <w:start w:val="1"/>
      <w:numFmt w:val="lowerRoman"/>
      <w:lvlText w:val="%3)"/>
      <w:lvlJc w:val="left"/>
      <w:pPr>
        <w:tabs>
          <w:tab w:val="num" w:pos="1080"/>
        </w:tabs>
        <w:ind w:left="1080" w:hanging="360"/>
      </w:pPr>
      <w:rPr>
        <w:rFonts w:hint="default"/>
      </w:rPr>
    </w:lvl>
    <w:lvl w:ilvl="3">
      <w:start w:val="2"/>
      <w:numFmt w:val="lowerLetter"/>
      <w:lvlText w:val="%4)"/>
      <w:lvlJc w:val="left"/>
      <w:pPr>
        <w:tabs>
          <w:tab w:val="num" w:pos="1440"/>
        </w:tabs>
        <w:ind w:left="1440" w:hanging="360"/>
      </w:pPr>
      <w:rPr>
        <w:rFonts w:hint="default"/>
        <w:b w:val="0"/>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5" w15:restartNumberingAfterBreak="0">
    <w:nsid w:val="28410182"/>
    <w:multiLevelType w:val="hybridMultilevel"/>
    <w:tmpl w:val="2FE4BA7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28F45209"/>
    <w:multiLevelType w:val="hybridMultilevel"/>
    <w:tmpl w:val="79E6D494"/>
    <w:lvl w:ilvl="0" w:tplc="D8FCC4BC">
      <w:start w:val="1"/>
      <w:numFmt w:val="decimal"/>
      <w:pStyle w:val="KM-2punkt"/>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2A203AD5"/>
    <w:multiLevelType w:val="hybridMultilevel"/>
    <w:tmpl w:val="51AA5028"/>
    <w:lvl w:ilvl="0" w:tplc="0415000F">
      <w:start w:val="1"/>
      <w:numFmt w:val="decimal"/>
      <w:lvlText w:val="%1."/>
      <w:lvlJc w:val="left"/>
      <w:pPr>
        <w:ind w:left="-624" w:hanging="360"/>
      </w:pPr>
    </w:lvl>
    <w:lvl w:ilvl="1" w:tplc="04150019" w:tentative="1">
      <w:start w:val="1"/>
      <w:numFmt w:val="lowerLetter"/>
      <w:lvlText w:val="%2."/>
      <w:lvlJc w:val="left"/>
      <w:pPr>
        <w:ind w:left="96" w:hanging="360"/>
      </w:pPr>
    </w:lvl>
    <w:lvl w:ilvl="2" w:tplc="0415001B" w:tentative="1">
      <w:start w:val="1"/>
      <w:numFmt w:val="lowerRoman"/>
      <w:lvlText w:val="%3."/>
      <w:lvlJc w:val="right"/>
      <w:pPr>
        <w:ind w:left="816" w:hanging="180"/>
      </w:pPr>
    </w:lvl>
    <w:lvl w:ilvl="3" w:tplc="0415000F" w:tentative="1">
      <w:start w:val="1"/>
      <w:numFmt w:val="decimal"/>
      <w:lvlText w:val="%4."/>
      <w:lvlJc w:val="left"/>
      <w:pPr>
        <w:ind w:left="1536" w:hanging="360"/>
      </w:pPr>
    </w:lvl>
    <w:lvl w:ilvl="4" w:tplc="04150019" w:tentative="1">
      <w:start w:val="1"/>
      <w:numFmt w:val="lowerLetter"/>
      <w:lvlText w:val="%5."/>
      <w:lvlJc w:val="left"/>
      <w:pPr>
        <w:ind w:left="2256" w:hanging="360"/>
      </w:pPr>
    </w:lvl>
    <w:lvl w:ilvl="5" w:tplc="0415001B" w:tentative="1">
      <w:start w:val="1"/>
      <w:numFmt w:val="lowerRoman"/>
      <w:lvlText w:val="%6."/>
      <w:lvlJc w:val="right"/>
      <w:pPr>
        <w:ind w:left="2976" w:hanging="180"/>
      </w:pPr>
    </w:lvl>
    <w:lvl w:ilvl="6" w:tplc="0415000F" w:tentative="1">
      <w:start w:val="1"/>
      <w:numFmt w:val="decimal"/>
      <w:lvlText w:val="%7."/>
      <w:lvlJc w:val="left"/>
      <w:pPr>
        <w:ind w:left="3696" w:hanging="360"/>
      </w:pPr>
    </w:lvl>
    <w:lvl w:ilvl="7" w:tplc="04150019" w:tentative="1">
      <w:start w:val="1"/>
      <w:numFmt w:val="lowerLetter"/>
      <w:lvlText w:val="%8."/>
      <w:lvlJc w:val="left"/>
      <w:pPr>
        <w:ind w:left="4416" w:hanging="360"/>
      </w:pPr>
    </w:lvl>
    <w:lvl w:ilvl="8" w:tplc="0415001B" w:tentative="1">
      <w:start w:val="1"/>
      <w:numFmt w:val="lowerRoman"/>
      <w:lvlText w:val="%9."/>
      <w:lvlJc w:val="right"/>
      <w:pPr>
        <w:ind w:left="5136" w:hanging="180"/>
      </w:pPr>
    </w:lvl>
  </w:abstractNum>
  <w:abstractNum w:abstractNumId="48" w15:restartNumberingAfterBreak="0">
    <w:nsid w:val="2C403E6F"/>
    <w:multiLevelType w:val="hybridMultilevel"/>
    <w:tmpl w:val="BBD67E6A"/>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300267D5"/>
    <w:multiLevelType w:val="hybridMultilevel"/>
    <w:tmpl w:val="3FAC274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3190280E"/>
    <w:multiLevelType w:val="hybridMultilevel"/>
    <w:tmpl w:val="9870AA5E"/>
    <w:lvl w:ilvl="0" w:tplc="CD6403F0">
      <w:start w:val="1"/>
      <w:numFmt w:val="lowerLetter"/>
      <w:lvlText w:val="%1)"/>
      <w:lvlJc w:val="left"/>
      <w:pPr>
        <w:ind w:left="1069" w:hanging="360"/>
      </w:pPr>
      <w:rPr>
        <w:rFonts w:hint="default"/>
        <w:spacing w:val="-2"/>
        <w:position w:val="0"/>
      </w:rPr>
    </w:lvl>
    <w:lvl w:ilvl="1" w:tplc="04150003" w:tentative="1">
      <w:start w:val="1"/>
      <w:numFmt w:val="lowerLetter"/>
      <w:lvlText w:val="%2."/>
      <w:lvlJc w:val="left"/>
      <w:pPr>
        <w:ind w:left="1789" w:hanging="360"/>
      </w:pPr>
    </w:lvl>
    <w:lvl w:ilvl="2" w:tplc="04150005" w:tentative="1">
      <w:start w:val="1"/>
      <w:numFmt w:val="lowerRoman"/>
      <w:lvlText w:val="%3."/>
      <w:lvlJc w:val="right"/>
      <w:pPr>
        <w:ind w:left="2509" w:hanging="180"/>
      </w:pPr>
    </w:lvl>
    <w:lvl w:ilvl="3" w:tplc="04150001" w:tentative="1">
      <w:start w:val="1"/>
      <w:numFmt w:val="decimal"/>
      <w:lvlText w:val="%4."/>
      <w:lvlJc w:val="left"/>
      <w:pPr>
        <w:ind w:left="3229" w:hanging="360"/>
      </w:pPr>
    </w:lvl>
    <w:lvl w:ilvl="4" w:tplc="04150003" w:tentative="1">
      <w:start w:val="1"/>
      <w:numFmt w:val="lowerLetter"/>
      <w:lvlText w:val="%5."/>
      <w:lvlJc w:val="left"/>
      <w:pPr>
        <w:ind w:left="3949" w:hanging="360"/>
      </w:pPr>
    </w:lvl>
    <w:lvl w:ilvl="5" w:tplc="04150005" w:tentative="1">
      <w:start w:val="1"/>
      <w:numFmt w:val="lowerRoman"/>
      <w:lvlText w:val="%6."/>
      <w:lvlJc w:val="right"/>
      <w:pPr>
        <w:ind w:left="4669" w:hanging="180"/>
      </w:pPr>
    </w:lvl>
    <w:lvl w:ilvl="6" w:tplc="04150001" w:tentative="1">
      <w:start w:val="1"/>
      <w:numFmt w:val="decimal"/>
      <w:lvlText w:val="%7."/>
      <w:lvlJc w:val="left"/>
      <w:pPr>
        <w:ind w:left="5389" w:hanging="360"/>
      </w:pPr>
    </w:lvl>
    <w:lvl w:ilvl="7" w:tplc="04150003" w:tentative="1">
      <w:start w:val="1"/>
      <w:numFmt w:val="lowerLetter"/>
      <w:lvlText w:val="%8."/>
      <w:lvlJc w:val="left"/>
      <w:pPr>
        <w:ind w:left="6109" w:hanging="360"/>
      </w:pPr>
    </w:lvl>
    <w:lvl w:ilvl="8" w:tplc="04150005" w:tentative="1">
      <w:start w:val="1"/>
      <w:numFmt w:val="lowerRoman"/>
      <w:lvlText w:val="%9."/>
      <w:lvlJc w:val="right"/>
      <w:pPr>
        <w:ind w:left="6829" w:hanging="180"/>
      </w:pPr>
    </w:lvl>
  </w:abstractNum>
  <w:abstractNum w:abstractNumId="51" w15:restartNumberingAfterBreak="0">
    <w:nsid w:val="320522E3"/>
    <w:multiLevelType w:val="hybridMultilevel"/>
    <w:tmpl w:val="034841A0"/>
    <w:lvl w:ilvl="0" w:tplc="04150011">
      <w:start w:val="1"/>
      <w:numFmt w:val="decimal"/>
      <w:lvlText w:val="%1)"/>
      <w:lvlJc w:val="left"/>
      <w:pPr>
        <w:tabs>
          <w:tab w:val="num" w:pos="720"/>
        </w:tabs>
        <w:ind w:left="720" w:hanging="360"/>
      </w:pPr>
      <w:rPr>
        <w:b w:val="0"/>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2" w15:restartNumberingAfterBreak="0">
    <w:nsid w:val="329D7AEA"/>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3" w15:restartNumberingAfterBreak="0">
    <w:nsid w:val="34AC5D5E"/>
    <w:multiLevelType w:val="hybridMultilevel"/>
    <w:tmpl w:val="729EB524"/>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4" w15:restartNumberingAfterBreak="0">
    <w:nsid w:val="370F0247"/>
    <w:multiLevelType w:val="hybridMultilevel"/>
    <w:tmpl w:val="5CCC7572"/>
    <w:lvl w:ilvl="0" w:tplc="04150017">
      <w:start w:val="1"/>
      <w:numFmt w:val="lowerLetter"/>
      <w:lvlText w:val="%1)"/>
      <w:lvlJc w:val="left"/>
      <w:pPr>
        <w:tabs>
          <w:tab w:val="num" w:pos="1080"/>
        </w:tabs>
        <w:ind w:left="1080" w:hanging="360"/>
      </w:pPr>
      <w:rPr>
        <w:rFonts w:hint="default"/>
      </w:rPr>
    </w:lvl>
    <w:lvl w:ilvl="1" w:tplc="FFFFFFFF">
      <w:start w:val="1"/>
      <w:numFmt w:val="decimal"/>
      <w:lvlText w:val="%2."/>
      <w:lvlJc w:val="left"/>
      <w:pPr>
        <w:tabs>
          <w:tab w:val="num" w:pos="1800"/>
        </w:tabs>
        <w:ind w:left="1800" w:hanging="360"/>
      </w:pPr>
      <w:rPr>
        <w:rFonts w:hint="default"/>
      </w:rPr>
    </w:lvl>
    <w:lvl w:ilvl="2" w:tplc="FFFFFFFF">
      <w:start w:val="1"/>
      <w:numFmt w:val="lowerLetter"/>
      <w:lvlText w:val="%3)"/>
      <w:lvlJc w:val="left"/>
      <w:pPr>
        <w:tabs>
          <w:tab w:val="num" w:pos="2520"/>
        </w:tabs>
        <w:ind w:left="2520" w:hanging="360"/>
      </w:pPr>
      <w:rPr>
        <w:rFonts w:hint="default"/>
      </w:rPr>
    </w:lvl>
    <w:lvl w:ilvl="3" w:tplc="FFFFFFFF">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55" w15:restartNumberingAfterBreak="0">
    <w:nsid w:val="39286735"/>
    <w:multiLevelType w:val="hybridMultilevel"/>
    <w:tmpl w:val="2B0CC99E"/>
    <w:lvl w:ilvl="0" w:tplc="0415000F">
      <w:start w:val="1"/>
      <w:numFmt w:val="decimal"/>
      <w:lvlText w:val="%1."/>
      <w:lvlJc w:val="left"/>
      <w:pPr>
        <w:ind w:left="436" w:hanging="360"/>
      </w:pPr>
    </w:lvl>
    <w:lvl w:ilvl="1" w:tplc="04150019">
      <w:start w:val="1"/>
      <w:numFmt w:val="lowerLetter"/>
      <w:lvlText w:val="%2."/>
      <w:lvlJc w:val="left"/>
      <w:pPr>
        <w:ind w:left="1156" w:hanging="360"/>
      </w:pPr>
    </w:lvl>
    <w:lvl w:ilvl="2" w:tplc="0415001B">
      <w:start w:val="1"/>
      <w:numFmt w:val="lowerRoman"/>
      <w:lvlText w:val="%3."/>
      <w:lvlJc w:val="right"/>
      <w:pPr>
        <w:ind w:left="1876" w:hanging="180"/>
      </w:pPr>
    </w:lvl>
    <w:lvl w:ilvl="3" w:tplc="0415000F">
      <w:start w:val="1"/>
      <w:numFmt w:val="decimal"/>
      <w:lvlText w:val="%4."/>
      <w:lvlJc w:val="left"/>
      <w:pPr>
        <w:ind w:left="2596" w:hanging="360"/>
      </w:pPr>
    </w:lvl>
    <w:lvl w:ilvl="4" w:tplc="04150019">
      <w:start w:val="1"/>
      <w:numFmt w:val="lowerLetter"/>
      <w:lvlText w:val="%5."/>
      <w:lvlJc w:val="left"/>
      <w:pPr>
        <w:ind w:left="3316" w:hanging="360"/>
      </w:pPr>
    </w:lvl>
    <w:lvl w:ilvl="5" w:tplc="0415001B">
      <w:start w:val="1"/>
      <w:numFmt w:val="lowerRoman"/>
      <w:lvlText w:val="%6."/>
      <w:lvlJc w:val="right"/>
      <w:pPr>
        <w:ind w:left="4036" w:hanging="180"/>
      </w:pPr>
    </w:lvl>
    <w:lvl w:ilvl="6" w:tplc="0415000F">
      <w:start w:val="1"/>
      <w:numFmt w:val="decimal"/>
      <w:lvlText w:val="%7."/>
      <w:lvlJc w:val="left"/>
      <w:pPr>
        <w:ind w:left="4756" w:hanging="360"/>
      </w:pPr>
    </w:lvl>
    <w:lvl w:ilvl="7" w:tplc="04150019">
      <w:start w:val="1"/>
      <w:numFmt w:val="lowerLetter"/>
      <w:lvlText w:val="%8."/>
      <w:lvlJc w:val="left"/>
      <w:pPr>
        <w:ind w:left="5476" w:hanging="360"/>
      </w:pPr>
    </w:lvl>
    <w:lvl w:ilvl="8" w:tplc="0415001B">
      <w:start w:val="1"/>
      <w:numFmt w:val="lowerRoman"/>
      <w:lvlText w:val="%9."/>
      <w:lvlJc w:val="right"/>
      <w:pPr>
        <w:ind w:left="6196" w:hanging="180"/>
      </w:pPr>
    </w:lvl>
  </w:abstractNum>
  <w:abstractNum w:abstractNumId="56" w15:restartNumberingAfterBreak="0">
    <w:nsid w:val="39CC1311"/>
    <w:multiLevelType w:val="multilevel"/>
    <w:tmpl w:val="B87C1290"/>
    <w:lvl w:ilvl="0">
      <w:start w:val="1"/>
      <w:numFmt w:val="decimal"/>
      <w:lvlText w:val="%1)"/>
      <w:lvlJc w:val="left"/>
      <w:pPr>
        <w:tabs>
          <w:tab w:val="num" w:pos="360"/>
        </w:tabs>
        <w:ind w:left="360" w:hanging="360"/>
      </w:pPr>
      <w:rPr>
        <w:b w:val="0"/>
        <w:bCs w:val="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7" w15:restartNumberingAfterBreak="0">
    <w:nsid w:val="3A8545F1"/>
    <w:multiLevelType w:val="hybridMultilevel"/>
    <w:tmpl w:val="B178D568"/>
    <w:lvl w:ilvl="0" w:tplc="FFFFFFFF">
      <w:start w:val="1"/>
      <w:numFmt w:val="decimal"/>
      <w:lvlText w:val="%1."/>
      <w:lvlJc w:val="left"/>
      <w:pPr>
        <w:tabs>
          <w:tab w:val="num" w:pos="720"/>
        </w:tabs>
        <w:ind w:left="720" w:hanging="360"/>
      </w:pPr>
      <w:rPr>
        <w:rFonts w:hint="default"/>
      </w:rPr>
    </w:lvl>
    <w:lvl w:ilvl="1" w:tplc="FFFFFFFF">
      <w:numFmt w:val="none"/>
      <w:pStyle w:val="PodPodPodrozdziaW"/>
      <w:lvlText w:val=""/>
      <w:lvlJc w:val="left"/>
      <w:pPr>
        <w:tabs>
          <w:tab w:val="num" w:pos="360"/>
        </w:tabs>
      </w:pPr>
    </w:lvl>
    <w:lvl w:ilvl="2" w:tplc="FFFFFFFF">
      <w:numFmt w:val="none"/>
      <w:pStyle w:val="PodxrozdziaW"/>
      <w:lvlText w:val=""/>
      <w:lvlJc w:val="left"/>
      <w:pPr>
        <w:tabs>
          <w:tab w:val="num" w:pos="360"/>
        </w:tabs>
      </w:pPr>
    </w:lvl>
    <w:lvl w:ilvl="3" w:tplc="FFFFFFFF">
      <w:numFmt w:val="none"/>
      <w:pStyle w:val="PodyrozdziaW"/>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58" w15:restartNumberingAfterBreak="0">
    <w:nsid w:val="3BB1298A"/>
    <w:multiLevelType w:val="hybridMultilevel"/>
    <w:tmpl w:val="A5F05288"/>
    <w:lvl w:ilvl="0" w:tplc="FFFFFFFF">
      <w:start w:val="1"/>
      <w:numFmt w:val="lowerLetter"/>
      <w:lvlText w:val="%1)"/>
      <w:lvlJc w:val="left"/>
      <w:pPr>
        <w:tabs>
          <w:tab w:val="num" w:pos="360"/>
        </w:tabs>
        <w:ind w:left="360" w:hanging="360"/>
      </w:pPr>
      <w:rPr>
        <w:rFonts w:hint="default"/>
      </w:rPr>
    </w:lvl>
    <w:lvl w:ilvl="1" w:tplc="FFFFFFFF" w:tentative="1">
      <w:start w:val="1"/>
      <w:numFmt w:val="lowerLetter"/>
      <w:lvlText w:val="%2."/>
      <w:lvlJc w:val="left"/>
      <w:pPr>
        <w:tabs>
          <w:tab w:val="num" w:pos="360"/>
        </w:tabs>
        <w:ind w:left="360" w:hanging="360"/>
      </w:pPr>
    </w:lvl>
    <w:lvl w:ilvl="2" w:tplc="FFFFFFFF" w:tentative="1">
      <w:start w:val="1"/>
      <w:numFmt w:val="lowerRoman"/>
      <w:lvlText w:val="%3."/>
      <w:lvlJc w:val="right"/>
      <w:pPr>
        <w:tabs>
          <w:tab w:val="num" w:pos="1080"/>
        </w:tabs>
        <w:ind w:left="1080" w:hanging="180"/>
      </w:pPr>
    </w:lvl>
    <w:lvl w:ilvl="3" w:tplc="FFFFFFFF" w:tentative="1">
      <w:start w:val="1"/>
      <w:numFmt w:val="decimal"/>
      <w:lvlText w:val="%4."/>
      <w:lvlJc w:val="left"/>
      <w:pPr>
        <w:tabs>
          <w:tab w:val="num" w:pos="1800"/>
        </w:tabs>
        <w:ind w:left="1800" w:hanging="360"/>
      </w:pPr>
    </w:lvl>
    <w:lvl w:ilvl="4" w:tplc="FFFFFFFF" w:tentative="1">
      <w:start w:val="1"/>
      <w:numFmt w:val="lowerLetter"/>
      <w:lvlText w:val="%5."/>
      <w:lvlJc w:val="left"/>
      <w:pPr>
        <w:tabs>
          <w:tab w:val="num" w:pos="2520"/>
        </w:tabs>
        <w:ind w:left="2520" w:hanging="360"/>
      </w:pPr>
    </w:lvl>
    <w:lvl w:ilvl="5" w:tplc="FFFFFFFF" w:tentative="1">
      <w:start w:val="1"/>
      <w:numFmt w:val="lowerRoman"/>
      <w:lvlText w:val="%6."/>
      <w:lvlJc w:val="right"/>
      <w:pPr>
        <w:tabs>
          <w:tab w:val="num" w:pos="3240"/>
        </w:tabs>
        <w:ind w:left="3240" w:hanging="180"/>
      </w:pPr>
    </w:lvl>
    <w:lvl w:ilvl="6" w:tplc="FFFFFFFF" w:tentative="1">
      <w:start w:val="1"/>
      <w:numFmt w:val="decimal"/>
      <w:lvlText w:val="%7."/>
      <w:lvlJc w:val="left"/>
      <w:pPr>
        <w:tabs>
          <w:tab w:val="num" w:pos="3960"/>
        </w:tabs>
        <w:ind w:left="3960" w:hanging="360"/>
      </w:pPr>
    </w:lvl>
    <w:lvl w:ilvl="7" w:tplc="FFFFFFFF" w:tentative="1">
      <w:start w:val="1"/>
      <w:numFmt w:val="lowerLetter"/>
      <w:lvlText w:val="%8."/>
      <w:lvlJc w:val="left"/>
      <w:pPr>
        <w:tabs>
          <w:tab w:val="num" w:pos="4680"/>
        </w:tabs>
        <w:ind w:left="4680" w:hanging="360"/>
      </w:pPr>
    </w:lvl>
    <w:lvl w:ilvl="8" w:tplc="FFFFFFFF" w:tentative="1">
      <w:start w:val="1"/>
      <w:numFmt w:val="lowerRoman"/>
      <w:lvlText w:val="%9."/>
      <w:lvlJc w:val="right"/>
      <w:pPr>
        <w:tabs>
          <w:tab w:val="num" w:pos="5400"/>
        </w:tabs>
        <w:ind w:left="5400" w:hanging="180"/>
      </w:pPr>
    </w:lvl>
  </w:abstractNum>
  <w:abstractNum w:abstractNumId="59" w15:restartNumberingAfterBreak="0">
    <w:nsid w:val="3C012C79"/>
    <w:multiLevelType w:val="hybridMultilevel"/>
    <w:tmpl w:val="A5F05288"/>
    <w:lvl w:ilvl="0" w:tplc="F5789E76">
      <w:start w:val="1"/>
      <w:numFmt w:val="lowerLetter"/>
      <w:lvlText w:val="%1)"/>
      <w:lvlJc w:val="left"/>
      <w:pPr>
        <w:tabs>
          <w:tab w:val="num" w:pos="2154"/>
        </w:tabs>
        <w:ind w:left="2154" w:hanging="360"/>
      </w:pPr>
      <w:rPr>
        <w:rFonts w:hint="default"/>
      </w:rPr>
    </w:lvl>
    <w:lvl w:ilvl="1" w:tplc="04150019" w:tentative="1">
      <w:start w:val="1"/>
      <w:numFmt w:val="lowerLetter"/>
      <w:lvlText w:val="%2."/>
      <w:lvlJc w:val="left"/>
      <w:pPr>
        <w:tabs>
          <w:tab w:val="num" w:pos="2154"/>
        </w:tabs>
        <w:ind w:left="2154" w:hanging="360"/>
      </w:pPr>
    </w:lvl>
    <w:lvl w:ilvl="2" w:tplc="0415001B" w:tentative="1">
      <w:start w:val="1"/>
      <w:numFmt w:val="lowerRoman"/>
      <w:lvlText w:val="%3."/>
      <w:lvlJc w:val="right"/>
      <w:pPr>
        <w:tabs>
          <w:tab w:val="num" w:pos="2874"/>
        </w:tabs>
        <w:ind w:left="2874" w:hanging="180"/>
      </w:pPr>
    </w:lvl>
    <w:lvl w:ilvl="3" w:tplc="0415000F" w:tentative="1">
      <w:start w:val="1"/>
      <w:numFmt w:val="decimal"/>
      <w:lvlText w:val="%4."/>
      <w:lvlJc w:val="left"/>
      <w:pPr>
        <w:tabs>
          <w:tab w:val="num" w:pos="3594"/>
        </w:tabs>
        <w:ind w:left="3594" w:hanging="360"/>
      </w:pPr>
    </w:lvl>
    <w:lvl w:ilvl="4" w:tplc="04150019" w:tentative="1">
      <w:start w:val="1"/>
      <w:numFmt w:val="lowerLetter"/>
      <w:lvlText w:val="%5."/>
      <w:lvlJc w:val="left"/>
      <w:pPr>
        <w:tabs>
          <w:tab w:val="num" w:pos="4314"/>
        </w:tabs>
        <w:ind w:left="4314" w:hanging="360"/>
      </w:pPr>
    </w:lvl>
    <w:lvl w:ilvl="5" w:tplc="0415001B" w:tentative="1">
      <w:start w:val="1"/>
      <w:numFmt w:val="lowerRoman"/>
      <w:lvlText w:val="%6."/>
      <w:lvlJc w:val="right"/>
      <w:pPr>
        <w:tabs>
          <w:tab w:val="num" w:pos="5034"/>
        </w:tabs>
        <w:ind w:left="5034" w:hanging="180"/>
      </w:pPr>
    </w:lvl>
    <w:lvl w:ilvl="6" w:tplc="0415000F" w:tentative="1">
      <w:start w:val="1"/>
      <w:numFmt w:val="decimal"/>
      <w:lvlText w:val="%7."/>
      <w:lvlJc w:val="left"/>
      <w:pPr>
        <w:tabs>
          <w:tab w:val="num" w:pos="5754"/>
        </w:tabs>
        <w:ind w:left="5754" w:hanging="360"/>
      </w:pPr>
    </w:lvl>
    <w:lvl w:ilvl="7" w:tplc="04150019" w:tentative="1">
      <w:start w:val="1"/>
      <w:numFmt w:val="lowerLetter"/>
      <w:lvlText w:val="%8."/>
      <w:lvlJc w:val="left"/>
      <w:pPr>
        <w:tabs>
          <w:tab w:val="num" w:pos="6474"/>
        </w:tabs>
        <w:ind w:left="6474" w:hanging="360"/>
      </w:pPr>
    </w:lvl>
    <w:lvl w:ilvl="8" w:tplc="0415001B" w:tentative="1">
      <w:start w:val="1"/>
      <w:numFmt w:val="lowerRoman"/>
      <w:lvlText w:val="%9."/>
      <w:lvlJc w:val="right"/>
      <w:pPr>
        <w:tabs>
          <w:tab w:val="num" w:pos="7194"/>
        </w:tabs>
        <w:ind w:left="7194" w:hanging="180"/>
      </w:pPr>
    </w:lvl>
  </w:abstractNum>
  <w:abstractNum w:abstractNumId="60" w15:restartNumberingAfterBreak="0">
    <w:nsid w:val="3E3E0377"/>
    <w:multiLevelType w:val="hybridMultilevel"/>
    <w:tmpl w:val="45D0BDF8"/>
    <w:lvl w:ilvl="0" w:tplc="424260FE">
      <w:start w:val="1"/>
      <w:numFmt w:val="lowerLetter"/>
      <w:lvlText w:val="%1)"/>
      <w:lvlJc w:val="left"/>
      <w:pPr>
        <w:ind w:left="1170" w:hanging="8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3E7D0431"/>
    <w:multiLevelType w:val="hybridMultilevel"/>
    <w:tmpl w:val="EDE62F92"/>
    <w:lvl w:ilvl="0" w:tplc="FFFFFFFF">
      <w:start w:val="1"/>
      <w:numFmt w:val="decimal"/>
      <w:lvlText w:val="%1."/>
      <w:lvlJc w:val="left"/>
      <w:pPr>
        <w:ind w:left="360" w:hanging="360"/>
      </w:pPr>
      <w:rPr>
        <w:rFonts w:hint="default"/>
        <w:sz w:val="24"/>
        <w:szCs w:val="24"/>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2" w15:restartNumberingAfterBreak="0">
    <w:nsid w:val="407F1C2A"/>
    <w:multiLevelType w:val="hybridMultilevel"/>
    <w:tmpl w:val="56824576"/>
    <w:lvl w:ilvl="0" w:tplc="BE32348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15:restartNumberingAfterBreak="0">
    <w:nsid w:val="41442088"/>
    <w:multiLevelType w:val="hybridMultilevel"/>
    <w:tmpl w:val="854AED32"/>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4" w15:restartNumberingAfterBreak="0">
    <w:nsid w:val="43240E98"/>
    <w:multiLevelType w:val="hybridMultilevel"/>
    <w:tmpl w:val="0470ACE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43433408"/>
    <w:multiLevelType w:val="hybridMultilevel"/>
    <w:tmpl w:val="B2946EFC"/>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67" w15:restartNumberingAfterBreak="0">
    <w:nsid w:val="455C0B9D"/>
    <w:multiLevelType w:val="hybridMultilevel"/>
    <w:tmpl w:val="FC3E66A2"/>
    <w:lvl w:ilvl="0" w:tplc="2610B316">
      <w:start w:val="3"/>
      <w:numFmt w:val="decimal"/>
      <w:isLgl/>
      <w:lvlText w:val="%1.2."/>
      <w:lvlJc w:val="left"/>
      <w:pPr>
        <w:tabs>
          <w:tab w:val="num" w:pos="1440"/>
        </w:tabs>
        <w:ind w:left="1440" w:hanging="720"/>
      </w:pPr>
      <w:rPr>
        <w:rFonts w:hint="default"/>
        <w:b/>
      </w:rPr>
    </w:lvl>
    <w:lvl w:ilvl="1" w:tplc="04150019">
      <w:start w:val="1"/>
      <w:numFmt w:val="lowerLetter"/>
      <w:lvlText w:val="%2."/>
      <w:lvlJc w:val="left"/>
      <w:pPr>
        <w:tabs>
          <w:tab w:val="num" w:pos="2160"/>
        </w:tabs>
        <w:ind w:left="2160" w:hanging="360"/>
      </w:pPr>
    </w:lvl>
    <w:lvl w:ilvl="2" w:tplc="0415001B" w:tentative="1">
      <w:start w:val="1"/>
      <w:numFmt w:val="lowerRoman"/>
      <w:lvlText w:val="%3."/>
      <w:lvlJc w:val="right"/>
      <w:pPr>
        <w:tabs>
          <w:tab w:val="num" w:pos="2880"/>
        </w:tabs>
        <w:ind w:left="2880" w:hanging="180"/>
      </w:pPr>
    </w:lvl>
    <w:lvl w:ilvl="3" w:tplc="0415000F" w:tentative="1">
      <w:start w:val="1"/>
      <w:numFmt w:val="decimal"/>
      <w:lvlText w:val="%4."/>
      <w:lvlJc w:val="left"/>
      <w:pPr>
        <w:tabs>
          <w:tab w:val="num" w:pos="3600"/>
        </w:tabs>
        <w:ind w:left="3600" w:hanging="360"/>
      </w:pPr>
    </w:lvl>
    <w:lvl w:ilvl="4" w:tplc="04150019" w:tentative="1">
      <w:start w:val="1"/>
      <w:numFmt w:val="lowerLetter"/>
      <w:lvlText w:val="%5."/>
      <w:lvlJc w:val="left"/>
      <w:pPr>
        <w:tabs>
          <w:tab w:val="num" w:pos="4320"/>
        </w:tabs>
        <w:ind w:left="4320" w:hanging="360"/>
      </w:pPr>
    </w:lvl>
    <w:lvl w:ilvl="5" w:tplc="0415001B" w:tentative="1">
      <w:start w:val="1"/>
      <w:numFmt w:val="lowerRoman"/>
      <w:lvlText w:val="%6."/>
      <w:lvlJc w:val="right"/>
      <w:pPr>
        <w:tabs>
          <w:tab w:val="num" w:pos="5040"/>
        </w:tabs>
        <w:ind w:left="5040" w:hanging="180"/>
      </w:pPr>
    </w:lvl>
    <w:lvl w:ilvl="6" w:tplc="0415000F" w:tentative="1">
      <w:start w:val="1"/>
      <w:numFmt w:val="decimal"/>
      <w:lvlText w:val="%7."/>
      <w:lvlJc w:val="left"/>
      <w:pPr>
        <w:tabs>
          <w:tab w:val="num" w:pos="5760"/>
        </w:tabs>
        <w:ind w:left="5760" w:hanging="360"/>
      </w:pPr>
    </w:lvl>
    <w:lvl w:ilvl="7" w:tplc="04150019" w:tentative="1">
      <w:start w:val="1"/>
      <w:numFmt w:val="lowerLetter"/>
      <w:lvlText w:val="%8."/>
      <w:lvlJc w:val="left"/>
      <w:pPr>
        <w:tabs>
          <w:tab w:val="num" w:pos="6480"/>
        </w:tabs>
        <w:ind w:left="6480" w:hanging="360"/>
      </w:pPr>
    </w:lvl>
    <w:lvl w:ilvl="8" w:tplc="0415001B" w:tentative="1">
      <w:start w:val="1"/>
      <w:numFmt w:val="lowerRoman"/>
      <w:lvlText w:val="%9."/>
      <w:lvlJc w:val="right"/>
      <w:pPr>
        <w:tabs>
          <w:tab w:val="num" w:pos="7200"/>
        </w:tabs>
        <w:ind w:left="7200" w:hanging="180"/>
      </w:pPr>
    </w:lvl>
  </w:abstractNum>
  <w:abstractNum w:abstractNumId="68" w15:restartNumberingAfterBreak="0">
    <w:nsid w:val="47BA7021"/>
    <w:multiLevelType w:val="hybridMultilevel"/>
    <w:tmpl w:val="E0F0E4F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9" w15:restartNumberingAfterBreak="0">
    <w:nsid w:val="48CC6F8C"/>
    <w:multiLevelType w:val="multilevel"/>
    <w:tmpl w:val="0415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0" w15:restartNumberingAfterBreak="0">
    <w:nsid w:val="490F7795"/>
    <w:multiLevelType w:val="hybridMultilevel"/>
    <w:tmpl w:val="EEE429A6"/>
    <w:lvl w:ilvl="0" w:tplc="AB44025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1" w15:restartNumberingAfterBreak="0">
    <w:nsid w:val="4B106C89"/>
    <w:multiLevelType w:val="hybridMultilevel"/>
    <w:tmpl w:val="1902C0DA"/>
    <w:lvl w:ilvl="0" w:tplc="AB44025E">
      <w:start w:val="1"/>
      <w:numFmt w:val="bullet"/>
      <w:lvlText w:val=""/>
      <w:lvlJc w:val="left"/>
      <w:pPr>
        <w:ind w:left="1211" w:hanging="360"/>
      </w:pPr>
      <w:rPr>
        <w:rFonts w:ascii="Symbol" w:hAnsi="Symbol" w:hint="default"/>
      </w:rPr>
    </w:lvl>
    <w:lvl w:ilvl="1" w:tplc="04150003" w:tentative="1">
      <w:start w:val="1"/>
      <w:numFmt w:val="bullet"/>
      <w:lvlText w:val="o"/>
      <w:lvlJc w:val="left"/>
      <w:pPr>
        <w:ind w:left="1931" w:hanging="360"/>
      </w:pPr>
      <w:rPr>
        <w:rFonts w:ascii="Courier New" w:hAnsi="Courier New" w:cs="Courier New" w:hint="default"/>
      </w:rPr>
    </w:lvl>
    <w:lvl w:ilvl="2" w:tplc="04150005" w:tentative="1">
      <w:start w:val="1"/>
      <w:numFmt w:val="bullet"/>
      <w:lvlText w:val=""/>
      <w:lvlJc w:val="left"/>
      <w:pPr>
        <w:ind w:left="2651" w:hanging="360"/>
      </w:pPr>
      <w:rPr>
        <w:rFonts w:ascii="Wingdings" w:hAnsi="Wingdings" w:hint="default"/>
      </w:rPr>
    </w:lvl>
    <w:lvl w:ilvl="3" w:tplc="04150001" w:tentative="1">
      <w:start w:val="1"/>
      <w:numFmt w:val="bullet"/>
      <w:lvlText w:val=""/>
      <w:lvlJc w:val="left"/>
      <w:pPr>
        <w:ind w:left="3371" w:hanging="360"/>
      </w:pPr>
      <w:rPr>
        <w:rFonts w:ascii="Symbol" w:hAnsi="Symbol" w:hint="default"/>
      </w:rPr>
    </w:lvl>
    <w:lvl w:ilvl="4" w:tplc="04150003" w:tentative="1">
      <w:start w:val="1"/>
      <w:numFmt w:val="bullet"/>
      <w:lvlText w:val="o"/>
      <w:lvlJc w:val="left"/>
      <w:pPr>
        <w:ind w:left="4091" w:hanging="360"/>
      </w:pPr>
      <w:rPr>
        <w:rFonts w:ascii="Courier New" w:hAnsi="Courier New" w:cs="Courier New" w:hint="default"/>
      </w:rPr>
    </w:lvl>
    <w:lvl w:ilvl="5" w:tplc="04150005" w:tentative="1">
      <w:start w:val="1"/>
      <w:numFmt w:val="bullet"/>
      <w:lvlText w:val=""/>
      <w:lvlJc w:val="left"/>
      <w:pPr>
        <w:ind w:left="4811" w:hanging="360"/>
      </w:pPr>
      <w:rPr>
        <w:rFonts w:ascii="Wingdings" w:hAnsi="Wingdings" w:hint="default"/>
      </w:rPr>
    </w:lvl>
    <w:lvl w:ilvl="6" w:tplc="04150001" w:tentative="1">
      <w:start w:val="1"/>
      <w:numFmt w:val="bullet"/>
      <w:lvlText w:val=""/>
      <w:lvlJc w:val="left"/>
      <w:pPr>
        <w:ind w:left="5531" w:hanging="360"/>
      </w:pPr>
      <w:rPr>
        <w:rFonts w:ascii="Symbol" w:hAnsi="Symbol" w:hint="default"/>
      </w:rPr>
    </w:lvl>
    <w:lvl w:ilvl="7" w:tplc="04150003" w:tentative="1">
      <w:start w:val="1"/>
      <w:numFmt w:val="bullet"/>
      <w:lvlText w:val="o"/>
      <w:lvlJc w:val="left"/>
      <w:pPr>
        <w:ind w:left="6251" w:hanging="360"/>
      </w:pPr>
      <w:rPr>
        <w:rFonts w:ascii="Courier New" w:hAnsi="Courier New" w:cs="Courier New" w:hint="default"/>
      </w:rPr>
    </w:lvl>
    <w:lvl w:ilvl="8" w:tplc="04150005" w:tentative="1">
      <w:start w:val="1"/>
      <w:numFmt w:val="bullet"/>
      <w:lvlText w:val=""/>
      <w:lvlJc w:val="left"/>
      <w:pPr>
        <w:ind w:left="6971" w:hanging="360"/>
      </w:pPr>
      <w:rPr>
        <w:rFonts w:ascii="Wingdings" w:hAnsi="Wingdings" w:hint="default"/>
      </w:rPr>
    </w:lvl>
  </w:abstractNum>
  <w:abstractNum w:abstractNumId="72" w15:restartNumberingAfterBreak="0">
    <w:nsid w:val="501C083F"/>
    <w:multiLevelType w:val="hybridMultilevel"/>
    <w:tmpl w:val="C3F8911E"/>
    <w:lvl w:ilvl="0" w:tplc="AB44025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3" w15:restartNumberingAfterBreak="0">
    <w:nsid w:val="51916B08"/>
    <w:multiLevelType w:val="hybridMultilevel"/>
    <w:tmpl w:val="63E022FA"/>
    <w:lvl w:ilvl="0" w:tplc="F78AEC52">
      <w:start w:val="1"/>
      <w:numFmt w:val="decimal"/>
      <w:lvlText w:val="%1."/>
      <w:lvlJc w:val="left"/>
      <w:pPr>
        <w:tabs>
          <w:tab w:val="num" w:pos="360"/>
        </w:tabs>
        <w:ind w:left="360" w:hanging="360"/>
      </w:pPr>
      <w:rPr>
        <w:rFonts w:hint="default"/>
      </w:rPr>
    </w:lvl>
    <w:lvl w:ilvl="1" w:tplc="C4660B1C">
      <w:start w:val="1"/>
      <w:numFmt w:val="bullet"/>
      <w:lvlText w:val=""/>
      <w:lvlJc w:val="left"/>
      <w:pPr>
        <w:tabs>
          <w:tab w:val="num" w:pos="1440"/>
        </w:tabs>
        <w:ind w:left="1440" w:hanging="360"/>
      </w:pPr>
      <w:rPr>
        <w:rFonts w:ascii="Symbol" w:hAnsi="Symbol" w:hint="default"/>
      </w:rPr>
    </w:lvl>
    <w:lvl w:ilvl="2" w:tplc="A60EE5B2" w:tentative="1">
      <w:start w:val="1"/>
      <w:numFmt w:val="lowerRoman"/>
      <w:lvlText w:val="%3."/>
      <w:lvlJc w:val="right"/>
      <w:pPr>
        <w:ind w:left="2160" w:hanging="180"/>
      </w:pPr>
    </w:lvl>
    <w:lvl w:ilvl="3" w:tplc="877AC696" w:tentative="1">
      <w:start w:val="1"/>
      <w:numFmt w:val="decimal"/>
      <w:lvlText w:val="%4."/>
      <w:lvlJc w:val="left"/>
      <w:pPr>
        <w:ind w:left="2880" w:hanging="360"/>
      </w:pPr>
    </w:lvl>
    <w:lvl w:ilvl="4" w:tplc="E344641A" w:tentative="1">
      <w:start w:val="1"/>
      <w:numFmt w:val="lowerLetter"/>
      <w:lvlText w:val="%5."/>
      <w:lvlJc w:val="left"/>
      <w:pPr>
        <w:ind w:left="3600" w:hanging="360"/>
      </w:pPr>
    </w:lvl>
    <w:lvl w:ilvl="5" w:tplc="CCFA0E1C" w:tentative="1">
      <w:start w:val="1"/>
      <w:numFmt w:val="lowerRoman"/>
      <w:lvlText w:val="%6."/>
      <w:lvlJc w:val="right"/>
      <w:pPr>
        <w:ind w:left="4320" w:hanging="180"/>
      </w:pPr>
    </w:lvl>
    <w:lvl w:ilvl="6" w:tplc="AE7A26A6" w:tentative="1">
      <w:start w:val="1"/>
      <w:numFmt w:val="decimal"/>
      <w:lvlText w:val="%7."/>
      <w:lvlJc w:val="left"/>
      <w:pPr>
        <w:ind w:left="5040" w:hanging="360"/>
      </w:pPr>
    </w:lvl>
    <w:lvl w:ilvl="7" w:tplc="F0129AE4" w:tentative="1">
      <w:start w:val="1"/>
      <w:numFmt w:val="lowerLetter"/>
      <w:lvlText w:val="%8."/>
      <w:lvlJc w:val="left"/>
      <w:pPr>
        <w:ind w:left="5760" w:hanging="360"/>
      </w:pPr>
    </w:lvl>
    <w:lvl w:ilvl="8" w:tplc="A150F78E" w:tentative="1">
      <w:start w:val="1"/>
      <w:numFmt w:val="lowerRoman"/>
      <w:lvlText w:val="%9."/>
      <w:lvlJc w:val="right"/>
      <w:pPr>
        <w:ind w:left="6480" w:hanging="180"/>
      </w:pPr>
    </w:lvl>
  </w:abstractNum>
  <w:abstractNum w:abstractNumId="74" w15:restartNumberingAfterBreak="0">
    <w:nsid w:val="530C468C"/>
    <w:multiLevelType w:val="hybridMultilevel"/>
    <w:tmpl w:val="4262241C"/>
    <w:lvl w:ilvl="0" w:tplc="1BB6942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5" w15:restartNumberingAfterBreak="0">
    <w:nsid w:val="54003DFA"/>
    <w:multiLevelType w:val="hybridMultilevel"/>
    <w:tmpl w:val="A4C0F772"/>
    <w:lvl w:ilvl="0" w:tplc="BE32348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6" w15:restartNumberingAfterBreak="0">
    <w:nsid w:val="54952D86"/>
    <w:multiLevelType w:val="hybridMultilevel"/>
    <w:tmpl w:val="72A6A3BA"/>
    <w:lvl w:ilvl="0" w:tplc="3A4AB340">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77" w15:restartNumberingAfterBreak="0">
    <w:nsid w:val="55AC731C"/>
    <w:multiLevelType w:val="hybridMultilevel"/>
    <w:tmpl w:val="222429EC"/>
    <w:lvl w:ilvl="0" w:tplc="7BFE3488">
      <w:start w:val="3"/>
      <w:numFmt w:val="decimal"/>
      <w:isLgl/>
      <w:lvlText w:val="%1.1."/>
      <w:lvlJc w:val="left"/>
      <w:pPr>
        <w:tabs>
          <w:tab w:val="num" w:pos="720"/>
        </w:tabs>
        <w:ind w:left="720" w:hanging="720"/>
      </w:pPr>
      <w:rPr>
        <w:rFonts w:hint="default"/>
        <w:b/>
      </w:rPr>
    </w:lvl>
    <w:lvl w:ilvl="1" w:tplc="04150003">
      <w:start w:val="1"/>
      <w:numFmt w:val="lowerLetter"/>
      <w:lvlText w:val="%2."/>
      <w:lvlJc w:val="left"/>
      <w:pPr>
        <w:tabs>
          <w:tab w:val="num" w:pos="1440"/>
        </w:tabs>
        <w:ind w:left="1440" w:hanging="360"/>
      </w:pPr>
    </w:lvl>
    <w:lvl w:ilvl="2" w:tplc="04150005" w:tentative="1">
      <w:start w:val="1"/>
      <w:numFmt w:val="lowerRoman"/>
      <w:lvlText w:val="%3."/>
      <w:lvlJc w:val="right"/>
      <w:pPr>
        <w:tabs>
          <w:tab w:val="num" w:pos="2160"/>
        </w:tabs>
        <w:ind w:left="2160" w:hanging="180"/>
      </w:pPr>
    </w:lvl>
    <w:lvl w:ilvl="3" w:tplc="04150001" w:tentative="1">
      <w:start w:val="1"/>
      <w:numFmt w:val="decimal"/>
      <w:lvlText w:val="%4."/>
      <w:lvlJc w:val="left"/>
      <w:pPr>
        <w:tabs>
          <w:tab w:val="num" w:pos="2880"/>
        </w:tabs>
        <w:ind w:left="2880" w:hanging="360"/>
      </w:pPr>
    </w:lvl>
    <w:lvl w:ilvl="4" w:tplc="04150003" w:tentative="1">
      <w:start w:val="1"/>
      <w:numFmt w:val="lowerLetter"/>
      <w:lvlText w:val="%5."/>
      <w:lvlJc w:val="left"/>
      <w:pPr>
        <w:tabs>
          <w:tab w:val="num" w:pos="3600"/>
        </w:tabs>
        <w:ind w:left="3600" w:hanging="360"/>
      </w:pPr>
    </w:lvl>
    <w:lvl w:ilvl="5" w:tplc="04150005" w:tentative="1">
      <w:start w:val="1"/>
      <w:numFmt w:val="lowerRoman"/>
      <w:lvlText w:val="%6."/>
      <w:lvlJc w:val="right"/>
      <w:pPr>
        <w:tabs>
          <w:tab w:val="num" w:pos="4320"/>
        </w:tabs>
        <w:ind w:left="4320" w:hanging="180"/>
      </w:pPr>
    </w:lvl>
    <w:lvl w:ilvl="6" w:tplc="04150001" w:tentative="1">
      <w:start w:val="1"/>
      <w:numFmt w:val="decimal"/>
      <w:lvlText w:val="%7."/>
      <w:lvlJc w:val="left"/>
      <w:pPr>
        <w:tabs>
          <w:tab w:val="num" w:pos="5040"/>
        </w:tabs>
        <w:ind w:left="5040" w:hanging="360"/>
      </w:pPr>
    </w:lvl>
    <w:lvl w:ilvl="7" w:tplc="04150003" w:tentative="1">
      <w:start w:val="1"/>
      <w:numFmt w:val="lowerLetter"/>
      <w:lvlText w:val="%8."/>
      <w:lvlJc w:val="left"/>
      <w:pPr>
        <w:tabs>
          <w:tab w:val="num" w:pos="5760"/>
        </w:tabs>
        <w:ind w:left="5760" w:hanging="360"/>
      </w:pPr>
    </w:lvl>
    <w:lvl w:ilvl="8" w:tplc="04150005" w:tentative="1">
      <w:start w:val="1"/>
      <w:numFmt w:val="lowerRoman"/>
      <w:lvlText w:val="%9."/>
      <w:lvlJc w:val="right"/>
      <w:pPr>
        <w:tabs>
          <w:tab w:val="num" w:pos="6480"/>
        </w:tabs>
        <w:ind w:left="6480" w:hanging="180"/>
      </w:pPr>
    </w:lvl>
  </w:abstractNum>
  <w:abstractNum w:abstractNumId="78" w15:restartNumberingAfterBreak="0">
    <w:nsid w:val="55D76BBA"/>
    <w:multiLevelType w:val="hybridMultilevel"/>
    <w:tmpl w:val="F3FEE9EC"/>
    <w:lvl w:ilvl="0" w:tplc="3110B5C4">
      <w:start w:val="1"/>
      <w:numFmt w:val="bullet"/>
      <w:lvlText w:val=""/>
      <w:lvlJc w:val="left"/>
      <w:pPr>
        <w:tabs>
          <w:tab w:val="num" w:pos="720"/>
        </w:tabs>
        <w:ind w:left="720" w:hanging="360"/>
      </w:pPr>
      <w:rPr>
        <w:rFonts w:ascii="Symbol" w:hAnsi="Symbol" w:hint="default"/>
      </w:rPr>
    </w:lvl>
    <w:lvl w:ilvl="1" w:tplc="04150019">
      <w:start w:val="9"/>
      <w:numFmt w:val="decimal"/>
      <w:lvlText w:val="%2."/>
      <w:lvlJc w:val="left"/>
      <w:pPr>
        <w:tabs>
          <w:tab w:val="num" w:pos="1440"/>
        </w:tabs>
        <w:ind w:left="1440" w:hanging="360"/>
      </w:pPr>
      <w:rPr>
        <w:rFonts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cs="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cs="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79" w15:restartNumberingAfterBreak="0">
    <w:nsid w:val="56857B9B"/>
    <w:multiLevelType w:val="hybridMultilevel"/>
    <w:tmpl w:val="47BE9B4E"/>
    <w:lvl w:ilvl="0" w:tplc="04150015">
      <w:start w:val="1"/>
      <w:numFmt w:val="upperLetter"/>
      <w:lvlText w:val="%1."/>
      <w:lvlJc w:val="left"/>
      <w:pPr>
        <w:tabs>
          <w:tab w:val="num" w:pos="720"/>
        </w:tabs>
        <w:ind w:left="720" w:hanging="360"/>
      </w:pPr>
      <w:rPr>
        <w:rFonts w:hint="default"/>
      </w:rPr>
    </w:lvl>
    <w:lvl w:ilvl="1" w:tplc="1076E400" w:tentative="1">
      <w:start w:val="1"/>
      <w:numFmt w:val="lowerLetter"/>
      <w:lvlText w:val="%2."/>
      <w:lvlJc w:val="left"/>
      <w:pPr>
        <w:tabs>
          <w:tab w:val="num" w:pos="1440"/>
        </w:tabs>
        <w:ind w:left="1440" w:hanging="360"/>
      </w:pPr>
    </w:lvl>
    <w:lvl w:ilvl="2" w:tplc="04150005" w:tentative="1">
      <w:start w:val="1"/>
      <w:numFmt w:val="lowerRoman"/>
      <w:lvlText w:val="%3."/>
      <w:lvlJc w:val="right"/>
      <w:pPr>
        <w:tabs>
          <w:tab w:val="num" w:pos="2160"/>
        </w:tabs>
        <w:ind w:left="2160" w:hanging="180"/>
      </w:pPr>
    </w:lvl>
    <w:lvl w:ilvl="3" w:tplc="04150001" w:tentative="1">
      <w:start w:val="1"/>
      <w:numFmt w:val="decimal"/>
      <w:lvlText w:val="%4."/>
      <w:lvlJc w:val="left"/>
      <w:pPr>
        <w:tabs>
          <w:tab w:val="num" w:pos="2880"/>
        </w:tabs>
        <w:ind w:left="2880" w:hanging="360"/>
      </w:pPr>
    </w:lvl>
    <w:lvl w:ilvl="4" w:tplc="04150003" w:tentative="1">
      <w:start w:val="1"/>
      <w:numFmt w:val="lowerLetter"/>
      <w:lvlText w:val="%5."/>
      <w:lvlJc w:val="left"/>
      <w:pPr>
        <w:tabs>
          <w:tab w:val="num" w:pos="3600"/>
        </w:tabs>
        <w:ind w:left="3600" w:hanging="360"/>
      </w:pPr>
    </w:lvl>
    <w:lvl w:ilvl="5" w:tplc="04150005" w:tentative="1">
      <w:start w:val="1"/>
      <w:numFmt w:val="lowerRoman"/>
      <w:lvlText w:val="%6."/>
      <w:lvlJc w:val="right"/>
      <w:pPr>
        <w:tabs>
          <w:tab w:val="num" w:pos="4320"/>
        </w:tabs>
        <w:ind w:left="4320" w:hanging="180"/>
      </w:pPr>
    </w:lvl>
    <w:lvl w:ilvl="6" w:tplc="04150001" w:tentative="1">
      <w:start w:val="1"/>
      <w:numFmt w:val="decimal"/>
      <w:lvlText w:val="%7."/>
      <w:lvlJc w:val="left"/>
      <w:pPr>
        <w:tabs>
          <w:tab w:val="num" w:pos="5040"/>
        </w:tabs>
        <w:ind w:left="5040" w:hanging="360"/>
      </w:pPr>
    </w:lvl>
    <w:lvl w:ilvl="7" w:tplc="04150003" w:tentative="1">
      <w:start w:val="1"/>
      <w:numFmt w:val="lowerLetter"/>
      <w:lvlText w:val="%8."/>
      <w:lvlJc w:val="left"/>
      <w:pPr>
        <w:tabs>
          <w:tab w:val="num" w:pos="5760"/>
        </w:tabs>
        <w:ind w:left="5760" w:hanging="360"/>
      </w:pPr>
    </w:lvl>
    <w:lvl w:ilvl="8" w:tplc="04150005" w:tentative="1">
      <w:start w:val="1"/>
      <w:numFmt w:val="lowerRoman"/>
      <w:lvlText w:val="%9."/>
      <w:lvlJc w:val="right"/>
      <w:pPr>
        <w:tabs>
          <w:tab w:val="num" w:pos="6480"/>
        </w:tabs>
        <w:ind w:left="6480" w:hanging="180"/>
      </w:pPr>
    </w:lvl>
  </w:abstractNum>
  <w:abstractNum w:abstractNumId="80" w15:restartNumberingAfterBreak="0">
    <w:nsid w:val="5A2E5D1B"/>
    <w:multiLevelType w:val="hybridMultilevel"/>
    <w:tmpl w:val="25A0E5FA"/>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1" w15:restartNumberingAfterBreak="0">
    <w:nsid w:val="5A55290D"/>
    <w:multiLevelType w:val="hybridMultilevel"/>
    <w:tmpl w:val="1FA8BD38"/>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2" w15:restartNumberingAfterBreak="0">
    <w:nsid w:val="5D606C00"/>
    <w:multiLevelType w:val="hybridMultilevel"/>
    <w:tmpl w:val="436C187A"/>
    <w:lvl w:ilvl="0" w:tplc="BE323482">
      <w:start w:val="1"/>
      <w:numFmt w:val="bullet"/>
      <w:lvlText w:val=""/>
      <w:lvlJc w:val="left"/>
      <w:pPr>
        <w:tabs>
          <w:tab w:val="num" w:pos="720"/>
        </w:tabs>
        <w:ind w:left="720" w:hanging="360"/>
      </w:pPr>
      <w:rPr>
        <w:rFonts w:ascii="Symbol" w:hAnsi="Symbol" w:hint="default"/>
      </w:rPr>
    </w:lvl>
    <w:lvl w:ilvl="1" w:tplc="270C4B4E"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83" w15:restartNumberingAfterBreak="0">
    <w:nsid w:val="5E314F9B"/>
    <w:multiLevelType w:val="hybridMultilevel"/>
    <w:tmpl w:val="54E2D5CE"/>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7">
      <w:start w:val="1"/>
      <w:numFmt w:val="lowerLetter"/>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4" w15:restartNumberingAfterBreak="0">
    <w:nsid w:val="606A0B93"/>
    <w:multiLevelType w:val="hybridMultilevel"/>
    <w:tmpl w:val="F16C78B2"/>
    <w:lvl w:ilvl="0" w:tplc="E4F4E96E">
      <w:start w:val="2"/>
      <w:numFmt w:val="decimal"/>
      <w:lvlText w:val="%1."/>
      <w:lvlJc w:val="left"/>
      <w:pPr>
        <w:tabs>
          <w:tab w:val="num" w:pos="360"/>
        </w:tabs>
        <w:ind w:left="360" w:hanging="360"/>
      </w:pPr>
      <w:rPr>
        <w:rFonts w:hint="default"/>
      </w:rPr>
    </w:lvl>
    <w:lvl w:ilvl="1" w:tplc="04150003">
      <w:numFmt w:val="none"/>
      <w:lvlText w:val=""/>
      <w:lvlJc w:val="left"/>
      <w:pPr>
        <w:tabs>
          <w:tab w:val="num" w:pos="360"/>
        </w:tabs>
      </w:pPr>
    </w:lvl>
    <w:lvl w:ilvl="2" w:tplc="04150005">
      <w:start w:val="2"/>
      <w:numFmt w:val="decimal"/>
      <w:isLgl/>
      <w:lvlText w:val="%3.1."/>
      <w:lvlJc w:val="left"/>
      <w:pPr>
        <w:tabs>
          <w:tab w:val="num" w:pos="720"/>
        </w:tabs>
        <w:ind w:left="720" w:hanging="720"/>
      </w:pPr>
      <w:rPr>
        <w:rFonts w:hint="default"/>
      </w:rPr>
    </w:lvl>
    <w:lvl w:ilvl="3" w:tplc="04150001">
      <w:numFmt w:val="none"/>
      <w:lvlText w:val=""/>
      <w:lvlJc w:val="left"/>
      <w:pPr>
        <w:tabs>
          <w:tab w:val="num" w:pos="360"/>
        </w:tabs>
      </w:pPr>
    </w:lvl>
    <w:lvl w:ilvl="4" w:tplc="04150003">
      <w:numFmt w:val="none"/>
      <w:lvlText w:val=""/>
      <w:lvlJc w:val="left"/>
      <w:pPr>
        <w:tabs>
          <w:tab w:val="num" w:pos="360"/>
        </w:tabs>
      </w:pPr>
    </w:lvl>
    <w:lvl w:ilvl="5" w:tplc="04150005">
      <w:numFmt w:val="none"/>
      <w:lvlText w:val=""/>
      <w:lvlJc w:val="left"/>
      <w:pPr>
        <w:tabs>
          <w:tab w:val="num" w:pos="360"/>
        </w:tabs>
      </w:pPr>
    </w:lvl>
    <w:lvl w:ilvl="6" w:tplc="04150001">
      <w:numFmt w:val="none"/>
      <w:lvlText w:val=""/>
      <w:lvlJc w:val="left"/>
      <w:pPr>
        <w:tabs>
          <w:tab w:val="num" w:pos="360"/>
        </w:tabs>
      </w:pPr>
    </w:lvl>
    <w:lvl w:ilvl="7" w:tplc="04150003">
      <w:numFmt w:val="none"/>
      <w:lvlText w:val=""/>
      <w:lvlJc w:val="left"/>
      <w:pPr>
        <w:tabs>
          <w:tab w:val="num" w:pos="360"/>
        </w:tabs>
      </w:pPr>
    </w:lvl>
    <w:lvl w:ilvl="8" w:tplc="04150005">
      <w:numFmt w:val="none"/>
      <w:lvlText w:val=""/>
      <w:lvlJc w:val="left"/>
      <w:pPr>
        <w:tabs>
          <w:tab w:val="num" w:pos="360"/>
        </w:tabs>
      </w:pPr>
    </w:lvl>
  </w:abstractNum>
  <w:abstractNum w:abstractNumId="85" w15:restartNumberingAfterBreak="0">
    <w:nsid w:val="62326A1B"/>
    <w:multiLevelType w:val="hybridMultilevel"/>
    <w:tmpl w:val="9D7069F4"/>
    <w:lvl w:ilvl="0" w:tplc="FFFFFFFF">
      <w:start w:val="1"/>
      <w:numFmt w:val="lowerLetter"/>
      <w:lvlText w:val="%1)"/>
      <w:lvlJc w:val="left"/>
      <w:pPr>
        <w:tabs>
          <w:tab w:val="num" w:pos="720"/>
        </w:tabs>
        <w:ind w:left="720" w:hanging="360"/>
      </w:pPr>
      <w:rPr>
        <w:rFonts w:hint="default"/>
        <w:b w:val="0"/>
      </w:rPr>
    </w:lvl>
    <w:lvl w:ilvl="1" w:tplc="FFFFFFFF" w:tentative="1">
      <w:start w:val="1"/>
      <w:numFmt w:val="lowerLetter"/>
      <w:lvlText w:val="%2."/>
      <w:lvlJc w:val="left"/>
      <w:pPr>
        <w:tabs>
          <w:tab w:val="num" w:pos="720"/>
        </w:tabs>
        <w:ind w:left="720" w:hanging="360"/>
      </w:pPr>
    </w:lvl>
    <w:lvl w:ilvl="2" w:tplc="FFFFFFFF" w:tentative="1">
      <w:start w:val="1"/>
      <w:numFmt w:val="lowerRoman"/>
      <w:lvlText w:val="%3."/>
      <w:lvlJc w:val="right"/>
      <w:pPr>
        <w:tabs>
          <w:tab w:val="num" w:pos="1440"/>
        </w:tabs>
        <w:ind w:left="1440" w:hanging="180"/>
      </w:pPr>
    </w:lvl>
    <w:lvl w:ilvl="3" w:tplc="FFFFFFFF" w:tentative="1">
      <w:start w:val="1"/>
      <w:numFmt w:val="decimal"/>
      <w:lvlText w:val="%4."/>
      <w:lvlJc w:val="left"/>
      <w:pPr>
        <w:tabs>
          <w:tab w:val="num" w:pos="2160"/>
        </w:tabs>
        <w:ind w:left="2160" w:hanging="360"/>
      </w:pPr>
    </w:lvl>
    <w:lvl w:ilvl="4" w:tplc="FFFFFFFF" w:tentative="1">
      <w:start w:val="1"/>
      <w:numFmt w:val="lowerLetter"/>
      <w:lvlText w:val="%5."/>
      <w:lvlJc w:val="left"/>
      <w:pPr>
        <w:tabs>
          <w:tab w:val="num" w:pos="2880"/>
        </w:tabs>
        <w:ind w:left="2880" w:hanging="360"/>
      </w:pPr>
    </w:lvl>
    <w:lvl w:ilvl="5" w:tplc="FFFFFFFF" w:tentative="1">
      <w:start w:val="1"/>
      <w:numFmt w:val="lowerRoman"/>
      <w:lvlText w:val="%6."/>
      <w:lvlJc w:val="right"/>
      <w:pPr>
        <w:tabs>
          <w:tab w:val="num" w:pos="3600"/>
        </w:tabs>
        <w:ind w:left="3600" w:hanging="180"/>
      </w:pPr>
    </w:lvl>
    <w:lvl w:ilvl="6" w:tplc="FFFFFFFF" w:tentative="1">
      <w:start w:val="1"/>
      <w:numFmt w:val="decimal"/>
      <w:lvlText w:val="%7."/>
      <w:lvlJc w:val="left"/>
      <w:pPr>
        <w:tabs>
          <w:tab w:val="num" w:pos="4320"/>
        </w:tabs>
        <w:ind w:left="4320" w:hanging="360"/>
      </w:pPr>
    </w:lvl>
    <w:lvl w:ilvl="7" w:tplc="FFFFFFFF" w:tentative="1">
      <w:start w:val="1"/>
      <w:numFmt w:val="lowerLetter"/>
      <w:lvlText w:val="%8."/>
      <w:lvlJc w:val="left"/>
      <w:pPr>
        <w:tabs>
          <w:tab w:val="num" w:pos="5040"/>
        </w:tabs>
        <w:ind w:left="5040" w:hanging="360"/>
      </w:pPr>
    </w:lvl>
    <w:lvl w:ilvl="8" w:tplc="FFFFFFFF" w:tentative="1">
      <w:start w:val="1"/>
      <w:numFmt w:val="lowerRoman"/>
      <w:lvlText w:val="%9."/>
      <w:lvlJc w:val="right"/>
      <w:pPr>
        <w:tabs>
          <w:tab w:val="num" w:pos="5760"/>
        </w:tabs>
        <w:ind w:left="5760" w:hanging="180"/>
      </w:pPr>
    </w:lvl>
  </w:abstractNum>
  <w:abstractNum w:abstractNumId="86" w15:restartNumberingAfterBreak="0">
    <w:nsid w:val="634753A2"/>
    <w:multiLevelType w:val="hybridMultilevel"/>
    <w:tmpl w:val="848A2262"/>
    <w:lvl w:ilvl="0" w:tplc="794E439A">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7" w15:restartNumberingAfterBreak="0">
    <w:nsid w:val="64B53351"/>
    <w:multiLevelType w:val="hybridMultilevel"/>
    <w:tmpl w:val="B8E6C506"/>
    <w:lvl w:ilvl="0" w:tplc="186C4190">
      <w:start w:val="1"/>
      <w:numFmt w:val="lowerRoman"/>
      <w:lvlText w:val="%1)"/>
      <w:lvlJc w:val="left"/>
      <w:pPr>
        <w:ind w:left="1800" w:hanging="360"/>
      </w:pPr>
      <w:rPr>
        <w:rFonts w:hint="default"/>
      </w:rPr>
    </w:lvl>
    <w:lvl w:ilvl="1" w:tplc="04150019">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88" w15:restartNumberingAfterBreak="0">
    <w:nsid w:val="65BD4CDB"/>
    <w:multiLevelType w:val="hybridMultilevel"/>
    <w:tmpl w:val="5AD881F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9" w15:restartNumberingAfterBreak="0">
    <w:nsid w:val="661A3917"/>
    <w:multiLevelType w:val="hybridMultilevel"/>
    <w:tmpl w:val="DBF27466"/>
    <w:lvl w:ilvl="0" w:tplc="186C4190">
      <w:start w:val="1"/>
      <w:numFmt w:val="lowerRoman"/>
      <w:lvlText w:val="%1)"/>
      <w:lvlJc w:val="left"/>
      <w:pPr>
        <w:ind w:left="2160" w:hanging="360"/>
      </w:pPr>
      <w:rPr>
        <w:rFonts w:hint="default"/>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90" w15:restartNumberingAfterBreak="0">
    <w:nsid w:val="6647724E"/>
    <w:multiLevelType w:val="hybridMultilevel"/>
    <w:tmpl w:val="BE3EE9F6"/>
    <w:lvl w:ilvl="0" w:tplc="BC020ACC">
      <w:start w:val="1"/>
      <w:numFmt w:val="decimal"/>
      <w:lvlText w:val="%1)"/>
      <w:lvlJc w:val="left"/>
      <w:pPr>
        <w:ind w:left="360" w:hanging="360"/>
      </w:pPr>
      <w:rPr>
        <w:rFonts w:hint="default"/>
      </w:rPr>
    </w:lvl>
    <w:lvl w:ilvl="1" w:tplc="95C2A480" w:tentative="1">
      <w:start w:val="1"/>
      <w:numFmt w:val="lowerLetter"/>
      <w:lvlText w:val="%2."/>
      <w:lvlJc w:val="left"/>
      <w:pPr>
        <w:ind w:left="1080" w:hanging="360"/>
      </w:pPr>
    </w:lvl>
    <w:lvl w:ilvl="2" w:tplc="72885128" w:tentative="1">
      <w:start w:val="1"/>
      <w:numFmt w:val="lowerRoman"/>
      <w:lvlText w:val="%3."/>
      <w:lvlJc w:val="right"/>
      <w:pPr>
        <w:ind w:left="1800" w:hanging="180"/>
      </w:pPr>
    </w:lvl>
    <w:lvl w:ilvl="3" w:tplc="EB70E846" w:tentative="1">
      <w:start w:val="1"/>
      <w:numFmt w:val="decimal"/>
      <w:lvlText w:val="%4."/>
      <w:lvlJc w:val="left"/>
      <w:pPr>
        <w:ind w:left="2520" w:hanging="360"/>
      </w:pPr>
    </w:lvl>
    <w:lvl w:ilvl="4" w:tplc="701EBB20" w:tentative="1">
      <w:start w:val="1"/>
      <w:numFmt w:val="lowerLetter"/>
      <w:lvlText w:val="%5."/>
      <w:lvlJc w:val="left"/>
      <w:pPr>
        <w:ind w:left="3240" w:hanging="360"/>
      </w:pPr>
    </w:lvl>
    <w:lvl w:ilvl="5" w:tplc="6F1E4CD4" w:tentative="1">
      <w:start w:val="1"/>
      <w:numFmt w:val="lowerRoman"/>
      <w:lvlText w:val="%6."/>
      <w:lvlJc w:val="right"/>
      <w:pPr>
        <w:ind w:left="3960" w:hanging="180"/>
      </w:pPr>
    </w:lvl>
    <w:lvl w:ilvl="6" w:tplc="E6B074E6" w:tentative="1">
      <w:start w:val="1"/>
      <w:numFmt w:val="decimal"/>
      <w:lvlText w:val="%7."/>
      <w:lvlJc w:val="left"/>
      <w:pPr>
        <w:ind w:left="4680" w:hanging="360"/>
      </w:pPr>
    </w:lvl>
    <w:lvl w:ilvl="7" w:tplc="3D8EFDB4" w:tentative="1">
      <w:start w:val="1"/>
      <w:numFmt w:val="lowerLetter"/>
      <w:lvlText w:val="%8."/>
      <w:lvlJc w:val="left"/>
      <w:pPr>
        <w:ind w:left="5400" w:hanging="360"/>
      </w:pPr>
    </w:lvl>
    <w:lvl w:ilvl="8" w:tplc="86806914" w:tentative="1">
      <w:start w:val="1"/>
      <w:numFmt w:val="lowerRoman"/>
      <w:lvlText w:val="%9."/>
      <w:lvlJc w:val="right"/>
      <w:pPr>
        <w:ind w:left="6120" w:hanging="180"/>
      </w:pPr>
    </w:lvl>
  </w:abstractNum>
  <w:abstractNum w:abstractNumId="91" w15:restartNumberingAfterBreak="0">
    <w:nsid w:val="66E938B0"/>
    <w:multiLevelType w:val="hybridMultilevel"/>
    <w:tmpl w:val="CCF0ADD6"/>
    <w:lvl w:ilvl="0" w:tplc="3A4AB34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2" w15:restartNumberingAfterBreak="0">
    <w:nsid w:val="68AF3FED"/>
    <w:multiLevelType w:val="hybridMultilevel"/>
    <w:tmpl w:val="4760B350"/>
    <w:lvl w:ilvl="0" w:tplc="38BE36E6">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cs="Courier New" w:hint="default"/>
      </w:rPr>
    </w:lvl>
    <w:lvl w:ilvl="8" w:tplc="04150005">
      <w:start w:val="1"/>
      <w:numFmt w:val="bullet"/>
      <w:lvlText w:val=""/>
      <w:lvlJc w:val="left"/>
      <w:pPr>
        <w:ind w:left="6120" w:hanging="360"/>
      </w:pPr>
      <w:rPr>
        <w:rFonts w:ascii="Wingdings" w:hAnsi="Wingdings" w:hint="default"/>
      </w:rPr>
    </w:lvl>
  </w:abstractNum>
  <w:abstractNum w:abstractNumId="93" w15:restartNumberingAfterBreak="0">
    <w:nsid w:val="6BFE420F"/>
    <w:multiLevelType w:val="hybridMultilevel"/>
    <w:tmpl w:val="FBE645F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4" w15:restartNumberingAfterBreak="0">
    <w:nsid w:val="6C4560E4"/>
    <w:multiLevelType w:val="hybridMultilevel"/>
    <w:tmpl w:val="22624A5E"/>
    <w:lvl w:ilvl="0" w:tplc="04150001">
      <w:start w:val="1"/>
      <w:numFmt w:val="bullet"/>
      <w:lvlText w:val=""/>
      <w:lvlJc w:val="left"/>
      <w:pPr>
        <w:tabs>
          <w:tab w:val="num" w:pos="360"/>
        </w:tabs>
        <w:ind w:left="360" w:hanging="360"/>
      </w:pPr>
      <w:rPr>
        <w:rFonts w:ascii="Symbol" w:hAnsi="Symbol" w:hint="default"/>
      </w:rPr>
    </w:lvl>
    <w:lvl w:ilvl="1" w:tplc="FFFFFFFF">
      <w:start w:val="1"/>
      <w:numFmt w:val="decimal"/>
      <w:lvlText w:val="%2."/>
      <w:lvlJc w:val="left"/>
      <w:pPr>
        <w:tabs>
          <w:tab w:val="num" w:pos="1080"/>
        </w:tabs>
        <w:ind w:left="1080" w:hanging="360"/>
      </w:pPr>
      <w:rPr>
        <w:rFonts w:hint="default"/>
        <w:i w:val="0"/>
        <w:color w:val="auto"/>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95" w15:restartNumberingAfterBreak="0">
    <w:nsid w:val="6CBD6EB2"/>
    <w:multiLevelType w:val="multilevel"/>
    <w:tmpl w:val="9654B976"/>
    <w:lvl w:ilvl="0">
      <w:start w:val="1"/>
      <w:numFmt w:val="decimal"/>
      <w:lvlText w:val="%1."/>
      <w:lvlJc w:val="left"/>
      <w:pPr>
        <w:tabs>
          <w:tab w:val="num" w:pos="360"/>
        </w:tabs>
        <w:ind w:left="360" w:hanging="360"/>
      </w:pPr>
      <w:rPr>
        <w:rFonts w:ascii="Calibri" w:hAnsi="Calibri" w:hint="default"/>
        <w:b w:val="0"/>
        <w:bCs/>
        <w:sz w:val="24"/>
      </w:rPr>
    </w:lvl>
    <w:lvl w:ilvl="1">
      <w:start w:val="1"/>
      <w:numFmt w:val="decimal"/>
      <w:lvlText w:val="%1.%2."/>
      <w:lvlJc w:val="left"/>
      <w:pPr>
        <w:tabs>
          <w:tab w:val="num" w:pos="792"/>
        </w:tabs>
        <w:ind w:left="792" w:hanging="432"/>
      </w:pPr>
      <w:rPr>
        <w:rFonts w:ascii="Calibri" w:hAnsi="Calibri" w:hint="default"/>
        <w:b/>
        <w:sz w:val="22"/>
      </w:rPr>
    </w:lvl>
    <w:lvl w:ilvl="2">
      <w:start w:val="1"/>
      <w:numFmt w:val="decimal"/>
      <w:lvlText w:val="%1.%2.%3."/>
      <w:lvlJc w:val="left"/>
      <w:pPr>
        <w:tabs>
          <w:tab w:val="num" w:pos="709"/>
        </w:tabs>
        <w:ind w:left="426" w:hanging="284"/>
      </w:pPr>
      <w:rPr>
        <w:rFonts w:ascii="Calibri" w:hAnsi="Calibri" w:hint="default"/>
        <w:b/>
      </w:rPr>
    </w:lvl>
    <w:lvl w:ilvl="3">
      <w:start w:val="1"/>
      <w:numFmt w:val="decimal"/>
      <w:lvlText w:val="%1.%2.%3.%4."/>
      <w:lvlJc w:val="left"/>
      <w:pPr>
        <w:tabs>
          <w:tab w:val="num" w:pos="1534"/>
        </w:tabs>
        <w:ind w:left="2101" w:hanging="1021"/>
      </w:pPr>
      <w:rPr>
        <w:rFonts w:ascii="Calibri" w:hAnsi="Calibri" w:hint="default"/>
        <w:b/>
        <w:sz w:val="24"/>
        <w:szCs w:val="24"/>
      </w:rPr>
    </w:lvl>
    <w:lvl w:ilvl="4">
      <w:start w:val="1"/>
      <w:numFmt w:val="decimal"/>
      <w:lvlText w:val="%1.%2.%3.%4.%5."/>
      <w:lvlJc w:val="left"/>
      <w:pPr>
        <w:tabs>
          <w:tab w:val="num" w:pos="2520"/>
        </w:tabs>
        <w:ind w:left="2232" w:hanging="792"/>
      </w:pPr>
      <w:rPr>
        <w:rFonts w:hint="default"/>
        <w:b/>
      </w:rPr>
    </w:lvl>
    <w:lvl w:ilvl="5">
      <w:start w:val="1"/>
      <w:numFmt w:val="decimal"/>
      <w:lvlText w:val="%1.%2.%3.%4.%5.%6."/>
      <w:lvlJc w:val="left"/>
      <w:pPr>
        <w:tabs>
          <w:tab w:val="num" w:pos="3240"/>
        </w:tabs>
        <w:ind w:left="2736" w:hanging="936"/>
      </w:pPr>
      <w:rPr>
        <w:rFonts w:hint="default"/>
        <w:b/>
      </w:rPr>
    </w:lvl>
    <w:lvl w:ilvl="6">
      <w:start w:val="1"/>
      <w:numFmt w:val="decimal"/>
      <w:lvlText w:val="%1.%2.%3.%4.%5.%6.%7."/>
      <w:lvlJc w:val="left"/>
      <w:pPr>
        <w:tabs>
          <w:tab w:val="num" w:pos="3600"/>
        </w:tabs>
        <w:ind w:left="3240" w:hanging="1080"/>
      </w:pPr>
      <w:rPr>
        <w:rFonts w:hint="default"/>
        <w:b/>
      </w:rPr>
    </w:lvl>
    <w:lvl w:ilvl="7">
      <w:start w:val="1"/>
      <w:numFmt w:val="decimal"/>
      <w:lvlText w:val="%1.%2.%3.%4.%5.%6.%7.%8."/>
      <w:lvlJc w:val="left"/>
      <w:pPr>
        <w:tabs>
          <w:tab w:val="num" w:pos="4320"/>
        </w:tabs>
        <w:ind w:left="3744" w:hanging="1224"/>
      </w:pPr>
      <w:rPr>
        <w:rFonts w:hint="default"/>
        <w:b/>
      </w:rPr>
    </w:lvl>
    <w:lvl w:ilvl="8">
      <w:start w:val="1"/>
      <w:numFmt w:val="decimal"/>
      <w:lvlText w:val="%1.%2.%3.%4.%5.%6.%7.%8.%9."/>
      <w:lvlJc w:val="left"/>
      <w:pPr>
        <w:tabs>
          <w:tab w:val="num" w:pos="4680"/>
        </w:tabs>
        <w:ind w:left="4320" w:hanging="1440"/>
      </w:pPr>
      <w:rPr>
        <w:rFonts w:hint="default"/>
        <w:b/>
      </w:rPr>
    </w:lvl>
  </w:abstractNum>
  <w:abstractNum w:abstractNumId="96" w15:restartNumberingAfterBreak="0">
    <w:nsid w:val="6EDD648B"/>
    <w:multiLevelType w:val="hybridMultilevel"/>
    <w:tmpl w:val="ECCCFA94"/>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7" w15:restartNumberingAfterBreak="0">
    <w:nsid w:val="72933879"/>
    <w:multiLevelType w:val="multilevel"/>
    <w:tmpl w:val="312261EC"/>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rPr>
        <w:b w:val="0"/>
      </w:r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pStyle w:val="Akapit"/>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8" w15:restartNumberingAfterBreak="0">
    <w:nsid w:val="76252C9A"/>
    <w:multiLevelType w:val="hybridMultilevel"/>
    <w:tmpl w:val="7264CDAA"/>
    <w:lvl w:ilvl="0" w:tplc="7A3E1A52">
      <w:start w:val="1"/>
      <w:numFmt w:val="bullet"/>
      <w:pStyle w:val="Draftmaintext"/>
      <w:lvlText w:val="-"/>
      <w:lvlJc w:val="left"/>
      <w:pPr>
        <w:ind w:left="928" w:hanging="360"/>
      </w:pPr>
      <w:rPr>
        <w:rFonts w:ascii="Courier New" w:hAnsi="Courier New" w:hint="default"/>
        <w:b w:val="0"/>
      </w:rPr>
    </w:lvl>
    <w:lvl w:ilvl="1" w:tplc="04150003" w:tentative="1">
      <w:start w:val="1"/>
      <w:numFmt w:val="bullet"/>
      <w:lvlText w:val="o"/>
      <w:lvlJc w:val="left"/>
      <w:pPr>
        <w:ind w:left="1648" w:hanging="360"/>
      </w:pPr>
      <w:rPr>
        <w:rFonts w:ascii="Courier New" w:hAnsi="Courier New" w:cs="Courier New" w:hint="default"/>
      </w:rPr>
    </w:lvl>
    <w:lvl w:ilvl="2" w:tplc="04150005" w:tentative="1">
      <w:start w:val="1"/>
      <w:numFmt w:val="bullet"/>
      <w:lvlText w:val=""/>
      <w:lvlJc w:val="left"/>
      <w:pPr>
        <w:ind w:left="2368" w:hanging="360"/>
      </w:pPr>
      <w:rPr>
        <w:rFonts w:ascii="Wingdings" w:hAnsi="Wingdings" w:hint="default"/>
      </w:rPr>
    </w:lvl>
    <w:lvl w:ilvl="3" w:tplc="04150001" w:tentative="1">
      <w:start w:val="1"/>
      <w:numFmt w:val="bullet"/>
      <w:lvlText w:val=""/>
      <w:lvlJc w:val="left"/>
      <w:pPr>
        <w:ind w:left="3088" w:hanging="360"/>
      </w:pPr>
      <w:rPr>
        <w:rFonts w:ascii="Symbol" w:hAnsi="Symbol" w:hint="default"/>
      </w:rPr>
    </w:lvl>
    <w:lvl w:ilvl="4" w:tplc="04150003" w:tentative="1">
      <w:start w:val="1"/>
      <w:numFmt w:val="bullet"/>
      <w:lvlText w:val="o"/>
      <w:lvlJc w:val="left"/>
      <w:pPr>
        <w:ind w:left="3808" w:hanging="360"/>
      </w:pPr>
      <w:rPr>
        <w:rFonts w:ascii="Courier New" w:hAnsi="Courier New" w:cs="Courier New" w:hint="default"/>
      </w:rPr>
    </w:lvl>
    <w:lvl w:ilvl="5" w:tplc="04150005" w:tentative="1">
      <w:start w:val="1"/>
      <w:numFmt w:val="bullet"/>
      <w:lvlText w:val=""/>
      <w:lvlJc w:val="left"/>
      <w:pPr>
        <w:ind w:left="4528" w:hanging="360"/>
      </w:pPr>
      <w:rPr>
        <w:rFonts w:ascii="Wingdings" w:hAnsi="Wingdings" w:hint="default"/>
      </w:rPr>
    </w:lvl>
    <w:lvl w:ilvl="6" w:tplc="04150001" w:tentative="1">
      <w:start w:val="1"/>
      <w:numFmt w:val="bullet"/>
      <w:lvlText w:val=""/>
      <w:lvlJc w:val="left"/>
      <w:pPr>
        <w:ind w:left="5248" w:hanging="360"/>
      </w:pPr>
      <w:rPr>
        <w:rFonts w:ascii="Symbol" w:hAnsi="Symbol" w:hint="default"/>
      </w:rPr>
    </w:lvl>
    <w:lvl w:ilvl="7" w:tplc="04150003" w:tentative="1">
      <w:start w:val="1"/>
      <w:numFmt w:val="bullet"/>
      <w:lvlText w:val="o"/>
      <w:lvlJc w:val="left"/>
      <w:pPr>
        <w:ind w:left="5968" w:hanging="360"/>
      </w:pPr>
      <w:rPr>
        <w:rFonts w:ascii="Courier New" w:hAnsi="Courier New" w:cs="Courier New" w:hint="default"/>
      </w:rPr>
    </w:lvl>
    <w:lvl w:ilvl="8" w:tplc="04150005" w:tentative="1">
      <w:start w:val="1"/>
      <w:numFmt w:val="bullet"/>
      <w:lvlText w:val=""/>
      <w:lvlJc w:val="left"/>
      <w:pPr>
        <w:ind w:left="6688" w:hanging="360"/>
      </w:pPr>
      <w:rPr>
        <w:rFonts w:ascii="Wingdings" w:hAnsi="Wingdings" w:hint="default"/>
      </w:rPr>
    </w:lvl>
  </w:abstractNum>
  <w:abstractNum w:abstractNumId="99" w15:restartNumberingAfterBreak="0">
    <w:nsid w:val="78274E14"/>
    <w:multiLevelType w:val="multilevel"/>
    <w:tmpl w:val="01F8FDBC"/>
    <w:lvl w:ilvl="0">
      <w:start w:val="1"/>
      <w:numFmt w:val="decimal"/>
      <w:lvlText w:val="%1"/>
      <w:lvlJc w:val="left"/>
      <w:pPr>
        <w:ind w:left="480" w:hanging="480"/>
      </w:pPr>
      <w:rPr>
        <w:rFonts w:hint="default"/>
      </w:rPr>
    </w:lvl>
    <w:lvl w:ilvl="1">
      <w:start w:val="2"/>
      <w:numFmt w:val="decimal"/>
      <w:lvlText w:val="%1.%2"/>
      <w:lvlJc w:val="left"/>
      <w:pPr>
        <w:ind w:left="905" w:hanging="48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b/>
        <w:bCs/>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100" w15:restartNumberingAfterBreak="0">
    <w:nsid w:val="79A91E36"/>
    <w:multiLevelType w:val="hybridMultilevel"/>
    <w:tmpl w:val="A6C4325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1" w15:restartNumberingAfterBreak="0">
    <w:nsid w:val="7BC451A3"/>
    <w:multiLevelType w:val="multilevel"/>
    <w:tmpl w:val="0415001F"/>
    <w:numStyleLink w:val="111111"/>
  </w:abstractNum>
  <w:abstractNum w:abstractNumId="102" w15:restartNumberingAfterBreak="0">
    <w:nsid w:val="7C1F16CD"/>
    <w:multiLevelType w:val="multilevel"/>
    <w:tmpl w:val="B51446A6"/>
    <w:styleLink w:val="Biecalista1"/>
    <w:lvl w:ilvl="0">
      <w:start w:val="1"/>
      <w:numFmt w:val="decimal"/>
      <w:lvlText w:val="%1."/>
      <w:lvlJc w:val="left"/>
      <w:pPr>
        <w:tabs>
          <w:tab w:val="num" w:pos="720"/>
        </w:tabs>
        <w:ind w:left="720" w:hanging="360"/>
      </w:pPr>
      <w:rPr>
        <w:i w:val="0"/>
        <w:color w:val="auto"/>
      </w:rPr>
    </w:lvl>
    <w:lvl w:ilvl="1">
      <w:start w:val="1"/>
      <w:numFmt w:val="decimal"/>
      <w:lvlText w:val="%2."/>
      <w:lvlJc w:val="left"/>
      <w:pPr>
        <w:tabs>
          <w:tab w:val="num" w:pos="1440"/>
        </w:tabs>
        <w:ind w:left="1440" w:hanging="360"/>
      </w:pPr>
      <w:rPr>
        <w:rFonts w:hint="default"/>
        <w:i w:val="0"/>
        <w:color w:val="auto"/>
      </w:rPr>
    </w:lvl>
    <w:lvl w:ilvl="2">
      <w:start w:val="1"/>
      <w:numFmt w:val="lowerLetter"/>
      <w:lvlText w:val="%3)"/>
      <w:lvlJc w:val="left"/>
      <w:pPr>
        <w:ind w:left="2340"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3" w15:restartNumberingAfterBreak="0">
    <w:nsid w:val="7DD356D8"/>
    <w:multiLevelType w:val="multilevel"/>
    <w:tmpl w:val="95E8527C"/>
    <w:lvl w:ilvl="0">
      <w:start w:val="1"/>
      <w:numFmt w:val="upperRoman"/>
      <w:pStyle w:val="Nagwek1"/>
      <w:lvlText w:val="Artykuł %1."/>
      <w:lvlJc w:val="left"/>
      <w:pPr>
        <w:tabs>
          <w:tab w:val="num" w:pos="1440"/>
        </w:tabs>
        <w:ind w:left="0" w:firstLine="0"/>
      </w:pPr>
    </w:lvl>
    <w:lvl w:ilvl="1">
      <w:start w:val="1"/>
      <w:numFmt w:val="decimalZero"/>
      <w:pStyle w:val="Nagwek2"/>
      <w:isLgl/>
      <w:lvlText w:val="Sekcja %1.%2"/>
      <w:lvlJc w:val="left"/>
      <w:pPr>
        <w:tabs>
          <w:tab w:val="num" w:pos="1080"/>
        </w:tabs>
        <w:ind w:left="0" w:firstLine="0"/>
      </w:pPr>
    </w:lvl>
    <w:lvl w:ilvl="2">
      <w:start w:val="1"/>
      <w:numFmt w:val="lowerLetter"/>
      <w:pStyle w:val="Nagwek3"/>
      <w:lvlText w:val="(%3)"/>
      <w:lvlJc w:val="left"/>
      <w:pPr>
        <w:tabs>
          <w:tab w:val="num" w:pos="720"/>
        </w:tabs>
        <w:ind w:left="720" w:hanging="432"/>
      </w:pPr>
    </w:lvl>
    <w:lvl w:ilvl="3">
      <w:start w:val="1"/>
      <w:numFmt w:val="lowerRoman"/>
      <w:pStyle w:val="Nagwek4"/>
      <w:lvlText w:val="(%4)"/>
      <w:lvlJc w:val="right"/>
      <w:pPr>
        <w:tabs>
          <w:tab w:val="num" w:pos="864"/>
        </w:tabs>
        <w:ind w:left="864" w:hanging="144"/>
      </w:pPr>
    </w:lvl>
    <w:lvl w:ilvl="4">
      <w:start w:val="1"/>
      <w:numFmt w:val="decimal"/>
      <w:pStyle w:val="Nagwek5"/>
      <w:lvlText w:val="%5)"/>
      <w:lvlJc w:val="left"/>
      <w:pPr>
        <w:tabs>
          <w:tab w:val="num" w:pos="1008"/>
        </w:tabs>
        <w:ind w:left="1008" w:hanging="432"/>
      </w:pPr>
    </w:lvl>
    <w:lvl w:ilvl="5">
      <w:start w:val="1"/>
      <w:numFmt w:val="lowerLetter"/>
      <w:pStyle w:val="Nagwek6"/>
      <w:lvlText w:val="%6)"/>
      <w:lvlJc w:val="left"/>
      <w:pPr>
        <w:tabs>
          <w:tab w:val="num" w:pos="1152"/>
        </w:tabs>
        <w:ind w:left="1152" w:hanging="432"/>
      </w:pPr>
    </w:lvl>
    <w:lvl w:ilvl="6">
      <w:start w:val="1"/>
      <w:numFmt w:val="lowerRoman"/>
      <w:pStyle w:val="Nagwek7"/>
      <w:lvlText w:val="%7)"/>
      <w:lvlJc w:val="right"/>
      <w:pPr>
        <w:tabs>
          <w:tab w:val="num" w:pos="1296"/>
        </w:tabs>
        <w:ind w:left="1296" w:hanging="288"/>
      </w:pPr>
    </w:lvl>
    <w:lvl w:ilvl="7">
      <w:start w:val="1"/>
      <w:numFmt w:val="lowerLetter"/>
      <w:pStyle w:val="Nagwek8"/>
      <w:lvlText w:val="%8."/>
      <w:lvlJc w:val="left"/>
      <w:pPr>
        <w:tabs>
          <w:tab w:val="num" w:pos="1440"/>
        </w:tabs>
        <w:ind w:left="1440" w:hanging="432"/>
      </w:pPr>
    </w:lvl>
    <w:lvl w:ilvl="8">
      <w:start w:val="1"/>
      <w:numFmt w:val="lowerRoman"/>
      <w:pStyle w:val="Nagwek9"/>
      <w:lvlText w:val="%9."/>
      <w:lvlJc w:val="right"/>
      <w:pPr>
        <w:tabs>
          <w:tab w:val="num" w:pos="1584"/>
        </w:tabs>
        <w:ind w:left="1584" w:hanging="144"/>
      </w:pPr>
    </w:lvl>
  </w:abstractNum>
  <w:num w:numId="1" w16cid:durableId="1302810330">
    <w:abstractNumId w:val="97"/>
  </w:num>
  <w:num w:numId="2" w16cid:durableId="1127165585">
    <w:abstractNumId w:val="32"/>
  </w:num>
  <w:num w:numId="3" w16cid:durableId="1471636039">
    <w:abstractNumId w:val="69"/>
  </w:num>
  <w:num w:numId="4" w16cid:durableId="2061198307">
    <w:abstractNumId w:val="78"/>
  </w:num>
  <w:num w:numId="5" w16cid:durableId="1184981758">
    <w:abstractNumId w:val="84"/>
  </w:num>
  <w:num w:numId="6" w16cid:durableId="128520720">
    <w:abstractNumId w:val="95"/>
  </w:num>
  <w:num w:numId="7" w16cid:durableId="1947230437">
    <w:abstractNumId w:val="73"/>
  </w:num>
  <w:num w:numId="8" w16cid:durableId="1193954514">
    <w:abstractNumId w:val="27"/>
  </w:num>
  <w:num w:numId="9" w16cid:durableId="233129942">
    <w:abstractNumId w:val="102"/>
  </w:num>
  <w:num w:numId="10" w16cid:durableId="274486016">
    <w:abstractNumId w:val="101"/>
    <w:lvlOverride w:ilvl="0">
      <w:lvl w:ilvl="0">
        <w:start w:val="1"/>
        <w:numFmt w:val="decimal"/>
        <w:lvlText w:val="%1."/>
        <w:lvlJc w:val="left"/>
        <w:pPr>
          <w:tabs>
            <w:tab w:val="num" w:pos="360"/>
          </w:tabs>
          <w:ind w:left="360" w:hanging="360"/>
        </w:pPr>
        <w:rPr>
          <w:rFonts w:ascii="Calibri" w:hAnsi="Calibri"/>
          <w:sz w:val="24"/>
        </w:rPr>
      </w:lvl>
    </w:lvlOverride>
  </w:num>
  <w:num w:numId="11" w16cid:durableId="119762273">
    <w:abstractNumId w:val="103"/>
  </w:num>
  <w:num w:numId="12" w16cid:durableId="1365324552">
    <w:abstractNumId w:val="57"/>
  </w:num>
  <w:num w:numId="13" w16cid:durableId="90399294">
    <w:abstractNumId w:val="20"/>
  </w:num>
  <w:num w:numId="14" w16cid:durableId="372459278">
    <w:abstractNumId w:val="66"/>
  </w:num>
  <w:num w:numId="15" w16cid:durableId="2025551274">
    <w:abstractNumId w:val="34"/>
  </w:num>
  <w:num w:numId="16" w16cid:durableId="1697265415">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93955285">
    <w:abstractNumId w:val="55"/>
  </w:num>
  <w:num w:numId="18" w16cid:durableId="254942914">
    <w:abstractNumId w:val="33"/>
  </w:num>
  <w:num w:numId="19" w16cid:durableId="890848167">
    <w:abstractNumId w:val="79"/>
  </w:num>
  <w:num w:numId="20" w16cid:durableId="1145045513">
    <w:abstractNumId w:val="82"/>
  </w:num>
  <w:num w:numId="21" w16cid:durableId="1505589902">
    <w:abstractNumId w:val="18"/>
  </w:num>
  <w:num w:numId="22" w16cid:durableId="463547859">
    <w:abstractNumId w:val="22"/>
  </w:num>
  <w:num w:numId="23" w16cid:durableId="821583017">
    <w:abstractNumId w:val="42"/>
  </w:num>
  <w:num w:numId="24" w16cid:durableId="1632709130">
    <w:abstractNumId w:val="23"/>
  </w:num>
  <w:num w:numId="25" w16cid:durableId="878277120">
    <w:abstractNumId w:val="59"/>
  </w:num>
  <w:num w:numId="26" w16cid:durableId="455369099">
    <w:abstractNumId w:val="40"/>
  </w:num>
  <w:num w:numId="27" w16cid:durableId="897857232">
    <w:abstractNumId w:val="24"/>
  </w:num>
  <w:num w:numId="28" w16cid:durableId="234557722">
    <w:abstractNumId w:val="54"/>
  </w:num>
  <w:num w:numId="29" w16cid:durableId="331299478">
    <w:abstractNumId w:val="48"/>
  </w:num>
  <w:num w:numId="30" w16cid:durableId="57095789">
    <w:abstractNumId w:val="52"/>
  </w:num>
  <w:num w:numId="31" w16cid:durableId="411701988">
    <w:abstractNumId w:val="56"/>
  </w:num>
  <w:num w:numId="32" w16cid:durableId="1044715996">
    <w:abstractNumId w:val="97"/>
    <w:lvlOverride w:ilvl="0">
      <w:startOverride w:val="3"/>
    </w:lvlOverride>
    <w:lvlOverride w:ilvl="1">
      <w:startOverride w:val="1"/>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2546117">
    <w:abstractNumId w:val="81"/>
  </w:num>
  <w:num w:numId="34" w16cid:durableId="1561406032">
    <w:abstractNumId w:val="72"/>
  </w:num>
  <w:num w:numId="35" w16cid:durableId="215433411">
    <w:abstractNumId w:val="70"/>
  </w:num>
  <w:num w:numId="36" w16cid:durableId="674578945">
    <w:abstractNumId w:val="39"/>
  </w:num>
  <w:num w:numId="37" w16cid:durableId="158621339">
    <w:abstractNumId w:val="83"/>
  </w:num>
  <w:num w:numId="38" w16cid:durableId="923222201">
    <w:abstractNumId w:val="44"/>
  </w:num>
  <w:num w:numId="39" w16cid:durableId="1649362295">
    <w:abstractNumId w:val="87"/>
  </w:num>
  <w:num w:numId="40" w16cid:durableId="55667382">
    <w:abstractNumId w:val="89"/>
  </w:num>
  <w:num w:numId="41" w16cid:durableId="247664220">
    <w:abstractNumId w:val="71"/>
  </w:num>
  <w:num w:numId="42" w16cid:durableId="2077163774">
    <w:abstractNumId w:val="30"/>
  </w:num>
  <w:num w:numId="43" w16cid:durableId="925189663">
    <w:abstractNumId w:val="19"/>
  </w:num>
  <w:num w:numId="44" w16cid:durableId="1442993730">
    <w:abstractNumId w:val="65"/>
  </w:num>
  <w:num w:numId="45" w16cid:durableId="1940987567">
    <w:abstractNumId w:val="60"/>
  </w:num>
  <w:num w:numId="46" w16cid:durableId="647561930">
    <w:abstractNumId w:val="37"/>
  </w:num>
  <w:num w:numId="47" w16cid:durableId="110250630">
    <w:abstractNumId w:val="46"/>
  </w:num>
  <w:num w:numId="48" w16cid:durableId="204800305">
    <w:abstractNumId w:val="91"/>
  </w:num>
  <w:num w:numId="49" w16cid:durableId="786778542">
    <w:abstractNumId w:val="50"/>
  </w:num>
  <w:num w:numId="50" w16cid:durableId="973213031">
    <w:abstractNumId w:val="86"/>
  </w:num>
  <w:num w:numId="51" w16cid:durableId="1248731467">
    <w:abstractNumId w:val="36"/>
  </w:num>
  <w:num w:numId="52" w16cid:durableId="1039740286">
    <w:abstractNumId w:val="21"/>
  </w:num>
  <w:num w:numId="53" w16cid:durableId="2021883786">
    <w:abstractNumId w:val="35"/>
  </w:num>
  <w:num w:numId="54" w16cid:durableId="280184250">
    <w:abstractNumId w:val="68"/>
  </w:num>
  <w:num w:numId="55" w16cid:durableId="776949475">
    <w:abstractNumId w:val="63"/>
  </w:num>
  <w:num w:numId="56" w16cid:durableId="977803309">
    <w:abstractNumId w:val="74"/>
  </w:num>
  <w:num w:numId="57" w16cid:durableId="602491937">
    <w:abstractNumId w:val="53"/>
  </w:num>
  <w:num w:numId="58" w16cid:durableId="484005140">
    <w:abstractNumId w:val="88"/>
  </w:num>
  <w:num w:numId="59" w16cid:durableId="1106778436">
    <w:abstractNumId w:val="93"/>
  </w:num>
  <w:num w:numId="60" w16cid:durableId="1577403194">
    <w:abstractNumId w:val="45"/>
  </w:num>
  <w:num w:numId="61" w16cid:durableId="1489130244">
    <w:abstractNumId w:val="28"/>
  </w:num>
  <w:num w:numId="62" w16cid:durableId="1381979402">
    <w:abstractNumId w:val="47"/>
  </w:num>
  <w:num w:numId="63" w16cid:durableId="1083070143">
    <w:abstractNumId w:val="25"/>
  </w:num>
  <w:num w:numId="64" w16cid:durableId="1246262905">
    <w:abstractNumId w:val="77"/>
  </w:num>
  <w:num w:numId="65" w16cid:durableId="1370954182">
    <w:abstractNumId w:val="67"/>
  </w:num>
  <w:num w:numId="66" w16cid:durableId="1992246275">
    <w:abstractNumId w:val="98"/>
  </w:num>
  <w:num w:numId="67" w16cid:durableId="102775287">
    <w:abstractNumId w:val="76"/>
  </w:num>
  <w:num w:numId="68" w16cid:durableId="1064334481">
    <w:abstractNumId w:val="49"/>
  </w:num>
  <w:num w:numId="69" w16cid:durableId="1326783978">
    <w:abstractNumId w:val="92"/>
  </w:num>
  <w:num w:numId="70" w16cid:durableId="1736395213">
    <w:abstractNumId w:val="43"/>
  </w:num>
  <w:num w:numId="71" w16cid:durableId="1086194704">
    <w:abstractNumId w:val="99"/>
  </w:num>
  <w:num w:numId="72" w16cid:durableId="1752846866">
    <w:abstractNumId w:val="4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1107042435">
    <w:abstractNumId w:val="96"/>
  </w:num>
  <w:num w:numId="74" w16cid:durableId="1608855727">
    <w:abstractNumId w:val="100"/>
  </w:num>
  <w:num w:numId="75" w16cid:durableId="1487936717">
    <w:abstractNumId w:val="94"/>
  </w:num>
  <w:num w:numId="76" w16cid:durableId="62458751">
    <w:abstractNumId w:val="61"/>
  </w:num>
  <w:num w:numId="77" w16cid:durableId="1178077132">
    <w:abstractNumId w:val="62"/>
  </w:num>
  <w:num w:numId="78" w16cid:durableId="128595442">
    <w:abstractNumId w:val="75"/>
  </w:num>
  <w:num w:numId="79" w16cid:durableId="153835386">
    <w:abstractNumId w:val="31"/>
  </w:num>
  <w:num w:numId="80" w16cid:durableId="246697876">
    <w:abstractNumId w:val="33"/>
  </w:num>
  <w:num w:numId="81" w16cid:durableId="210532548">
    <w:abstractNumId w:val="80"/>
  </w:num>
  <w:num w:numId="82" w16cid:durableId="1045832179">
    <w:abstractNumId w:val="26"/>
  </w:num>
  <w:num w:numId="83" w16cid:durableId="1253393063">
    <w:abstractNumId w:val="58"/>
  </w:num>
  <w:num w:numId="84" w16cid:durableId="1632202604">
    <w:abstractNumId w:val="85"/>
  </w:num>
  <w:num w:numId="85" w16cid:durableId="294222296">
    <w:abstractNumId w:val="29"/>
  </w:num>
  <w:num w:numId="86" w16cid:durableId="1405714028">
    <w:abstractNumId w:val="64"/>
  </w:num>
  <w:num w:numId="87" w16cid:durableId="1356080907">
    <w:abstractNumId w:val="38"/>
  </w:num>
  <w:num w:numId="88" w16cid:durableId="606499070">
    <w:abstractNumId w:val="51"/>
  </w:num>
  <w:numIdMacAtCleanup w:val="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0A8A"/>
    <w:rsid w:val="00000B3B"/>
    <w:rsid w:val="00001249"/>
    <w:rsid w:val="00001477"/>
    <w:rsid w:val="000026F8"/>
    <w:rsid w:val="0000284F"/>
    <w:rsid w:val="00002CC4"/>
    <w:rsid w:val="00002DCF"/>
    <w:rsid w:val="000030E8"/>
    <w:rsid w:val="000032A1"/>
    <w:rsid w:val="00003F80"/>
    <w:rsid w:val="000041F0"/>
    <w:rsid w:val="00004AEC"/>
    <w:rsid w:val="00005B0C"/>
    <w:rsid w:val="000071F2"/>
    <w:rsid w:val="000074B8"/>
    <w:rsid w:val="0001008A"/>
    <w:rsid w:val="00010822"/>
    <w:rsid w:val="00010A1F"/>
    <w:rsid w:val="00010B7E"/>
    <w:rsid w:val="000121C2"/>
    <w:rsid w:val="00012419"/>
    <w:rsid w:val="0001417D"/>
    <w:rsid w:val="000155E4"/>
    <w:rsid w:val="00015CDD"/>
    <w:rsid w:val="00015F93"/>
    <w:rsid w:val="00016376"/>
    <w:rsid w:val="0001648F"/>
    <w:rsid w:val="00016500"/>
    <w:rsid w:val="000169F3"/>
    <w:rsid w:val="00016BEE"/>
    <w:rsid w:val="00016E3C"/>
    <w:rsid w:val="0001709E"/>
    <w:rsid w:val="00020A99"/>
    <w:rsid w:val="00020ED2"/>
    <w:rsid w:val="000211D5"/>
    <w:rsid w:val="000212E7"/>
    <w:rsid w:val="0002180E"/>
    <w:rsid w:val="000220D1"/>
    <w:rsid w:val="000235EF"/>
    <w:rsid w:val="000239A4"/>
    <w:rsid w:val="000239FE"/>
    <w:rsid w:val="00024ABA"/>
    <w:rsid w:val="0002507B"/>
    <w:rsid w:val="00026284"/>
    <w:rsid w:val="00026511"/>
    <w:rsid w:val="000271D1"/>
    <w:rsid w:val="000277D4"/>
    <w:rsid w:val="00030FD4"/>
    <w:rsid w:val="00031D40"/>
    <w:rsid w:val="00033B61"/>
    <w:rsid w:val="000340B7"/>
    <w:rsid w:val="00034F54"/>
    <w:rsid w:val="00035376"/>
    <w:rsid w:val="000353E7"/>
    <w:rsid w:val="00035DB8"/>
    <w:rsid w:val="00036561"/>
    <w:rsid w:val="0004053C"/>
    <w:rsid w:val="00042226"/>
    <w:rsid w:val="00042819"/>
    <w:rsid w:val="00043BB1"/>
    <w:rsid w:val="00044260"/>
    <w:rsid w:val="00045BF5"/>
    <w:rsid w:val="00045D96"/>
    <w:rsid w:val="000469AC"/>
    <w:rsid w:val="00046C09"/>
    <w:rsid w:val="00047657"/>
    <w:rsid w:val="00047A96"/>
    <w:rsid w:val="00050F55"/>
    <w:rsid w:val="00051B4B"/>
    <w:rsid w:val="000535A7"/>
    <w:rsid w:val="00053674"/>
    <w:rsid w:val="0005374C"/>
    <w:rsid w:val="0005558A"/>
    <w:rsid w:val="00056112"/>
    <w:rsid w:val="0005674A"/>
    <w:rsid w:val="000574E2"/>
    <w:rsid w:val="00057C19"/>
    <w:rsid w:val="00060169"/>
    <w:rsid w:val="0006098D"/>
    <w:rsid w:val="00061235"/>
    <w:rsid w:val="00062773"/>
    <w:rsid w:val="000639DA"/>
    <w:rsid w:val="00063E1B"/>
    <w:rsid w:val="0006599A"/>
    <w:rsid w:val="00067492"/>
    <w:rsid w:val="00067A1F"/>
    <w:rsid w:val="00070229"/>
    <w:rsid w:val="0007142F"/>
    <w:rsid w:val="000720E8"/>
    <w:rsid w:val="00073A3E"/>
    <w:rsid w:val="00074F46"/>
    <w:rsid w:val="00074FA2"/>
    <w:rsid w:val="00075069"/>
    <w:rsid w:val="00077D6D"/>
    <w:rsid w:val="00077D99"/>
    <w:rsid w:val="00081E07"/>
    <w:rsid w:val="0008268D"/>
    <w:rsid w:val="000828FC"/>
    <w:rsid w:val="00082FFB"/>
    <w:rsid w:val="0008379E"/>
    <w:rsid w:val="00085C12"/>
    <w:rsid w:val="000865C1"/>
    <w:rsid w:val="000866BD"/>
    <w:rsid w:val="00086C23"/>
    <w:rsid w:val="0008765B"/>
    <w:rsid w:val="00087B46"/>
    <w:rsid w:val="000901A2"/>
    <w:rsid w:val="00090B4A"/>
    <w:rsid w:val="000924B8"/>
    <w:rsid w:val="00092658"/>
    <w:rsid w:val="00093403"/>
    <w:rsid w:val="0009395E"/>
    <w:rsid w:val="00093A61"/>
    <w:rsid w:val="0009416E"/>
    <w:rsid w:val="00094764"/>
    <w:rsid w:val="000951B8"/>
    <w:rsid w:val="0009579B"/>
    <w:rsid w:val="00096C5F"/>
    <w:rsid w:val="000A0EC6"/>
    <w:rsid w:val="000A1234"/>
    <w:rsid w:val="000A1487"/>
    <w:rsid w:val="000A204D"/>
    <w:rsid w:val="000A2923"/>
    <w:rsid w:val="000A2A74"/>
    <w:rsid w:val="000A2D56"/>
    <w:rsid w:val="000A2FC0"/>
    <w:rsid w:val="000A38A4"/>
    <w:rsid w:val="000A3B9F"/>
    <w:rsid w:val="000A498C"/>
    <w:rsid w:val="000A7233"/>
    <w:rsid w:val="000A7486"/>
    <w:rsid w:val="000B01EA"/>
    <w:rsid w:val="000B09AA"/>
    <w:rsid w:val="000B165E"/>
    <w:rsid w:val="000B16A7"/>
    <w:rsid w:val="000B18FB"/>
    <w:rsid w:val="000B3B6F"/>
    <w:rsid w:val="000B767E"/>
    <w:rsid w:val="000C0435"/>
    <w:rsid w:val="000C2302"/>
    <w:rsid w:val="000C2E44"/>
    <w:rsid w:val="000C31E6"/>
    <w:rsid w:val="000C320F"/>
    <w:rsid w:val="000C384D"/>
    <w:rsid w:val="000C3A33"/>
    <w:rsid w:val="000C57F4"/>
    <w:rsid w:val="000C5817"/>
    <w:rsid w:val="000C644E"/>
    <w:rsid w:val="000C6EE9"/>
    <w:rsid w:val="000C6F8C"/>
    <w:rsid w:val="000D006D"/>
    <w:rsid w:val="000D178E"/>
    <w:rsid w:val="000D2BB6"/>
    <w:rsid w:val="000D2DA4"/>
    <w:rsid w:val="000D3438"/>
    <w:rsid w:val="000D411B"/>
    <w:rsid w:val="000D481A"/>
    <w:rsid w:val="000D7166"/>
    <w:rsid w:val="000D73FF"/>
    <w:rsid w:val="000D78A0"/>
    <w:rsid w:val="000D7E98"/>
    <w:rsid w:val="000E0B83"/>
    <w:rsid w:val="000E0BD3"/>
    <w:rsid w:val="000E1363"/>
    <w:rsid w:val="000E2AD5"/>
    <w:rsid w:val="000E39CE"/>
    <w:rsid w:val="000E437E"/>
    <w:rsid w:val="000E54A7"/>
    <w:rsid w:val="000E6AC0"/>
    <w:rsid w:val="000E6C0C"/>
    <w:rsid w:val="000E6D79"/>
    <w:rsid w:val="000E6DC5"/>
    <w:rsid w:val="000F00E0"/>
    <w:rsid w:val="000F028A"/>
    <w:rsid w:val="000F0717"/>
    <w:rsid w:val="000F2128"/>
    <w:rsid w:val="000F2153"/>
    <w:rsid w:val="000F286B"/>
    <w:rsid w:val="000F31A8"/>
    <w:rsid w:val="000F3991"/>
    <w:rsid w:val="000F39C6"/>
    <w:rsid w:val="000F49C1"/>
    <w:rsid w:val="000F4CAC"/>
    <w:rsid w:val="000F5EC2"/>
    <w:rsid w:val="000F60BD"/>
    <w:rsid w:val="000F6333"/>
    <w:rsid w:val="00100327"/>
    <w:rsid w:val="00101CFB"/>
    <w:rsid w:val="00103091"/>
    <w:rsid w:val="001034C7"/>
    <w:rsid w:val="00103F57"/>
    <w:rsid w:val="00104AB0"/>
    <w:rsid w:val="00106100"/>
    <w:rsid w:val="001067F2"/>
    <w:rsid w:val="00106D1D"/>
    <w:rsid w:val="00110093"/>
    <w:rsid w:val="00110B05"/>
    <w:rsid w:val="00112243"/>
    <w:rsid w:val="00112355"/>
    <w:rsid w:val="00112EEB"/>
    <w:rsid w:val="00112FE0"/>
    <w:rsid w:val="0011322D"/>
    <w:rsid w:val="00113DB8"/>
    <w:rsid w:val="00114007"/>
    <w:rsid w:val="001150C6"/>
    <w:rsid w:val="00115485"/>
    <w:rsid w:val="0011568C"/>
    <w:rsid w:val="00115D64"/>
    <w:rsid w:val="0011619E"/>
    <w:rsid w:val="001164DF"/>
    <w:rsid w:val="00120044"/>
    <w:rsid w:val="001200B0"/>
    <w:rsid w:val="00120557"/>
    <w:rsid w:val="0012111B"/>
    <w:rsid w:val="00122605"/>
    <w:rsid w:val="0012355D"/>
    <w:rsid w:val="001251B7"/>
    <w:rsid w:val="00125BEB"/>
    <w:rsid w:val="00125BF5"/>
    <w:rsid w:val="00126DF6"/>
    <w:rsid w:val="0012799E"/>
    <w:rsid w:val="0013036C"/>
    <w:rsid w:val="001305BA"/>
    <w:rsid w:val="001331A2"/>
    <w:rsid w:val="00137BB3"/>
    <w:rsid w:val="00137EBA"/>
    <w:rsid w:val="00141970"/>
    <w:rsid w:val="00142252"/>
    <w:rsid w:val="0014342B"/>
    <w:rsid w:val="00143B1C"/>
    <w:rsid w:val="00143F9D"/>
    <w:rsid w:val="001442B8"/>
    <w:rsid w:val="00144AC7"/>
    <w:rsid w:val="00144EF5"/>
    <w:rsid w:val="00145E84"/>
    <w:rsid w:val="001477EC"/>
    <w:rsid w:val="001500AD"/>
    <w:rsid w:val="00150626"/>
    <w:rsid w:val="001512DB"/>
    <w:rsid w:val="00151F65"/>
    <w:rsid w:val="00152B0D"/>
    <w:rsid w:val="00154935"/>
    <w:rsid w:val="00154F55"/>
    <w:rsid w:val="001558B8"/>
    <w:rsid w:val="00155A05"/>
    <w:rsid w:val="00155BB8"/>
    <w:rsid w:val="00156229"/>
    <w:rsid w:val="00156E5C"/>
    <w:rsid w:val="001574B0"/>
    <w:rsid w:val="001576CC"/>
    <w:rsid w:val="00157C24"/>
    <w:rsid w:val="0016000B"/>
    <w:rsid w:val="00161025"/>
    <w:rsid w:val="001610B2"/>
    <w:rsid w:val="001615A5"/>
    <w:rsid w:val="00161847"/>
    <w:rsid w:val="00161E52"/>
    <w:rsid w:val="00164A2E"/>
    <w:rsid w:val="00165E3E"/>
    <w:rsid w:val="001667AA"/>
    <w:rsid w:val="001670A5"/>
    <w:rsid w:val="0016724D"/>
    <w:rsid w:val="0016772B"/>
    <w:rsid w:val="00170701"/>
    <w:rsid w:val="00171027"/>
    <w:rsid w:val="0017115C"/>
    <w:rsid w:val="00171279"/>
    <w:rsid w:val="00172557"/>
    <w:rsid w:val="00172DAE"/>
    <w:rsid w:val="00172FA8"/>
    <w:rsid w:val="001732A2"/>
    <w:rsid w:val="00173656"/>
    <w:rsid w:val="00173CEE"/>
    <w:rsid w:val="0017418C"/>
    <w:rsid w:val="001745DE"/>
    <w:rsid w:val="00174F50"/>
    <w:rsid w:val="00175776"/>
    <w:rsid w:val="00176EBE"/>
    <w:rsid w:val="001774F4"/>
    <w:rsid w:val="001805F8"/>
    <w:rsid w:val="00180835"/>
    <w:rsid w:val="00180C31"/>
    <w:rsid w:val="00180E8B"/>
    <w:rsid w:val="00181ECC"/>
    <w:rsid w:val="00182100"/>
    <w:rsid w:val="00182843"/>
    <w:rsid w:val="00183DE2"/>
    <w:rsid w:val="00184264"/>
    <w:rsid w:val="001843ED"/>
    <w:rsid w:val="001849F5"/>
    <w:rsid w:val="00184AA2"/>
    <w:rsid w:val="00185325"/>
    <w:rsid w:val="00185F74"/>
    <w:rsid w:val="00186D11"/>
    <w:rsid w:val="0018786C"/>
    <w:rsid w:val="00187F19"/>
    <w:rsid w:val="00187F1C"/>
    <w:rsid w:val="001907CB"/>
    <w:rsid w:val="001926C6"/>
    <w:rsid w:val="00192FC1"/>
    <w:rsid w:val="00193229"/>
    <w:rsid w:val="0019343E"/>
    <w:rsid w:val="001939AE"/>
    <w:rsid w:val="00193A09"/>
    <w:rsid w:val="00193E14"/>
    <w:rsid w:val="00196CDC"/>
    <w:rsid w:val="001972D9"/>
    <w:rsid w:val="00197497"/>
    <w:rsid w:val="001976D2"/>
    <w:rsid w:val="001A07D2"/>
    <w:rsid w:val="001A17A7"/>
    <w:rsid w:val="001A1C23"/>
    <w:rsid w:val="001A1FF8"/>
    <w:rsid w:val="001A277F"/>
    <w:rsid w:val="001A4538"/>
    <w:rsid w:val="001A4EF4"/>
    <w:rsid w:val="001A502F"/>
    <w:rsid w:val="001A5C95"/>
    <w:rsid w:val="001A6FE1"/>
    <w:rsid w:val="001B083C"/>
    <w:rsid w:val="001B4397"/>
    <w:rsid w:val="001B50C5"/>
    <w:rsid w:val="001B50F5"/>
    <w:rsid w:val="001B5BF5"/>
    <w:rsid w:val="001B61B6"/>
    <w:rsid w:val="001B6450"/>
    <w:rsid w:val="001B701E"/>
    <w:rsid w:val="001B7C84"/>
    <w:rsid w:val="001C025F"/>
    <w:rsid w:val="001C04C6"/>
    <w:rsid w:val="001C05F3"/>
    <w:rsid w:val="001C0963"/>
    <w:rsid w:val="001C0B48"/>
    <w:rsid w:val="001C0B95"/>
    <w:rsid w:val="001C0D95"/>
    <w:rsid w:val="001C14BF"/>
    <w:rsid w:val="001C1A5E"/>
    <w:rsid w:val="001C202F"/>
    <w:rsid w:val="001C3F0D"/>
    <w:rsid w:val="001C411F"/>
    <w:rsid w:val="001C4930"/>
    <w:rsid w:val="001C4C47"/>
    <w:rsid w:val="001C5334"/>
    <w:rsid w:val="001C5FEE"/>
    <w:rsid w:val="001C60F7"/>
    <w:rsid w:val="001C6E57"/>
    <w:rsid w:val="001C772C"/>
    <w:rsid w:val="001D1DCB"/>
    <w:rsid w:val="001D1F09"/>
    <w:rsid w:val="001D294B"/>
    <w:rsid w:val="001D2D8C"/>
    <w:rsid w:val="001D65E9"/>
    <w:rsid w:val="001D68DA"/>
    <w:rsid w:val="001D6DF1"/>
    <w:rsid w:val="001D7621"/>
    <w:rsid w:val="001D77F8"/>
    <w:rsid w:val="001D799F"/>
    <w:rsid w:val="001E0472"/>
    <w:rsid w:val="001E051F"/>
    <w:rsid w:val="001E0955"/>
    <w:rsid w:val="001E17A0"/>
    <w:rsid w:val="001E2CD9"/>
    <w:rsid w:val="001E388A"/>
    <w:rsid w:val="001E3BDE"/>
    <w:rsid w:val="001E4393"/>
    <w:rsid w:val="001E4C87"/>
    <w:rsid w:val="001E5431"/>
    <w:rsid w:val="001E59E4"/>
    <w:rsid w:val="001E63A7"/>
    <w:rsid w:val="001E6BB4"/>
    <w:rsid w:val="001E7C8A"/>
    <w:rsid w:val="001E7E5B"/>
    <w:rsid w:val="001F098C"/>
    <w:rsid w:val="001F0BD6"/>
    <w:rsid w:val="001F10D0"/>
    <w:rsid w:val="001F11F2"/>
    <w:rsid w:val="001F166F"/>
    <w:rsid w:val="001F2A46"/>
    <w:rsid w:val="001F317A"/>
    <w:rsid w:val="001F3320"/>
    <w:rsid w:val="001F367A"/>
    <w:rsid w:val="001F3847"/>
    <w:rsid w:val="001F4D96"/>
    <w:rsid w:val="001F5346"/>
    <w:rsid w:val="001F5D46"/>
    <w:rsid w:val="001F5DBC"/>
    <w:rsid w:val="0020027D"/>
    <w:rsid w:val="002005B4"/>
    <w:rsid w:val="00200779"/>
    <w:rsid w:val="00200F87"/>
    <w:rsid w:val="00202098"/>
    <w:rsid w:val="0020365C"/>
    <w:rsid w:val="00203AF0"/>
    <w:rsid w:val="00203C4D"/>
    <w:rsid w:val="002041E9"/>
    <w:rsid w:val="002044C7"/>
    <w:rsid w:val="002047FE"/>
    <w:rsid w:val="0020578B"/>
    <w:rsid w:val="00205AD7"/>
    <w:rsid w:val="00205CEC"/>
    <w:rsid w:val="002079AF"/>
    <w:rsid w:val="00207B11"/>
    <w:rsid w:val="00211929"/>
    <w:rsid w:val="002126D0"/>
    <w:rsid w:val="0021312B"/>
    <w:rsid w:val="002133EC"/>
    <w:rsid w:val="0021446A"/>
    <w:rsid w:val="00214679"/>
    <w:rsid w:val="00215050"/>
    <w:rsid w:val="00215161"/>
    <w:rsid w:val="002152BF"/>
    <w:rsid w:val="00215E12"/>
    <w:rsid w:val="002167A5"/>
    <w:rsid w:val="00217EB6"/>
    <w:rsid w:val="00221814"/>
    <w:rsid w:val="00221A22"/>
    <w:rsid w:val="00222007"/>
    <w:rsid w:val="0022234E"/>
    <w:rsid w:val="0022277C"/>
    <w:rsid w:val="00222FB3"/>
    <w:rsid w:val="00222FC9"/>
    <w:rsid w:val="00223272"/>
    <w:rsid w:val="00223973"/>
    <w:rsid w:val="00224288"/>
    <w:rsid w:val="002258D0"/>
    <w:rsid w:val="00225AD4"/>
    <w:rsid w:val="00227356"/>
    <w:rsid w:val="002275E3"/>
    <w:rsid w:val="0023063C"/>
    <w:rsid w:val="002306F6"/>
    <w:rsid w:val="00230EB8"/>
    <w:rsid w:val="0023137B"/>
    <w:rsid w:val="00233E7D"/>
    <w:rsid w:val="002341C4"/>
    <w:rsid w:val="00234AE1"/>
    <w:rsid w:val="00235CCA"/>
    <w:rsid w:val="00235F38"/>
    <w:rsid w:val="00236C48"/>
    <w:rsid w:val="00236FE6"/>
    <w:rsid w:val="002378F4"/>
    <w:rsid w:val="00237998"/>
    <w:rsid w:val="00240524"/>
    <w:rsid w:val="002409C9"/>
    <w:rsid w:val="00240DC4"/>
    <w:rsid w:val="00240F81"/>
    <w:rsid w:val="00241250"/>
    <w:rsid w:val="002417E4"/>
    <w:rsid w:val="00242198"/>
    <w:rsid w:val="0024256B"/>
    <w:rsid w:val="002438B6"/>
    <w:rsid w:val="00243B0A"/>
    <w:rsid w:val="00243B3D"/>
    <w:rsid w:val="00243D21"/>
    <w:rsid w:val="002450D7"/>
    <w:rsid w:val="0024694B"/>
    <w:rsid w:val="002469A2"/>
    <w:rsid w:val="00247AC4"/>
    <w:rsid w:val="00251413"/>
    <w:rsid w:val="00251D83"/>
    <w:rsid w:val="00252BC9"/>
    <w:rsid w:val="0025383D"/>
    <w:rsid w:val="00255DF0"/>
    <w:rsid w:val="00256846"/>
    <w:rsid w:val="0025720C"/>
    <w:rsid w:val="00257AF6"/>
    <w:rsid w:val="00257B23"/>
    <w:rsid w:val="0026227F"/>
    <w:rsid w:val="00264841"/>
    <w:rsid w:val="0026540E"/>
    <w:rsid w:val="0026600D"/>
    <w:rsid w:val="002668CE"/>
    <w:rsid w:val="00266B66"/>
    <w:rsid w:val="002672D5"/>
    <w:rsid w:val="0026780D"/>
    <w:rsid w:val="0027033A"/>
    <w:rsid w:val="002704F3"/>
    <w:rsid w:val="002707A1"/>
    <w:rsid w:val="00270978"/>
    <w:rsid w:val="00270F77"/>
    <w:rsid w:val="00271969"/>
    <w:rsid w:val="002726E1"/>
    <w:rsid w:val="00273202"/>
    <w:rsid w:val="00273592"/>
    <w:rsid w:val="0027366C"/>
    <w:rsid w:val="002736CF"/>
    <w:rsid w:val="002743D4"/>
    <w:rsid w:val="00277813"/>
    <w:rsid w:val="00277E20"/>
    <w:rsid w:val="00280453"/>
    <w:rsid w:val="0028155F"/>
    <w:rsid w:val="0028168B"/>
    <w:rsid w:val="00282D45"/>
    <w:rsid w:val="00282E44"/>
    <w:rsid w:val="00284556"/>
    <w:rsid w:val="00284B9A"/>
    <w:rsid w:val="00285247"/>
    <w:rsid w:val="00285DB8"/>
    <w:rsid w:val="002860C6"/>
    <w:rsid w:val="002874A5"/>
    <w:rsid w:val="0028753E"/>
    <w:rsid w:val="002879BD"/>
    <w:rsid w:val="00287EC2"/>
    <w:rsid w:val="002901F4"/>
    <w:rsid w:val="002907D7"/>
    <w:rsid w:val="002915F8"/>
    <w:rsid w:val="00291B5F"/>
    <w:rsid w:val="00292431"/>
    <w:rsid w:val="0029293A"/>
    <w:rsid w:val="00292E10"/>
    <w:rsid w:val="002936E7"/>
    <w:rsid w:val="00293D54"/>
    <w:rsid w:val="0029408B"/>
    <w:rsid w:val="00294780"/>
    <w:rsid w:val="002961A3"/>
    <w:rsid w:val="00296EB2"/>
    <w:rsid w:val="002975CE"/>
    <w:rsid w:val="00297706"/>
    <w:rsid w:val="002A0219"/>
    <w:rsid w:val="002A096D"/>
    <w:rsid w:val="002A0BAD"/>
    <w:rsid w:val="002A26BD"/>
    <w:rsid w:val="002A3184"/>
    <w:rsid w:val="002A3276"/>
    <w:rsid w:val="002A348F"/>
    <w:rsid w:val="002A36EA"/>
    <w:rsid w:val="002A542F"/>
    <w:rsid w:val="002A55FD"/>
    <w:rsid w:val="002A61D7"/>
    <w:rsid w:val="002A6F9C"/>
    <w:rsid w:val="002A7545"/>
    <w:rsid w:val="002B000F"/>
    <w:rsid w:val="002B039A"/>
    <w:rsid w:val="002B0894"/>
    <w:rsid w:val="002B134B"/>
    <w:rsid w:val="002B20C3"/>
    <w:rsid w:val="002B2CB9"/>
    <w:rsid w:val="002B34DB"/>
    <w:rsid w:val="002B3F47"/>
    <w:rsid w:val="002B4412"/>
    <w:rsid w:val="002B6021"/>
    <w:rsid w:val="002B6649"/>
    <w:rsid w:val="002B6DBE"/>
    <w:rsid w:val="002B6F6D"/>
    <w:rsid w:val="002B74FA"/>
    <w:rsid w:val="002C0019"/>
    <w:rsid w:val="002C065E"/>
    <w:rsid w:val="002C0751"/>
    <w:rsid w:val="002C0B1E"/>
    <w:rsid w:val="002C4534"/>
    <w:rsid w:val="002C4D07"/>
    <w:rsid w:val="002C63DD"/>
    <w:rsid w:val="002C6DBE"/>
    <w:rsid w:val="002C6E3C"/>
    <w:rsid w:val="002C746B"/>
    <w:rsid w:val="002C7493"/>
    <w:rsid w:val="002D0065"/>
    <w:rsid w:val="002D09AA"/>
    <w:rsid w:val="002D0C10"/>
    <w:rsid w:val="002D13F1"/>
    <w:rsid w:val="002D147D"/>
    <w:rsid w:val="002D1F7F"/>
    <w:rsid w:val="002D24CE"/>
    <w:rsid w:val="002D2888"/>
    <w:rsid w:val="002D3FB2"/>
    <w:rsid w:val="002D5B77"/>
    <w:rsid w:val="002E03D3"/>
    <w:rsid w:val="002E0E25"/>
    <w:rsid w:val="002E207A"/>
    <w:rsid w:val="002E3401"/>
    <w:rsid w:val="002E3605"/>
    <w:rsid w:val="002E3787"/>
    <w:rsid w:val="002E4CA3"/>
    <w:rsid w:val="002E5F74"/>
    <w:rsid w:val="002E672F"/>
    <w:rsid w:val="002E6961"/>
    <w:rsid w:val="002E7564"/>
    <w:rsid w:val="002E7E6D"/>
    <w:rsid w:val="002F1A29"/>
    <w:rsid w:val="002F1C2D"/>
    <w:rsid w:val="002F1C75"/>
    <w:rsid w:val="002F212B"/>
    <w:rsid w:val="002F2670"/>
    <w:rsid w:val="002F2CD5"/>
    <w:rsid w:val="002F2F88"/>
    <w:rsid w:val="002F3129"/>
    <w:rsid w:val="002F3CEB"/>
    <w:rsid w:val="002F4187"/>
    <w:rsid w:val="002F547D"/>
    <w:rsid w:val="002F5613"/>
    <w:rsid w:val="002F6306"/>
    <w:rsid w:val="002F6344"/>
    <w:rsid w:val="002F6CB0"/>
    <w:rsid w:val="00300B97"/>
    <w:rsid w:val="003014C7"/>
    <w:rsid w:val="00303CFF"/>
    <w:rsid w:val="003043FB"/>
    <w:rsid w:val="00304C66"/>
    <w:rsid w:val="00304E4D"/>
    <w:rsid w:val="0030579B"/>
    <w:rsid w:val="00306D0A"/>
    <w:rsid w:val="00307004"/>
    <w:rsid w:val="00307C65"/>
    <w:rsid w:val="00310099"/>
    <w:rsid w:val="00311EE2"/>
    <w:rsid w:val="00312F6F"/>
    <w:rsid w:val="00313E23"/>
    <w:rsid w:val="003151A8"/>
    <w:rsid w:val="003151EB"/>
    <w:rsid w:val="00315D18"/>
    <w:rsid w:val="00316531"/>
    <w:rsid w:val="00316ED8"/>
    <w:rsid w:val="003176DD"/>
    <w:rsid w:val="003178F0"/>
    <w:rsid w:val="00320507"/>
    <w:rsid w:val="00320F0D"/>
    <w:rsid w:val="00321955"/>
    <w:rsid w:val="00321CFC"/>
    <w:rsid w:val="00322636"/>
    <w:rsid w:val="00322BC6"/>
    <w:rsid w:val="00322CDB"/>
    <w:rsid w:val="00323092"/>
    <w:rsid w:val="00323CC0"/>
    <w:rsid w:val="00324211"/>
    <w:rsid w:val="00327B48"/>
    <w:rsid w:val="00330C5C"/>
    <w:rsid w:val="00331419"/>
    <w:rsid w:val="00331BFF"/>
    <w:rsid w:val="00331D5A"/>
    <w:rsid w:val="00331F3A"/>
    <w:rsid w:val="00332B8C"/>
    <w:rsid w:val="00332BBE"/>
    <w:rsid w:val="003333F0"/>
    <w:rsid w:val="003338B5"/>
    <w:rsid w:val="00333A77"/>
    <w:rsid w:val="003351EF"/>
    <w:rsid w:val="0033599D"/>
    <w:rsid w:val="003366BF"/>
    <w:rsid w:val="0033705B"/>
    <w:rsid w:val="00341884"/>
    <w:rsid w:val="0034324F"/>
    <w:rsid w:val="0034346F"/>
    <w:rsid w:val="00343787"/>
    <w:rsid w:val="00343C2C"/>
    <w:rsid w:val="003441A2"/>
    <w:rsid w:val="00344489"/>
    <w:rsid w:val="00345057"/>
    <w:rsid w:val="003450F6"/>
    <w:rsid w:val="003455A4"/>
    <w:rsid w:val="00351723"/>
    <w:rsid w:val="0035187B"/>
    <w:rsid w:val="0035192D"/>
    <w:rsid w:val="00352C23"/>
    <w:rsid w:val="00354475"/>
    <w:rsid w:val="0035449C"/>
    <w:rsid w:val="00355421"/>
    <w:rsid w:val="003562E6"/>
    <w:rsid w:val="0035631E"/>
    <w:rsid w:val="00356829"/>
    <w:rsid w:val="00357405"/>
    <w:rsid w:val="00360296"/>
    <w:rsid w:val="00360471"/>
    <w:rsid w:val="00360B5A"/>
    <w:rsid w:val="0036181E"/>
    <w:rsid w:val="00361CC4"/>
    <w:rsid w:val="00361ED8"/>
    <w:rsid w:val="003626E8"/>
    <w:rsid w:val="003665D2"/>
    <w:rsid w:val="00366F5A"/>
    <w:rsid w:val="0036752D"/>
    <w:rsid w:val="00367C77"/>
    <w:rsid w:val="00370EEE"/>
    <w:rsid w:val="00370F09"/>
    <w:rsid w:val="00371256"/>
    <w:rsid w:val="003713E9"/>
    <w:rsid w:val="0037230C"/>
    <w:rsid w:val="00373F2B"/>
    <w:rsid w:val="0037430F"/>
    <w:rsid w:val="003743E5"/>
    <w:rsid w:val="00374D1E"/>
    <w:rsid w:val="00374D91"/>
    <w:rsid w:val="003757F2"/>
    <w:rsid w:val="00376EDC"/>
    <w:rsid w:val="003779FA"/>
    <w:rsid w:val="00377D07"/>
    <w:rsid w:val="00377D65"/>
    <w:rsid w:val="00377E51"/>
    <w:rsid w:val="00380213"/>
    <w:rsid w:val="003803BF"/>
    <w:rsid w:val="00380E91"/>
    <w:rsid w:val="003831D9"/>
    <w:rsid w:val="0038388E"/>
    <w:rsid w:val="00383D81"/>
    <w:rsid w:val="00385424"/>
    <w:rsid w:val="003855E6"/>
    <w:rsid w:val="00385756"/>
    <w:rsid w:val="00385C25"/>
    <w:rsid w:val="00385C4F"/>
    <w:rsid w:val="0038604C"/>
    <w:rsid w:val="00386270"/>
    <w:rsid w:val="0038696F"/>
    <w:rsid w:val="003869D9"/>
    <w:rsid w:val="00387457"/>
    <w:rsid w:val="0039070B"/>
    <w:rsid w:val="003912BE"/>
    <w:rsid w:val="0039193B"/>
    <w:rsid w:val="00392B8F"/>
    <w:rsid w:val="00392BAE"/>
    <w:rsid w:val="00394C8D"/>
    <w:rsid w:val="0039554B"/>
    <w:rsid w:val="003958B7"/>
    <w:rsid w:val="00395D48"/>
    <w:rsid w:val="0039660C"/>
    <w:rsid w:val="003966A2"/>
    <w:rsid w:val="0039757F"/>
    <w:rsid w:val="0039759A"/>
    <w:rsid w:val="00397B0F"/>
    <w:rsid w:val="003A03E4"/>
    <w:rsid w:val="003A080F"/>
    <w:rsid w:val="003A0DBB"/>
    <w:rsid w:val="003A396E"/>
    <w:rsid w:val="003A430A"/>
    <w:rsid w:val="003A49FD"/>
    <w:rsid w:val="003A514F"/>
    <w:rsid w:val="003A5F9D"/>
    <w:rsid w:val="003A7C9C"/>
    <w:rsid w:val="003B0D20"/>
    <w:rsid w:val="003B15DE"/>
    <w:rsid w:val="003B1AF9"/>
    <w:rsid w:val="003B2036"/>
    <w:rsid w:val="003B2A2C"/>
    <w:rsid w:val="003B3659"/>
    <w:rsid w:val="003B4109"/>
    <w:rsid w:val="003B4193"/>
    <w:rsid w:val="003B4968"/>
    <w:rsid w:val="003B4D26"/>
    <w:rsid w:val="003B54F9"/>
    <w:rsid w:val="003B7682"/>
    <w:rsid w:val="003B7C97"/>
    <w:rsid w:val="003C1417"/>
    <w:rsid w:val="003C2E80"/>
    <w:rsid w:val="003C38ED"/>
    <w:rsid w:val="003C4D78"/>
    <w:rsid w:val="003C5B15"/>
    <w:rsid w:val="003C6EC9"/>
    <w:rsid w:val="003C6FD6"/>
    <w:rsid w:val="003D1463"/>
    <w:rsid w:val="003D17C4"/>
    <w:rsid w:val="003D2270"/>
    <w:rsid w:val="003D4D2A"/>
    <w:rsid w:val="003D521A"/>
    <w:rsid w:val="003D6B96"/>
    <w:rsid w:val="003D77C2"/>
    <w:rsid w:val="003E05AB"/>
    <w:rsid w:val="003E0768"/>
    <w:rsid w:val="003E1AC3"/>
    <w:rsid w:val="003E1CD7"/>
    <w:rsid w:val="003E2952"/>
    <w:rsid w:val="003E2D0F"/>
    <w:rsid w:val="003E2ECB"/>
    <w:rsid w:val="003E3759"/>
    <w:rsid w:val="003E387D"/>
    <w:rsid w:val="003E59C2"/>
    <w:rsid w:val="003E69D7"/>
    <w:rsid w:val="003E6EBF"/>
    <w:rsid w:val="003E7C47"/>
    <w:rsid w:val="003E7D86"/>
    <w:rsid w:val="003F086E"/>
    <w:rsid w:val="003F105B"/>
    <w:rsid w:val="003F1229"/>
    <w:rsid w:val="003F1AB1"/>
    <w:rsid w:val="003F4EBF"/>
    <w:rsid w:val="003F56F6"/>
    <w:rsid w:val="003F5EA0"/>
    <w:rsid w:val="003F7035"/>
    <w:rsid w:val="003F7655"/>
    <w:rsid w:val="003F7B38"/>
    <w:rsid w:val="003F7E4F"/>
    <w:rsid w:val="00400D19"/>
    <w:rsid w:val="00400DEF"/>
    <w:rsid w:val="00401493"/>
    <w:rsid w:val="00401A24"/>
    <w:rsid w:val="00401BBC"/>
    <w:rsid w:val="00401C3F"/>
    <w:rsid w:val="004024FA"/>
    <w:rsid w:val="00402E6E"/>
    <w:rsid w:val="004033EA"/>
    <w:rsid w:val="004035CF"/>
    <w:rsid w:val="00405C00"/>
    <w:rsid w:val="00405F7C"/>
    <w:rsid w:val="004064A2"/>
    <w:rsid w:val="004066E4"/>
    <w:rsid w:val="00406F0F"/>
    <w:rsid w:val="00407552"/>
    <w:rsid w:val="004102B4"/>
    <w:rsid w:val="004102C9"/>
    <w:rsid w:val="00410842"/>
    <w:rsid w:val="00410DA1"/>
    <w:rsid w:val="00412289"/>
    <w:rsid w:val="00412B2A"/>
    <w:rsid w:val="00412EA2"/>
    <w:rsid w:val="004178CB"/>
    <w:rsid w:val="00417FA6"/>
    <w:rsid w:val="00420332"/>
    <w:rsid w:val="00420EC5"/>
    <w:rsid w:val="0042212E"/>
    <w:rsid w:val="00422D6C"/>
    <w:rsid w:val="00422E29"/>
    <w:rsid w:val="004233CC"/>
    <w:rsid w:val="004236EA"/>
    <w:rsid w:val="00424504"/>
    <w:rsid w:val="004253A2"/>
    <w:rsid w:val="0042542D"/>
    <w:rsid w:val="004255E6"/>
    <w:rsid w:val="0042601C"/>
    <w:rsid w:val="004269C0"/>
    <w:rsid w:val="00426B8C"/>
    <w:rsid w:val="00427D40"/>
    <w:rsid w:val="0043023C"/>
    <w:rsid w:val="004306A7"/>
    <w:rsid w:val="00430A06"/>
    <w:rsid w:val="00431175"/>
    <w:rsid w:val="00431CA9"/>
    <w:rsid w:val="00431E09"/>
    <w:rsid w:val="00431FF5"/>
    <w:rsid w:val="004338AE"/>
    <w:rsid w:val="00435231"/>
    <w:rsid w:val="0043559F"/>
    <w:rsid w:val="004359E2"/>
    <w:rsid w:val="004368BF"/>
    <w:rsid w:val="004402A1"/>
    <w:rsid w:val="004412B6"/>
    <w:rsid w:val="0044201B"/>
    <w:rsid w:val="00442797"/>
    <w:rsid w:val="00443479"/>
    <w:rsid w:val="004438F7"/>
    <w:rsid w:val="004442D0"/>
    <w:rsid w:val="0044555F"/>
    <w:rsid w:val="00446106"/>
    <w:rsid w:val="00451ABC"/>
    <w:rsid w:val="00451B3D"/>
    <w:rsid w:val="00451F8E"/>
    <w:rsid w:val="004520A3"/>
    <w:rsid w:val="0045340A"/>
    <w:rsid w:val="00454A08"/>
    <w:rsid w:val="00454EDC"/>
    <w:rsid w:val="004577BA"/>
    <w:rsid w:val="00460157"/>
    <w:rsid w:val="004601DD"/>
    <w:rsid w:val="00461E40"/>
    <w:rsid w:val="00462FBC"/>
    <w:rsid w:val="0046497A"/>
    <w:rsid w:val="00464F2D"/>
    <w:rsid w:val="00465D15"/>
    <w:rsid w:val="00465EDC"/>
    <w:rsid w:val="00467DFC"/>
    <w:rsid w:val="00470861"/>
    <w:rsid w:val="00471337"/>
    <w:rsid w:val="00471402"/>
    <w:rsid w:val="00471499"/>
    <w:rsid w:val="00471534"/>
    <w:rsid w:val="00471597"/>
    <w:rsid w:val="00471A73"/>
    <w:rsid w:val="00473133"/>
    <w:rsid w:val="00474465"/>
    <w:rsid w:val="004748A0"/>
    <w:rsid w:val="004750BA"/>
    <w:rsid w:val="00475519"/>
    <w:rsid w:val="00476DEE"/>
    <w:rsid w:val="0047752E"/>
    <w:rsid w:val="00477743"/>
    <w:rsid w:val="00480FE3"/>
    <w:rsid w:val="00481ECC"/>
    <w:rsid w:val="00482335"/>
    <w:rsid w:val="00482D35"/>
    <w:rsid w:val="00482D86"/>
    <w:rsid w:val="00483B5A"/>
    <w:rsid w:val="00484101"/>
    <w:rsid w:val="004842BB"/>
    <w:rsid w:val="004846F4"/>
    <w:rsid w:val="0048484B"/>
    <w:rsid w:val="00484ED5"/>
    <w:rsid w:val="00485108"/>
    <w:rsid w:val="00485597"/>
    <w:rsid w:val="004868AF"/>
    <w:rsid w:val="004870B4"/>
    <w:rsid w:val="00487309"/>
    <w:rsid w:val="0048747F"/>
    <w:rsid w:val="00487AD9"/>
    <w:rsid w:val="00490132"/>
    <w:rsid w:val="00491B57"/>
    <w:rsid w:val="00492D8C"/>
    <w:rsid w:val="00492EE6"/>
    <w:rsid w:val="00492FC1"/>
    <w:rsid w:val="004942C3"/>
    <w:rsid w:val="00494CDA"/>
    <w:rsid w:val="00495C5F"/>
    <w:rsid w:val="00495DD6"/>
    <w:rsid w:val="00496ACB"/>
    <w:rsid w:val="00496CFF"/>
    <w:rsid w:val="004976A7"/>
    <w:rsid w:val="004A0A13"/>
    <w:rsid w:val="004A17FC"/>
    <w:rsid w:val="004A239C"/>
    <w:rsid w:val="004A2546"/>
    <w:rsid w:val="004A25DF"/>
    <w:rsid w:val="004A277E"/>
    <w:rsid w:val="004A2CC8"/>
    <w:rsid w:val="004A4115"/>
    <w:rsid w:val="004A44B0"/>
    <w:rsid w:val="004A4D73"/>
    <w:rsid w:val="004A4EF5"/>
    <w:rsid w:val="004A60FE"/>
    <w:rsid w:val="004B0431"/>
    <w:rsid w:val="004B072F"/>
    <w:rsid w:val="004B08BA"/>
    <w:rsid w:val="004B0E09"/>
    <w:rsid w:val="004B0F46"/>
    <w:rsid w:val="004B119B"/>
    <w:rsid w:val="004B1854"/>
    <w:rsid w:val="004B210A"/>
    <w:rsid w:val="004B2149"/>
    <w:rsid w:val="004B2769"/>
    <w:rsid w:val="004B3B48"/>
    <w:rsid w:val="004B4229"/>
    <w:rsid w:val="004B5ED2"/>
    <w:rsid w:val="004B6FBD"/>
    <w:rsid w:val="004B77D6"/>
    <w:rsid w:val="004B7F78"/>
    <w:rsid w:val="004C0567"/>
    <w:rsid w:val="004C05CD"/>
    <w:rsid w:val="004C07E3"/>
    <w:rsid w:val="004C0924"/>
    <w:rsid w:val="004C19FC"/>
    <w:rsid w:val="004C44BC"/>
    <w:rsid w:val="004C461E"/>
    <w:rsid w:val="004C5CC0"/>
    <w:rsid w:val="004C7001"/>
    <w:rsid w:val="004C7C8A"/>
    <w:rsid w:val="004D0859"/>
    <w:rsid w:val="004D0B8A"/>
    <w:rsid w:val="004D0D89"/>
    <w:rsid w:val="004D3481"/>
    <w:rsid w:val="004D377E"/>
    <w:rsid w:val="004D3B39"/>
    <w:rsid w:val="004D7C7E"/>
    <w:rsid w:val="004D7D75"/>
    <w:rsid w:val="004E056D"/>
    <w:rsid w:val="004E1F24"/>
    <w:rsid w:val="004E227F"/>
    <w:rsid w:val="004E241D"/>
    <w:rsid w:val="004E2569"/>
    <w:rsid w:val="004E29AC"/>
    <w:rsid w:val="004E2C0D"/>
    <w:rsid w:val="004E2D83"/>
    <w:rsid w:val="004E3B93"/>
    <w:rsid w:val="004E3D06"/>
    <w:rsid w:val="004E4702"/>
    <w:rsid w:val="004E4B19"/>
    <w:rsid w:val="004E4EE7"/>
    <w:rsid w:val="004E5F35"/>
    <w:rsid w:val="004F01EA"/>
    <w:rsid w:val="004F0E7A"/>
    <w:rsid w:val="004F211A"/>
    <w:rsid w:val="004F394F"/>
    <w:rsid w:val="004F4C0C"/>
    <w:rsid w:val="004F5888"/>
    <w:rsid w:val="004F5B27"/>
    <w:rsid w:val="004F6B06"/>
    <w:rsid w:val="004F6DE3"/>
    <w:rsid w:val="004F727C"/>
    <w:rsid w:val="004F755F"/>
    <w:rsid w:val="004F7AE4"/>
    <w:rsid w:val="00500E04"/>
    <w:rsid w:val="005024C2"/>
    <w:rsid w:val="00503653"/>
    <w:rsid w:val="00503834"/>
    <w:rsid w:val="00503F4F"/>
    <w:rsid w:val="0050411B"/>
    <w:rsid w:val="005046D7"/>
    <w:rsid w:val="00504D87"/>
    <w:rsid w:val="005053CE"/>
    <w:rsid w:val="005065C1"/>
    <w:rsid w:val="00506C52"/>
    <w:rsid w:val="00507508"/>
    <w:rsid w:val="005104DF"/>
    <w:rsid w:val="005116F5"/>
    <w:rsid w:val="00511A0D"/>
    <w:rsid w:val="00511F7F"/>
    <w:rsid w:val="00512E49"/>
    <w:rsid w:val="00512E9E"/>
    <w:rsid w:val="0051385C"/>
    <w:rsid w:val="00513D2B"/>
    <w:rsid w:val="00514C56"/>
    <w:rsid w:val="00515F82"/>
    <w:rsid w:val="0051641D"/>
    <w:rsid w:val="00517004"/>
    <w:rsid w:val="00521817"/>
    <w:rsid w:val="00521B13"/>
    <w:rsid w:val="00522768"/>
    <w:rsid w:val="0052325E"/>
    <w:rsid w:val="00523632"/>
    <w:rsid w:val="00526124"/>
    <w:rsid w:val="00526958"/>
    <w:rsid w:val="00530611"/>
    <w:rsid w:val="0053175A"/>
    <w:rsid w:val="00531B7D"/>
    <w:rsid w:val="0053217E"/>
    <w:rsid w:val="005323F5"/>
    <w:rsid w:val="00532914"/>
    <w:rsid w:val="00533CB3"/>
    <w:rsid w:val="00533FCF"/>
    <w:rsid w:val="00534101"/>
    <w:rsid w:val="0053469C"/>
    <w:rsid w:val="00534FAE"/>
    <w:rsid w:val="005353C4"/>
    <w:rsid w:val="00536235"/>
    <w:rsid w:val="005369F9"/>
    <w:rsid w:val="00536A49"/>
    <w:rsid w:val="00540208"/>
    <w:rsid w:val="005403DD"/>
    <w:rsid w:val="00540E46"/>
    <w:rsid w:val="00541E0B"/>
    <w:rsid w:val="00542CC9"/>
    <w:rsid w:val="00545E6B"/>
    <w:rsid w:val="00545F48"/>
    <w:rsid w:val="005462CB"/>
    <w:rsid w:val="00547511"/>
    <w:rsid w:val="00550571"/>
    <w:rsid w:val="005509AE"/>
    <w:rsid w:val="00551409"/>
    <w:rsid w:val="00551455"/>
    <w:rsid w:val="005514E4"/>
    <w:rsid w:val="0055154F"/>
    <w:rsid w:val="00551F61"/>
    <w:rsid w:val="00551FFE"/>
    <w:rsid w:val="00552197"/>
    <w:rsid w:val="00552E39"/>
    <w:rsid w:val="00554315"/>
    <w:rsid w:val="00554403"/>
    <w:rsid w:val="00555DEE"/>
    <w:rsid w:val="005563DF"/>
    <w:rsid w:val="00556812"/>
    <w:rsid w:val="005568A6"/>
    <w:rsid w:val="00557BF2"/>
    <w:rsid w:val="00560B57"/>
    <w:rsid w:val="005623AD"/>
    <w:rsid w:val="00562C7D"/>
    <w:rsid w:val="0056489E"/>
    <w:rsid w:val="00565808"/>
    <w:rsid w:val="00571036"/>
    <w:rsid w:val="005713AB"/>
    <w:rsid w:val="00571F8D"/>
    <w:rsid w:val="00572926"/>
    <w:rsid w:val="00572970"/>
    <w:rsid w:val="00573321"/>
    <w:rsid w:val="00573FF6"/>
    <w:rsid w:val="00574491"/>
    <w:rsid w:val="005777B0"/>
    <w:rsid w:val="005804C3"/>
    <w:rsid w:val="00580918"/>
    <w:rsid w:val="005811F2"/>
    <w:rsid w:val="0058210C"/>
    <w:rsid w:val="00582899"/>
    <w:rsid w:val="00582ED4"/>
    <w:rsid w:val="00583091"/>
    <w:rsid w:val="00583FFA"/>
    <w:rsid w:val="00585A66"/>
    <w:rsid w:val="00586172"/>
    <w:rsid w:val="00586CDD"/>
    <w:rsid w:val="00587D21"/>
    <w:rsid w:val="0059001F"/>
    <w:rsid w:val="00590047"/>
    <w:rsid w:val="005903C8"/>
    <w:rsid w:val="005909AF"/>
    <w:rsid w:val="005922E1"/>
    <w:rsid w:val="0059250B"/>
    <w:rsid w:val="00593089"/>
    <w:rsid w:val="00593169"/>
    <w:rsid w:val="00593AB3"/>
    <w:rsid w:val="00593B02"/>
    <w:rsid w:val="00593DAA"/>
    <w:rsid w:val="00594AA3"/>
    <w:rsid w:val="00594CC9"/>
    <w:rsid w:val="00595D54"/>
    <w:rsid w:val="00595E7B"/>
    <w:rsid w:val="00595F9A"/>
    <w:rsid w:val="005971E5"/>
    <w:rsid w:val="00597AD9"/>
    <w:rsid w:val="00597B4A"/>
    <w:rsid w:val="00597CF6"/>
    <w:rsid w:val="005A0231"/>
    <w:rsid w:val="005A06A8"/>
    <w:rsid w:val="005A0C68"/>
    <w:rsid w:val="005A15B4"/>
    <w:rsid w:val="005A16F1"/>
    <w:rsid w:val="005A183B"/>
    <w:rsid w:val="005A1A5E"/>
    <w:rsid w:val="005A3053"/>
    <w:rsid w:val="005A33D0"/>
    <w:rsid w:val="005A4D70"/>
    <w:rsid w:val="005A791D"/>
    <w:rsid w:val="005B2988"/>
    <w:rsid w:val="005B2FC6"/>
    <w:rsid w:val="005B441B"/>
    <w:rsid w:val="005B48AD"/>
    <w:rsid w:val="005B54C1"/>
    <w:rsid w:val="005B55BC"/>
    <w:rsid w:val="005B6449"/>
    <w:rsid w:val="005B6D09"/>
    <w:rsid w:val="005C0FB9"/>
    <w:rsid w:val="005C20DB"/>
    <w:rsid w:val="005C28EC"/>
    <w:rsid w:val="005C428D"/>
    <w:rsid w:val="005C4ACA"/>
    <w:rsid w:val="005C5BF2"/>
    <w:rsid w:val="005C6E96"/>
    <w:rsid w:val="005D068E"/>
    <w:rsid w:val="005D13AD"/>
    <w:rsid w:val="005D1778"/>
    <w:rsid w:val="005D1B93"/>
    <w:rsid w:val="005D347F"/>
    <w:rsid w:val="005D35F7"/>
    <w:rsid w:val="005D3A88"/>
    <w:rsid w:val="005D56F1"/>
    <w:rsid w:val="005D62E5"/>
    <w:rsid w:val="005D668C"/>
    <w:rsid w:val="005D67BD"/>
    <w:rsid w:val="005D7289"/>
    <w:rsid w:val="005D7354"/>
    <w:rsid w:val="005D7683"/>
    <w:rsid w:val="005D7A6E"/>
    <w:rsid w:val="005E00EC"/>
    <w:rsid w:val="005E0587"/>
    <w:rsid w:val="005E0D0F"/>
    <w:rsid w:val="005E1563"/>
    <w:rsid w:val="005E446C"/>
    <w:rsid w:val="005E4914"/>
    <w:rsid w:val="005E7C22"/>
    <w:rsid w:val="005E7CD2"/>
    <w:rsid w:val="005F1F57"/>
    <w:rsid w:val="005F4094"/>
    <w:rsid w:val="005F42D6"/>
    <w:rsid w:val="005F4305"/>
    <w:rsid w:val="005F4D32"/>
    <w:rsid w:val="005F56FB"/>
    <w:rsid w:val="006005BA"/>
    <w:rsid w:val="00601EB6"/>
    <w:rsid w:val="006021A9"/>
    <w:rsid w:val="00602317"/>
    <w:rsid w:val="006023A8"/>
    <w:rsid w:val="0060273F"/>
    <w:rsid w:val="006041F8"/>
    <w:rsid w:val="00604383"/>
    <w:rsid w:val="00604474"/>
    <w:rsid w:val="00604D27"/>
    <w:rsid w:val="00605707"/>
    <w:rsid w:val="00606ACF"/>
    <w:rsid w:val="00607F0F"/>
    <w:rsid w:val="00610328"/>
    <w:rsid w:val="00610D3A"/>
    <w:rsid w:val="00611546"/>
    <w:rsid w:val="0061182C"/>
    <w:rsid w:val="00611BFA"/>
    <w:rsid w:val="00612121"/>
    <w:rsid w:val="00612780"/>
    <w:rsid w:val="006129F4"/>
    <w:rsid w:val="00613570"/>
    <w:rsid w:val="0061375E"/>
    <w:rsid w:val="00613A90"/>
    <w:rsid w:val="00614F23"/>
    <w:rsid w:val="006154C3"/>
    <w:rsid w:val="00615E90"/>
    <w:rsid w:val="00615F50"/>
    <w:rsid w:val="0061712C"/>
    <w:rsid w:val="0061769A"/>
    <w:rsid w:val="00617900"/>
    <w:rsid w:val="00617C50"/>
    <w:rsid w:val="00617DDD"/>
    <w:rsid w:val="00620560"/>
    <w:rsid w:val="00620DD0"/>
    <w:rsid w:val="00622754"/>
    <w:rsid w:val="00622960"/>
    <w:rsid w:val="0062296E"/>
    <w:rsid w:val="00623000"/>
    <w:rsid w:val="00623C6B"/>
    <w:rsid w:val="00623DD8"/>
    <w:rsid w:val="00623F8F"/>
    <w:rsid w:val="0062408A"/>
    <w:rsid w:val="00624E45"/>
    <w:rsid w:val="00626E27"/>
    <w:rsid w:val="006276F6"/>
    <w:rsid w:val="00630129"/>
    <w:rsid w:val="0063076A"/>
    <w:rsid w:val="00630B0E"/>
    <w:rsid w:val="00631120"/>
    <w:rsid w:val="006311F3"/>
    <w:rsid w:val="00632A21"/>
    <w:rsid w:val="00633795"/>
    <w:rsid w:val="00633984"/>
    <w:rsid w:val="006350E5"/>
    <w:rsid w:val="006351C4"/>
    <w:rsid w:val="00635C3A"/>
    <w:rsid w:val="0063659F"/>
    <w:rsid w:val="006369BF"/>
    <w:rsid w:val="00636A0A"/>
    <w:rsid w:val="00637E7E"/>
    <w:rsid w:val="006403DA"/>
    <w:rsid w:val="00640E3A"/>
    <w:rsid w:val="0064104A"/>
    <w:rsid w:val="00641D6A"/>
    <w:rsid w:val="0064250F"/>
    <w:rsid w:val="00643838"/>
    <w:rsid w:val="00643E2F"/>
    <w:rsid w:val="006464F3"/>
    <w:rsid w:val="00646CDF"/>
    <w:rsid w:val="00647FF8"/>
    <w:rsid w:val="006521D1"/>
    <w:rsid w:val="00652955"/>
    <w:rsid w:val="00652BD3"/>
    <w:rsid w:val="006530F0"/>
    <w:rsid w:val="00653F18"/>
    <w:rsid w:val="0065636E"/>
    <w:rsid w:val="006567DD"/>
    <w:rsid w:val="0065726C"/>
    <w:rsid w:val="00657EDF"/>
    <w:rsid w:val="00660E86"/>
    <w:rsid w:val="0066108B"/>
    <w:rsid w:val="00662DD6"/>
    <w:rsid w:val="006640C1"/>
    <w:rsid w:val="00664D51"/>
    <w:rsid w:val="00664D5C"/>
    <w:rsid w:val="006652BD"/>
    <w:rsid w:val="00665C61"/>
    <w:rsid w:val="006660BA"/>
    <w:rsid w:val="00670A63"/>
    <w:rsid w:val="00671172"/>
    <w:rsid w:val="00671718"/>
    <w:rsid w:val="00672030"/>
    <w:rsid w:val="00673B50"/>
    <w:rsid w:val="00675943"/>
    <w:rsid w:val="006763C4"/>
    <w:rsid w:val="006772F9"/>
    <w:rsid w:val="00677705"/>
    <w:rsid w:val="00677D0F"/>
    <w:rsid w:val="00677D27"/>
    <w:rsid w:val="006804B3"/>
    <w:rsid w:val="0068072B"/>
    <w:rsid w:val="00681547"/>
    <w:rsid w:val="00683E33"/>
    <w:rsid w:val="0068513D"/>
    <w:rsid w:val="006857D1"/>
    <w:rsid w:val="006867A6"/>
    <w:rsid w:val="00686ED4"/>
    <w:rsid w:val="0068789B"/>
    <w:rsid w:val="00690370"/>
    <w:rsid w:val="00691728"/>
    <w:rsid w:val="00692E9B"/>
    <w:rsid w:val="0069324A"/>
    <w:rsid w:val="00693E81"/>
    <w:rsid w:val="00696580"/>
    <w:rsid w:val="0069698A"/>
    <w:rsid w:val="00696FBF"/>
    <w:rsid w:val="00697C93"/>
    <w:rsid w:val="00697D2B"/>
    <w:rsid w:val="006A0345"/>
    <w:rsid w:val="006A0B81"/>
    <w:rsid w:val="006A1351"/>
    <w:rsid w:val="006A170B"/>
    <w:rsid w:val="006A17D1"/>
    <w:rsid w:val="006A1C78"/>
    <w:rsid w:val="006A2842"/>
    <w:rsid w:val="006A3001"/>
    <w:rsid w:val="006A3CC3"/>
    <w:rsid w:val="006A4E5C"/>
    <w:rsid w:val="006A5369"/>
    <w:rsid w:val="006A57C8"/>
    <w:rsid w:val="006A5983"/>
    <w:rsid w:val="006A6646"/>
    <w:rsid w:val="006A665F"/>
    <w:rsid w:val="006A6787"/>
    <w:rsid w:val="006A6FBB"/>
    <w:rsid w:val="006A7070"/>
    <w:rsid w:val="006A7AEE"/>
    <w:rsid w:val="006A7EED"/>
    <w:rsid w:val="006B0566"/>
    <w:rsid w:val="006B127E"/>
    <w:rsid w:val="006B20FD"/>
    <w:rsid w:val="006B25B8"/>
    <w:rsid w:val="006B3384"/>
    <w:rsid w:val="006B4037"/>
    <w:rsid w:val="006B4446"/>
    <w:rsid w:val="006B535A"/>
    <w:rsid w:val="006B6525"/>
    <w:rsid w:val="006B7A02"/>
    <w:rsid w:val="006C0052"/>
    <w:rsid w:val="006C07BB"/>
    <w:rsid w:val="006C0D9F"/>
    <w:rsid w:val="006C10FD"/>
    <w:rsid w:val="006C188A"/>
    <w:rsid w:val="006C31C3"/>
    <w:rsid w:val="006C32FF"/>
    <w:rsid w:val="006C37C6"/>
    <w:rsid w:val="006C3B22"/>
    <w:rsid w:val="006C5385"/>
    <w:rsid w:val="006C56B1"/>
    <w:rsid w:val="006C6E52"/>
    <w:rsid w:val="006D14E4"/>
    <w:rsid w:val="006D19EE"/>
    <w:rsid w:val="006D26BB"/>
    <w:rsid w:val="006D4440"/>
    <w:rsid w:val="006D47D8"/>
    <w:rsid w:val="006D58A4"/>
    <w:rsid w:val="006D5C2A"/>
    <w:rsid w:val="006D5F80"/>
    <w:rsid w:val="006D63B1"/>
    <w:rsid w:val="006D6DFE"/>
    <w:rsid w:val="006D711E"/>
    <w:rsid w:val="006E2458"/>
    <w:rsid w:val="006E2935"/>
    <w:rsid w:val="006E29D0"/>
    <w:rsid w:val="006E3051"/>
    <w:rsid w:val="006E446F"/>
    <w:rsid w:val="006E4EAD"/>
    <w:rsid w:val="006E53A8"/>
    <w:rsid w:val="006E53C9"/>
    <w:rsid w:val="006E59BE"/>
    <w:rsid w:val="006E5C17"/>
    <w:rsid w:val="006E7082"/>
    <w:rsid w:val="006E71F2"/>
    <w:rsid w:val="006E7DF1"/>
    <w:rsid w:val="006F05E3"/>
    <w:rsid w:val="006F10A0"/>
    <w:rsid w:val="006F20A1"/>
    <w:rsid w:val="006F23C4"/>
    <w:rsid w:val="006F2D70"/>
    <w:rsid w:val="006F39FF"/>
    <w:rsid w:val="006F5369"/>
    <w:rsid w:val="006F6218"/>
    <w:rsid w:val="006F62E0"/>
    <w:rsid w:val="006F6B30"/>
    <w:rsid w:val="006F7C1A"/>
    <w:rsid w:val="00701A70"/>
    <w:rsid w:val="00702D7B"/>
    <w:rsid w:val="00703254"/>
    <w:rsid w:val="00704C3D"/>
    <w:rsid w:val="00705BDE"/>
    <w:rsid w:val="0070658C"/>
    <w:rsid w:val="00706A2B"/>
    <w:rsid w:val="00706B0A"/>
    <w:rsid w:val="007073C7"/>
    <w:rsid w:val="007074B7"/>
    <w:rsid w:val="0070777B"/>
    <w:rsid w:val="00707FDF"/>
    <w:rsid w:val="00711250"/>
    <w:rsid w:val="007112DF"/>
    <w:rsid w:val="00711506"/>
    <w:rsid w:val="0071249F"/>
    <w:rsid w:val="00712AD6"/>
    <w:rsid w:val="007130D0"/>
    <w:rsid w:val="0071331C"/>
    <w:rsid w:val="0071347C"/>
    <w:rsid w:val="00714AC2"/>
    <w:rsid w:val="0071603D"/>
    <w:rsid w:val="00716E66"/>
    <w:rsid w:val="007171E9"/>
    <w:rsid w:val="0071748D"/>
    <w:rsid w:val="00717E1A"/>
    <w:rsid w:val="00720283"/>
    <w:rsid w:val="007217B6"/>
    <w:rsid w:val="00722866"/>
    <w:rsid w:val="0072357D"/>
    <w:rsid w:val="00724DC5"/>
    <w:rsid w:val="00725242"/>
    <w:rsid w:val="007259FB"/>
    <w:rsid w:val="00726D1E"/>
    <w:rsid w:val="0072794A"/>
    <w:rsid w:val="00730249"/>
    <w:rsid w:val="00730287"/>
    <w:rsid w:val="00730666"/>
    <w:rsid w:val="00730B9A"/>
    <w:rsid w:val="00732A93"/>
    <w:rsid w:val="007330DD"/>
    <w:rsid w:val="00734290"/>
    <w:rsid w:val="0073436B"/>
    <w:rsid w:val="00734576"/>
    <w:rsid w:val="007347AD"/>
    <w:rsid w:val="00734FD9"/>
    <w:rsid w:val="00736486"/>
    <w:rsid w:val="00741534"/>
    <w:rsid w:val="00742CB6"/>
    <w:rsid w:val="00742E36"/>
    <w:rsid w:val="007431E7"/>
    <w:rsid w:val="0074323C"/>
    <w:rsid w:val="00743902"/>
    <w:rsid w:val="0074519D"/>
    <w:rsid w:val="00745335"/>
    <w:rsid w:val="00745797"/>
    <w:rsid w:val="00745BEC"/>
    <w:rsid w:val="00745E4A"/>
    <w:rsid w:val="0074667F"/>
    <w:rsid w:val="007471B0"/>
    <w:rsid w:val="00747CD8"/>
    <w:rsid w:val="00750769"/>
    <w:rsid w:val="007511A4"/>
    <w:rsid w:val="007512E5"/>
    <w:rsid w:val="007512F2"/>
    <w:rsid w:val="00752B70"/>
    <w:rsid w:val="00752CD1"/>
    <w:rsid w:val="00753058"/>
    <w:rsid w:val="007532CB"/>
    <w:rsid w:val="00753D04"/>
    <w:rsid w:val="007541D3"/>
    <w:rsid w:val="00754212"/>
    <w:rsid w:val="00754B55"/>
    <w:rsid w:val="0075515D"/>
    <w:rsid w:val="0075519A"/>
    <w:rsid w:val="00755D74"/>
    <w:rsid w:val="00756893"/>
    <w:rsid w:val="00756D02"/>
    <w:rsid w:val="00757490"/>
    <w:rsid w:val="00757C8D"/>
    <w:rsid w:val="00761150"/>
    <w:rsid w:val="00761619"/>
    <w:rsid w:val="00761963"/>
    <w:rsid w:val="0076206A"/>
    <w:rsid w:val="00762145"/>
    <w:rsid w:val="00762FA1"/>
    <w:rsid w:val="00763FA4"/>
    <w:rsid w:val="00764153"/>
    <w:rsid w:val="00764854"/>
    <w:rsid w:val="00765435"/>
    <w:rsid w:val="007655A5"/>
    <w:rsid w:val="007678A3"/>
    <w:rsid w:val="00767B1A"/>
    <w:rsid w:val="0077034A"/>
    <w:rsid w:val="00770DF7"/>
    <w:rsid w:val="00770F76"/>
    <w:rsid w:val="0077174D"/>
    <w:rsid w:val="00771C81"/>
    <w:rsid w:val="0077272D"/>
    <w:rsid w:val="00773FB0"/>
    <w:rsid w:val="00774616"/>
    <w:rsid w:val="00774B4F"/>
    <w:rsid w:val="00774D45"/>
    <w:rsid w:val="00776DF2"/>
    <w:rsid w:val="0077737E"/>
    <w:rsid w:val="007775AC"/>
    <w:rsid w:val="00777AF1"/>
    <w:rsid w:val="007809AB"/>
    <w:rsid w:val="00781115"/>
    <w:rsid w:val="00781274"/>
    <w:rsid w:val="00782FDA"/>
    <w:rsid w:val="007839C1"/>
    <w:rsid w:val="00783CF9"/>
    <w:rsid w:val="0078401F"/>
    <w:rsid w:val="00784E8C"/>
    <w:rsid w:val="00786076"/>
    <w:rsid w:val="007869D0"/>
    <w:rsid w:val="00786FCE"/>
    <w:rsid w:val="00787374"/>
    <w:rsid w:val="007900E1"/>
    <w:rsid w:val="00790913"/>
    <w:rsid w:val="007910CA"/>
    <w:rsid w:val="00791580"/>
    <w:rsid w:val="007939EB"/>
    <w:rsid w:val="007951A6"/>
    <w:rsid w:val="00796004"/>
    <w:rsid w:val="00796466"/>
    <w:rsid w:val="00796FFB"/>
    <w:rsid w:val="00797265"/>
    <w:rsid w:val="007A0001"/>
    <w:rsid w:val="007A091A"/>
    <w:rsid w:val="007A1140"/>
    <w:rsid w:val="007A1FE2"/>
    <w:rsid w:val="007A2B96"/>
    <w:rsid w:val="007A3885"/>
    <w:rsid w:val="007A48A6"/>
    <w:rsid w:val="007A5E84"/>
    <w:rsid w:val="007A5F25"/>
    <w:rsid w:val="007A6F1C"/>
    <w:rsid w:val="007A78CA"/>
    <w:rsid w:val="007B0E01"/>
    <w:rsid w:val="007B1B6A"/>
    <w:rsid w:val="007B2CE1"/>
    <w:rsid w:val="007B3137"/>
    <w:rsid w:val="007B33F2"/>
    <w:rsid w:val="007B3DB7"/>
    <w:rsid w:val="007B3EE0"/>
    <w:rsid w:val="007B4B87"/>
    <w:rsid w:val="007B5DB5"/>
    <w:rsid w:val="007B5FF6"/>
    <w:rsid w:val="007B65D9"/>
    <w:rsid w:val="007B7486"/>
    <w:rsid w:val="007C0613"/>
    <w:rsid w:val="007C0EAF"/>
    <w:rsid w:val="007C0ECC"/>
    <w:rsid w:val="007C2418"/>
    <w:rsid w:val="007C2A17"/>
    <w:rsid w:val="007C35E1"/>
    <w:rsid w:val="007C37A0"/>
    <w:rsid w:val="007C3E63"/>
    <w:rsid w:val="007C439D"/>
    <w:rsid w:val="007C44A7"/>
    <w:rsid w:val="007C4787"/>
    <w:rsid w:val="007C5B6C"/>
    <w:rsid w:val="007C7C68"/>
    <w:rsid w:val="007C7CEB"/>
    <w:rsid w:val="007D0C7F"/>
    <w:rsid w:val="007D2066"/>
    <w:rsid w:val="007D30FA"/>
    <w:rsid w:val="007D4EBF"/>
    <w:rsid w:val="007D561D"/>
    <w:rsid w:val="007D56A2"/>
    <w:rsid w:val="007D676C"/>
    <w:rsid w:val="007D6AD4"/>
    <w:rsid w:val="007D6E70"/>
    <w:rsid w:val="007D6F3B"/>
    <w:rsid w:val="007D7723"/>
    <w:rsid w:val="007D7D72"/>
    <w:rsid w:val="007E09F1"/>
    <w:rsid w:val="007E2797"/>
    <w:rsid w:val="007E2B62"/>
    <w:rsid w:val="007E2DB8"/>
    <w:rsid w:val="007E3F8C"/>
    <w:rsid w:val="007E4118"/>
    <w:rsid w:val="007E4D3A"/>
    <w:rsid w:val="007E5164"/>
    <w:rsid w:val="007E6254"/>
    <w:rsid w:val="007E73CA"/>
    <w:rsid w:val="007E7467"/>
    <w:rsid w:val="007E76E8"/>
    <w:rsid w:val="007E7DAA"/>
    <w:rsid w:val="007F003A"/>
    <w:rsid w:val="007F0426"/>
    <w:rsid w:val="007F04A3"/>
    <w:rsid w:val="007F0B7D"/>
    <w:rsid w:val="007F0BB1"/>
    <w:rsid w:val="007F0EE5"/>
    <w:rsid w:val="007F1238"/>
    <w:rsid w:val="007F2699"/>
    <w:rsid w:val="007F2FB5"/>
    <w:rsid w:val="007F3242"/>
    <w:rsid w:val="007F439B"/>
    <w:rsid w:val="007F4476"/>
    <w:rsid w:val="007F47D2"/>
    <w:rsid w:val="007F51C3"/>
    <w:rsid w:val="007F5279"/>
    <w:rsid w:val="007F5E15"/>
    <w:rsid w:val="0080042C"/>
    <w:rsid w:val="0080081A"/>
    <w:rsid w:val="008010E2"/>
    <w:rsid w:val="00801D56"/>
    <w:rsid w:val="00802899"/>
    <w:rsid w:val="00803C2C"/>
    <w:rsid w:val="008043E0"/>
    <w:rsid w:val="008044DD"/>
    <w:rsid w:val="008044E6"/>
    <w:rsid w:val="00804D09"/>
    <w:rsid w:val="00804D42"/>
    <w:rsid w:val="00805A3F"/>
    <w:rsid w:val="00806056"/>
    <w:rsid w:val="00806D37"/>
    <w:rsid w:val="0080721E"/>
    <w:rsid w:val="0081003E"/>
    <w:rsid w:val="00810D2D"/>
    <w:rsid w:val="0081311F"/>
    <w:rsid w:val="008134B0"/>
    <w:rsid w:val="008138B6"/>
    <w:rsid w:val="00813991"/>
    <w:rsid w:val="00813C79"/>
    <w:rsid w:val="00814C64"/>
    <w:rsid w:val="00814E85"/>
    <w:rsid w:val="00815AC3"/>
    <w:rsid w:val="00815B98"/>
    <w:rsid w:val="00815BDD"/>
    <w:rsid w:val="00815D44"/>
    <w:rsid w:val="0081666E"/>
    <w:rsid w:val="00816716"/>
    <w:rsid w:val="00816A4D"/>
    <w:rsid w:val="00816F82"/>
    <w:rsid w:val="00817452"/>
    <w:rsid w:val="008174D2"/>
    <w:rsid w:val="008177B5"/>
    <w:rsid w:val="00820E6A"/>
    <w:rsid w:val="00823674"/>
    <w:rsid w:val="00824E8C"/>
    <w:rsid w:val="0082563E"/>
    <w:rsid w:val="00825889"/>
    <w:rsid w:val="00825C34"/>
    <w:rsid w:val="0082624D"/>
    <w:rsid w:val="008269D6"/>
    <w:rsid w:val="00826EAE"/>
    <w:rsid w:val="00826ECE"/>
    <w:rsid w:val="00826FFD"/>
    <w:rsid w:val="00827294"/>
    <w:rsid w:val="00827DCD"/>
    <w:rsid w:val="008309E3"/>
    <w:rsid w:val="00830F0A"/>
    <w:rsid w:val="008310F6"/>
    <w:rsid w:val="0083115C"/>
    <w:rsid w:val="0083278A"/>
    <w:rsid w:val="0083461D"/>
    <w:rsid w:val="00834C42"/>
    <w:rsid w:val="00835624"/>
    <w:rsid w:val="00837A71"/>
    <w:rsid w:val="00837BC5"/>
    <w:rsid w:val="00840C83"/>
    <w:rsid w:val="00842607"/>
    <w:rsid w:val="0084266B"/>
    <w:rsid w:val="00842E52"/>
    <w:rsid w:val="0084401F"/>
    <w:rsid w:val="00844A33"/>
    <w:rsid w:val="00845022"/>
    <w:rsid w:val="008470E3"/>
    <w:rsid w:val="00847415"/>
    <w:rsid w:val="00847B0C"/>
    <w:rsid w:val="00850A02"/>
    <w:rsid w:val="00851B3F"/>
    <w:rsid w:val="00852C4A"/>
    <w:rsid w:val="008538AF"/>
    <w:rsid w:val="0085400F"/>
    <w:rsid w:val="00854A1A"/>
    <w:rsid w:val="008550F1"/>
    <w:rsid w:val="008552B4"/>
    <w:rsid w:val="00856F26"/>
    <w:rsid w:val="00857620"/>
    <w:rsid w:val="00861B69"/>
    <w:rsid w:val="00861D5A"/>
    <w:rsid w:val="00861DA7"/>
    <w:rsid w:val="00861DB8"/>
    <w:rsid w:val="00862AE5"/>
    <w:rsid w:val="00862B95"/>
    <w:rsid w:val="008630A9"/>
    <w:rsid w:val="00866268"/>
    <w:rsid w:val="008666AC"/>
    <w:rsid w:val="00866986"/>
    <w:rsid w:val="00866E28"/>
    <w:rsid w:val="00867DCB"/>
    <w:rsid w:val="008706DB"/>
    <w:rsid w:val="00870AAE"/>
    <w:rsid w:val="008710F1"/>
    <w:rsid w:val="00871903"/>
    <w:rsid w:val="00872ACD"/>
    <w:rsid w:val="00872EB3"/>
    <w:rsid w:val="00874238"/>
    <w:rsid w:val="00875772"/>
    <w:rsid w:val="00876B7B"/>
    <w:rsid w:val="00876B9F"/>
    <w:rsid w:val="008771EA"/>
    <w:rsid w:val="0088044F"/>
    <w:rsid w:val="00880B4A"/>
    <w:rsid w:val="00880CC6"/>
    <w:rsid w:val="00881100"/>
    <w:rsid w:val="00881641"/>
    <w:rsid w:val="008820E3"/>
    <w:rsid w:val="0088360B"/>
    <w:rsid w:val="008844F4"/>
    <w:rsid w:val="008846DA"/>
    <w:rsid w:val="00884786"/>
    <w:rsid w:val="008863DF"/>
    <w:rsid w:val="008868D3"/>
    <w:rsid w:val="00886B0D"/>
    <w:rsid w:val="0089006E"/>
    <w:rsid w:val="008904B2"/>
    <w:rsid w:val="00890B27"/>
    <w:rsid w:val="00890F25"/>
    <w:rsid w:val="008920A8"/>
    <w:rsid w:val="0089340F"/>
    <w:rsid w:val="00893D37"/>
    <w:rsid w:val="00894564"/>
    <w:rsid w:val="00894FAE"/>
    <w:rsid w:val="00895EC8"/>
    <w:rsid w:val="00896CE2"/>
    <w:rsid w:val="00897846"/>
    <w:rsid w:val="008A1CAA"/>
    <w:rsid w:val="008A1E6D"/>
    <w:rsid w:val="008A220A"/>
    <w:rsid w:val="008A30C9"/>
    <w:rsid w:val="008A4435"/>
    <w:rsid w:val="008A4878"/>
    <w:rsid w:val="008A56AD"/>
    <w:rsid w:val="008A5736"/>
    <w:rsid w:val="008A6835"/>
    <w:rsid w:val="008A6BCE"/>
    <w:rsid w:val="008A6C47"/>
    <w:rsid w:val="008A7150"/>
    <w:rsid w:val="008A747E"/>
    <w:rsid w:val="008B062A"/>
    <w:rsid w:val="008B063A"/>
    <w:rsid w:val="008B0F9B"/>
    <w:rsid w:val="008B11D1"/>
    <w:rsid w:val="008B1296"/>
    <w:rsid w:val="008B15CC"/>
    <w:rsid w:val="008B1B3A"/>
    <w:rsid w:val="008B25B9"/>
    <w:rsid w:val="008B2AB5"/>
    <w:rsid w:val="008B3762"/>
    <w:rsid w:val="008B4068"/>
    <w:rsid w:val="008B441B"/>
    <w:rsid w:val="008B4A08"/>
    <w:rsid w:val="008B58CB"/>
    <w:rsid w:val="008B6E0B"/>
    <w:rsid w:val="008B6E13"/>
    <w:rsid w:val="008B6FD8"/>
    <w:rsid w:val="008C1DA2"/>
    <w:rsid w:val="008C1EE5"/>
    <w:rsid w:val="008C20C2"/>
    <w:rsid w:val="008C23ED"/>
    <w:rsid w:val="008C2EB4"/>
    <w:rsid w:val="008C3416"/>
    <w:rsid w:val="008C36D0"/>
    <w:rsid w:val="008C36F3"/>
    <w:rsid w:val="008C4AE6"/>
    <w:rsid w:val="008C52B9"/>
    <w:rsid w:val="008C5457"/>
    <w:rsid w:val="008C56EA"/>
    <w:rsid w:val="008C628E"/>
    <w:rsid w:val="008C663E"/>
    <w:rsid w:val="008C6BB2"/>
    <w:rsid w:val="008D0475"/>
    <w:rsid w:val="008D21D7"/>
    <w:rsid w:val="008D30B5"/>
    <w:rsid w:val="008D3145"/>
    <w:rsid w:val="008D4751"/>
    <w:rsid w:val="008D49EB"/>
    <w:rsid w:val="008D5B48"/>
    <w:rsid w:val="008E0FBB"/>
    <w:rsid w:val="008E1C88"/>
    <w:rsid w:val="008E1EF5"/>
    <w:rsid w:val="008E22DF"/>
    <w:rsid w:val="008E2AB0"/>
    <w:rsid w:val="008E3507"/>
    <w:rsid w:val="008E3548"/>
    <w:rsid w:val="008E3FCF"/>
    <w:rsid w:val="008E4558"/>
    <w:rsid w:val="008E48B0"/>
    <w:rsid w:val="008E5609"/>
    <w:rsid w:val="008E5E91"/>
    <w:rsid w:val="008E6EFC"/>
    <w:rsid w:val="008F2F1B"/>
    <w:rsid w:val="008F34D1"/>
    <w:rsid w:val="008F3B76"/>
    <w:rsid w:val="008F3C23"/>
    <w:rsid w:val="008F4D39"/>
    <w:rsid w:val="008F4E97"/>
    <w:rsid w:val="008F4F37"/>
    <w:rsid w:val="008F5818"/>
    <w:rsid w:val="008F6118"/>
    <w:rsid w:val="008F657C"/>
    <w:rsid w:val="008F6CAB"/>
    <w:rsid w:val="008F6CB0"/>
    <w:rsid w:val="008F7309"/>
    <w:rsid w:val="008F76E2"/>
    <w:rsid w:val="0090046A"/>
    <w:rsid w:val="00900E25"/>
    <w:rsid w:val="00901905"/>
    <w:rsid w:val="00901D98"/>
    <w:rsid w:val="00901F39"/>
    <w:rsid w:val="00902C81"/>
    <w:rsid w:val="00903E08"/>
    <w:rsid w:val="00904BA1"/>
    <w:rsid w:val="00904C29"/>
    <w:rsid w:val="00905B39"/>
    <w:rsid w:val="0090614B"/>
    <w:rsid w:val="0090630D"/>
    <w:rsid w:val="00907A28"/>
    <w:rsid w:val="0091020E"/>
    <w:rsid w:val="009102E3"/>
    <w:rsid w:val="00910D9E"/>
    <w:rsid w:val="0091161C"/>
    <w:rsid w:val="00911B5F"/>
    <w:rsid w:val="00912624"/>
    <w:rsid w:val="00912FFC"/>
    <w:rsid w:val="009159D3"/>
    <w:rsid w:val="00915FF7"/>
    <w:rsid w:val="0091658B"/>
    <w:rsid w:val="00916813"/>
    <w:rsid w:val="00916928"/>
    <w:rsid w:val="00917599"/>
    <w:rsid w:val="009175C8"/>
    <w:rsid w:val="009179EF"/>
    <w:rsid w:val="00917B18"/>
    <w:rsid w:val="00920EBB"/>
    <w:rsid w:val="00921D4F"/>
    <w:rsid w:val="00922105"/>
    <w:rsid w:val="00923579"/>
    <w:rsid w:val="00924756"/>
    <w:rsid w:val="009251AB"/>
    <w:rsid w:val="00925A4D"/>
    <w:rsid w:val="00925CAD"/>
    <w:rsid w:val="00925FAF"/>
    <w:rsid w:val="009300B5"/>
    <w:rsid w:val="00930F32"/>
    <w:rsid w:val="0093291A"/>
    <w:rsid w:val="00933AF8"/>
    <w:rsid w:val="00933CD6"/>
    <w:rsid w:val="00934648"/>
    <w:rsid w:val="00934E02"/>
    <w:rsid w:val="00936F35"/>
    <w:rsid w:val="009370FF"/>
    <w:rsid w:val="0094006C"/>
    <w:rsid w:val="00940758"/>
    <w:rsid w:val="009414DC"/>
    <w:rsid w:val="00943136"/>
    <w:rsid w:val="00943805"/>
    <w:rsid w:val="0094403F"/>
    <w:rsid w:val="00944C42"/>
    <w:rsid w:val="00946B8C"/>
    <w:rsid w:val="00947ABE"/>
    <w:rsid w:val="00947B7D"/>
    <w:rsid w:val="00947BC5"/>
    <w:rsid w:val="00950807"/>
    <w:rsid w:val="009510F2"/>
    <w:rsid w:val="0095184A"/>
    <w:rsid w:val="0095210F"/>
    <w:rsid w:val="009526F7"/>
    <w:rsid w:val="00952CEE"/>
    <w:rsid w:val="00953591"/>
    <w:rsid w:val="0095368E"/>
    <w:rsid w:val="009539B8"/>
    <w:rsid w:val="00953BDC"/>
    <w:rsid w:val="00953DEC"/>
    <w:rsid w:val="009545D5"/>
    <w:rsid w:val="00954BFB"/>
    <w:rsid w:val="00955712"/>
    <w:rsid w:val="00955FC0"/>
    <w:rsid w:val="00956B27"/>
    <w:rsid w:val="00957040"/>
    <w:rsid w:val="0095709C"/>
    <w:rsid w:val="00957F45"/>
    <w:rsid w:val="00960FC8"/>
    <w:rsid w:val="00961013"/>
    <w:rsid w:val="00961B92"/>
    <w:rsid w:val="009639E6"/>
    <w:rsid w:val="00963AC2"/>
    <w:rsid w:val="00964223"/>
    <w:rsid w:val="00964419"/>
    <w:rsid w:val="00965111"/>
    <w:rsid w:val="00966B3F"/>
    <w:rsid w:val="00966CF5"/>
    <w:rsid w:val="009672AD"/>
    <w:rsid w:val="00967678"/>
    <w:rsid w:val="00970613"/>
    <w:rsid w:val="00970F70"/>
    <w:rsid w:val="009717D9"/>
    <w:rsid w:val="00971C4E"/>
    <w:rsid w:val="009720BE"/>
    <w:rsid w:val="009727F1"/>
    <w:rsid w:val="00972DBE"/>
    <w:rsid w:val="0097332E"/>
    <w:rsid w:val="0097503A"/>
    <w:rsid w:val="00975070"/>
    <w:rsid w:val="00975E1B"/>
    <w:rsid w:val="009767B2"/>
    <w:rsid w:val="00976F07"/>
    <w:rsid w:val="0097751A"/>
    <w:rsid w:val="009779D4"/>
    <w:rsid w:val="00980639"/>
    <w:rsid w:val="00980AEC"/>
    <w:rsid w:val="00980E56"/>
    <w:rsid w:val="009810A7"/>
    <w:rsid w:val="009815C7"/>
    <w:rsid w:val="00981A4D"/>
    <w:rsid w:val="0098201E"/>
    <w:rsid w:val="0098272F"/>
    <w:rsid w:val="00982BD4"/>
    <w:rsid w:val="009836BF"/>
    <w:rsid w:val="009837F5"/>
    <w:rsid w:val="00983C28"/>
    <w:rsid w:val="00983DD4"/>
    <w:rsid w:val="009854E0"/>
    <w:rsid w:val="00986A84"/>
    <w:rsid w:val="00987340"/>
    <w:rsid w:val="009875B4"/>
    <w:rsid w:val="00987978"/>
    <w:rsid w:val="00987F70"/>
    <w:rsid w:val="0099072A"/>
    <w:rsid w:val="00990B65"/>
    <w:rsid w:val="00990F77"/>
    <w:rsid w:val="00990FDB"/>
    <w:rsid w:val="00991012"/>
    <w:rsid w:val="0099101E"/>
    <w:rsid w:val="009917F2"/>
    <w:rsid w:val="00992867"/>
    <w:rsid w:val="00992A8C"/>
    <w:rsid w:val="00993CAC"/>
    <w:rsid w:val="00994635"/>
    <w:rsid w:val="00994666"/>
    <w:rsid w:val="00996835"/>
    <w:rsid w:val="00997ED4"/>
    <w:rsid w:val="009A12CD"/>
    <w:rsid w:val="009A2AEB"/>
    <w:rsid w:val="009A2CB4"/>
    <w:rsid w:val="009A3ABF"/>
    <w:rsid w:val="009A3B8B"/>
    <w:rsid w:val="009A46BC"/>
    <w:rsid w:val="009A4DEF"/>
    <w:rsid w:val="009A6D12"/>
    <w:rsid w:val="009B0533"/>
    <w:rsid w:val="009B09CA"/>
    <w:rsid w:val="009B0D21"/>
    <w:rsid w:val="009B156D"/>
    <w:rsid w:val="009B174D"/>
    <w:rsid w:val="009B2F05"/>
    <w:rsid w:val="009B3195"/>
    <w:rsid w:val="009B34DF"/>
    <w:rsid w:val="009B3589"/>
    <w:rsid w:val="009B37B3"/>
    <w:rsid w:val="009B441E"/>
    <w:rsid w:val="009B4D42"/>
    <w:rsid w:val="009B55DE"/>
    <w:rsid w:val="009B6C88"/>
    <w:rsid w:val="009B7A1C"/>
    <w:rsid w:val="009C07F8"/>
    <w:rsid w:val="009C0A80"/>
    <w:rsid w:val="009C0D74"/>
    <w:rsid w:val="009C10E3"/>
    <w:rsid w:val="009C1874"/>
    <w:rsid w:val="009C1982"/>
    <w:rsid w:val="009C27AE"/>
    <w:rsid w:val="009C2D1B"/>
    <w:rsid w:val="009C3161"/>
    <w:rsid w:val="009C3516"/>
    <w:rsid w:val="009C3BB6"/>
    <w:rsid w:val="009C53F6"/>
    <w:rsid w:val="009C5C7D"/>
    <w:rsid w:val="009C609E"/>
    <w:rsid w:val="009C6F1E"/>
    <w:rsid w:val="009C79B0"/>
    <w:rsid w:val="009D0578"/>
    <w:rsid w:val="009D0CDD"/>
    <w:rsid w:val="009D39D8"/>
    <w:rsid w:val="009D567E"/>
    <w:rsid w:val="009D5CF7"/>
    <w:rsid w:val="009D5E7D"/>
    <w:rsid w:val="009D65DD"/>
    <w:rsid w:val="009D75E1"/>
    <w:rsid w:val="009D75FF"/>
    <w:rsid w:val="009D7856"/>
    <w:rsid w:val="009D792B"/>
    <w:rsid w:val="009D796F"/>
    <w:rsid w:val="009E13D4"/>
    <w:rsid w:val="009E1E1D"/>
    <w:rsid w:val="009E64B1"/>
    <w:rsid w:val="009E666C"/>
    <w:rsid w:val="009F0973"/>
    <w:rsid w:val="009F1EB4"/>
    <w:rsid w:val="009F2296"/>
    <w:rsid w:val="009F26E3"/>
    <w:rsid w:val="009F2A8A"/>
    <w:rsid w:val="009F45E3"/>
    <w:rsid w:val="009F48AF"/>
    <w:rsid w:val="009F4CE9"/>
    <w:rsid w:val="009F60D3"/>
    <w:rsid w:val="009F69B0"/>
    <w:rsid w:val="009F6D2A"/>
    <w:rsid w:val="009F6ED9"/>
    <w:rsid w:val="009F7062"/>
    <w:rsid w:val="009F7079"/>
    <w:rsid w:val="009F7EF9"/>
    <w:rsid w:val="00A006C0"/>
    <w:rsid w:val="00A009C4"/>
    <w:rsid w:val="00A00D82"/>
    <w:rsid w:val="00A0139B"/>
    <w:rsid w:val="00A017A6"/>
    <w:rsid w:val="00A025D6"/>
    <w:rsid w:val="00A03A7A"/>
    <w:rsid w:val="00A03FD5"/>
    <w:rsid w:val="00A0504E"/>
    <w:rsid w:val="00A05EA4"/>
    <w:rsid w:val="00A06439"/>
    <w:rsid w:val="00A06586"/>
    <w:rsid w:val="00A07E29"/>
    <w:rsid w:val="00A10E23"/>
    <w:rsid w:val="00A11017"/>
    <w:rsid w:val="00A116C6"/>
    <w:rsid w:val="00A11B9B"/>
    <w:rsid w:val="00A13795"/>
    <w:rsid w:val="00A14109"/>
    <w:rsid w:val="00A14526"/>
    <w:rsid w:val="00A15106"/>
    <w:rsid w:val="00A15555"/>
    <w:rsid w:val="00A15A0F"/>
    <w:rsid w:val="00A17256"/>
    <w:rsid w:val="00A1740A"/>
    <w:rsid w:val="00A17A07"/>
    <w:rsid w:val="00A17FB9"/>
    <w:rsid w:val="00A20325"/>
    <w:rsid w:val="00A20DD4"/>
    <w:rsid w:val="00A2145D"/>
    <w:rsid w:val="00A21714"/>
    <w:rsid w:val="00A21818"/>
    <w:rsid w:val="00A22246"/>
    <w:rsid w:val="00A24018"/>
    <w:rsid w:val="00A24490"/>
    <w:rsid w:val="00A24B31"/>
    <w:rsid w:val="00A25EFE"/>
    <w:rsid w:val="00A26652"/>
    <w:rsid w:val="00A27A43"/>
    <w:rsid w:val="00A30601"/>
    <w:rsid w:val="00A3246B"/>
    <w:rsid w:val="00A33015"/>
    <w:rsid w:val="00A33483"/>
    <w:rsid w:val="00A336CD"/>
    <w:rsid w:val="00A33A87"/>
    <w:rsid w:val="00A3565A"/>
    <w:rsid w:val="00A401C8"/>
    <w:rsid w:val="00A40429"/>
    <w:rsid w:val="00A40BE0"/>
    <w:rsid w:val="00A41C4B"/>
    <w:rsid w:val="00A41C65"/>
    <w:rsid w:val="00A42915"/>
    <w:rsid w:val="00A4360B"/>
    <w:rsid w:val="00A45024"/>
    <w:rsid w:val="00A4619D"/>
    <w:rsid w:val="00A469E8"/>
    <w:rsid w:val="00A46C4C"/>
    <w:rsid w:val="00A47504"/>
    <w:rsid w:val="00A475C7"/>
    <w:rsid w:val="00A50710"/>
    <w:rsid w:val="00A50CCA"/>
    <w:rsid w:val="00A520D6"/>
    <w:rsid w:val="00A52E16"/>
    <w:rsid w:val="00A5317B"/>
    <w:rsid w:val="00A53438"/>
    <w:rsid w:val="00A55104"/>
    <w:rsid w:val="00A57F3E"/>
    <w:rsid w:val="00A60194"/>
    <w:rsid w:val="00A602DD"/>
    <w:rsid w:val="00A605F4"/>
    <w:rsid w:val="00A613FC"/>
    <w:rsid w:val="00A6144C"/>
    <w:rsid w:val="00A626D1"/>
    <w:rsid w:val="00A62F51"/>
    <w:rsid w:val="00A63277"/>
    <w:rsid w:val="00A64F3F"/>
    <w:rsid w:val="00A6506A"/>
    <w:rsid w:val="00A65335"/>
    <w:rsid w:val="00A65DD6"/>
    <w:rsid w:val="00A6675D"/>
    <w:rsid w:val="00A67155"/>
    <w:rsid w:val="00A71B67"/>
    <w:rsid w:val="00A721F7"/>
    <w:rsid w:val="00A72E77"/>
    <w:rsid w:val="00A750AF"/>
    <w:rsid w:val="00A7562F"/>
    <w:rsid w:val="00A75DFE"/>
    <w:rsid w:val="00A75E06"/>
    <w:rsid w:val="00A767A2"/>
    <w:rsid w:val="00A767BD"/>
    <w:rsid w:val="00A77286"/>
    <w:rsid w:val="00A77DA0"/>
    <w:rsid w:val="00A80BE0"/>
    <w:rsid w:val="00A81694"/>
    <w:rsid w:val="00A816C5"/>
    <w:rsid w:val="00A81CCA"/>
    <w:rsid w:val="00A81E35"/>
    <w:rsid w:val="00A83364"/>
    <w:rsid w:val="00A851E0"/>
    <w:rsid w:val="00A85B37"/>
    <w:rsid w:val="00A87A37"/>
    <w:rsid w:val="00A87CBE"/>
    <w:rsid w:val="00A9084B"/>
    <w:rsid w:val="00A90BFA"/>
    <w:rsid w:val="00A919CA"/>
    <w:rsid w:val="00A934E5"/>
    <w:rsid w:val="00A937B9"/>
    <w:rsid w:val="00A93EB7"/>
    <w:rsid w:val="00A94190"/>
    <w:rsid w:val="00A94906"/>
    <w:rsid w:val="00A957A2"/>
    <w:rsid w:val="00A95DC4"/>
    <w:rsid w:val="00A96526"/>
    <w:rsid w:val="00A967AA"/>
    <w:rsid w:val="00A96A75"/>
    <w:rsid w:val="00A97FAC"/>
    <w:rsid w:val="00AA0B0F"/>
    <w:rsid w:val="00AA124D"/>
    <w:rsid w:val="00AA26EE"/>
    <w:rsid w:val="00AA2D89"/>
    <w:rsid w:val="00AA389A"/>
    <w:rsid w:val="00AA5228"/>
    <w:rsid w:val="00AA547E"/>
    <w:rsid w:val="00AA6ED3"/>
    <w:rsid w:val="00AA78C2"/>
    <w:rsid w:val="00AA7EA3"/>
    <w:rsid w:val="00AB4253"/>
    <w:rsid w:val="00AB4354"/>
    <w:rsid w:val="00AB4A8E"/>
    <w:rsid w:val="00AB4D1E"/>
    <w:rsid w:val="00AB5919"/>
    <w:rsid w:val="00AB63AC"/>
    <w:rsid w:val="00AB7C25"/>
    <w:rsid w:val="00AC0F82"/>
    <w:rsid w:val="00AC1216"/>
    <w:rsid w:val="00AC1776"/>
    <w:rsid w:val="00AC1DC9"/>
    <w:rsid w:val="00AC2761"/>
    <w:rsid w:val="00AC38B1"/>
    <w:rsid w:val="00AC3A99"/>
    <w:rsid w:val="00AC3D80"/>
    <w:rsid w:val="00AC4180"/>
    <w:rsid w:val="00AC5635"/>
    <w:rsid w:val="00AC5A2E"/>
    <w:rsid w:val="00AC5DF4"/>
    <w:rsid w:val="00AC7965"/>
    <w:rsid w:val="00AD07F4"/>
    <w:rsid w:val="00AD0AC3"/>
    <w:rsid w:val="00AD0D9E"/>
    <w:rsid w:val="00AD1426"/>
    <w:rsid w:val="00AD2044"/>
    <w:rsid w:val="00AD26A2"/>
    <w:rsid w:val="00AD310B"/>
    <w:rsid w:val="00AD6035"/>
    <w:rsid w:val="00AD6D53"/>
    <w:rsid w:val="00AD73FB"/>
    <w:rsid w:val="00AE0E6B"/>
    <w:rsid w:val="00AE0EF5"/>
    <w:rsid w:val="00AE3706"/>
    <w:rsid w:val="00AE39E2"/>
    <w:rsid w:val="00AE3D79"/>
    <w:rsid w:val="00AE43DF"/>
    <w:rsid w:val="00AE6779"/>
    <w:rsid w:val="00AE7249"/>
    <w:rsid w:val="00AE7407"/>
    <w:rsid w:val="00AF0063"/>
    <w:rsid w:val="00AF1924"/>
    <w:rsid w:val="00AF1DA6"/>
    <w:rsid w:val="00AF1EA9"/>
    <w:rsid w:val="00AF21B0"/>
    <w:rsid w:val="00AF3D81"/>
    <w:rsid w:val="00AF4B23"/>
    <w:rsid w:val="00AF4C9A"/>
    <w:rsid w:val="00AF4F15"/>
    <w:rsid w:val="00AF5954"/>
    <w:rsid w:val="00AF6068"/>
    <w:rsid w:val="00AF6284"/>
    <w:rsid w:val="00AF63EF"/>
    <w:rsid w:val="00AF6E4F"/>
    <w:rsid w:val="00B000AC"/>
    <w:rsid w:val="00B00157"/>
    <w:rsid w:val="00B01949"/>
    <w:rsid w:val="00B01A4D"/>
    <w:rsid w:val="00B03403"/>
    <w:rsid w:val="00B04044"/>
    <w:rsid w:val="00B0452D"/>
    <w:rsid w:val="00B046E8"/>
    <w:rsid w:val="00B049F1"/>
    <w:rsid w:val="00B04DC8"/>
    <w:rsid w:val="00B06332"/>
    <w:rsid w:val="00B06507"/>
    <w:rsid w:val="00B069BD"/>
    <w:rsid w:val="00B06BCD"/>
    <w:rsid w:val="00B10F52"/>
    <w:rsid w:val="00B11295"/>
    <w:rsid w:val="00B12087"/>
    <w:rsid w:val="00B12614"/>
    <w:rsid w:val="00B12C57"/>
    <w:rsid w:val="00B144EB"/>
    <w:rsid w:val="00B1482B"/>
    <w:rsid w:val="00B14A07"/>
    <w:rsid w:val="00B14B9C"/>
    <w:rsid w:val="00B14BCC"/>
    <w:rsid w:val="00B1548F"/>
    <w:rsid w:val="00B1619B"/>
    <w:rsid w:val="00B175F7"/>
    <w:rsid w:val="00B1788D"/>
    <w:rsid w:val="00B17FB8"/>
    <w:rsid w:val="00B2048F"/>
    <w:rsid w:val="00B21313"/>
    <w:rsid w:val="00B21759"/>
    <w:rsid w:val="00B217F3"/>
    <w:rsid w:val="00B22E81"/>
    <w:rsid w:val="00B23A47"/>
    <w:rsid w:val="00B23CFA"/>
    <w:rsid w:val="00B261FE"/>
    <w:rsid w:val="00B26282"/>
    <w:rsid w:val="00B27BA9"/>
    <w:rsid w:val="00B30A09"/>
    <w:rsid w:val="00B31610"/>
    <w:rsid w:val="00B31DFD"/>
    <w:rsid w:val="00B32924"/>
    <w:rsid w:val="00B32DF7"/>
    <w:rsid w:val="00B341A5"/>
    <w:rsid w:val="00B34877"/>
    <w:rsid w:val="00B34A65"/>
    <w:rsid w:val="00B34DDF"/>
    <w:rsid w:val="00B34EE2"/>
    <w:rsid w:val="00B34F64"/>
    <w:rsid w:val="00B352BE"/>
    <w:rsid w:val="00B3702A"/>
    <w:rsid w:val="00B377D0"/>
    <w:rsid w:val="00B37F91"/>
    <w:rsid w:val="00B40C01"/>
    <w:rsid w:val="00B40FAE"/>
    <w:rsid w:val="00B4132A"/>
    <w:rsid w:val="00B41843"/>
    <w:rsid w:val="00B4196F"/>
    <w:rsid w:val="00B45093"/>
    <w:rsid w:val="00B46799"/>
    <w:rsid w:val="00B470F7"/>
    <w:rsid w:val="00B47981"/>
    <w:rsid w:val="00B50666"/>
    <w:rsid w:val="00B52BB5"/>
    <w:rsid w:val="00B52DDE"/>
    <w:rsid w:val="00B52EEF"/>
    <w:rsid w:val="00B53AFC"/>
    <w:rsid w:val="00B54AF7"/>
    <w:rsid w:val="00B55CD5"/>
    <w:rsid w:val="00B56BDD"/>
    <w:rsid w:val="00B57DFB"/>
    <w:rsid w:val="00B6052F"/>
    <w:rsid w:val="00B61AE6"/>
    <w:rsid w:val="00B625EF"/>
    <w:rsid w:val="00B62928"/>
    <w:rsid w:val="00B6319F"/>
    <w:rsid w:val="00B64028"/>
    <w:rsid w:val="00B640B1"/>
    <w:rsid w:val="00B64EB9"/>
    <w:rsid w:val="00B656CB"/>
    <w:rsid w:val="00B65B4D"/>
    <w:rsid w:val="00B65FEA"/>
    <w:rsid w:val="00B6689C"/>
    <w:rsid w:val="00B67702"/>
    <w:rsid w:val="00B7063C"/>
    <w:rsid w:val="00B70AD9"/>
    <w:rsid w:val="00B71ABA"/>
    <w:rsid w:val="00B71E10"/>
    <w:rsid w:val="00B73437"/>
    <w:rsid w:val="00B74943"/>
    <w:rsid w:val="00B74E6F"/>
    <w:rsid w:val="00B775C8"/>
    <w:rsid w:val="00B779BC"/>
    <w:rsid w:val="00B80298"/>
    <w:rsid w:val="00B81EE5"/>
    <w:rsid w:val="00B8221D"/>
    <w:rsid w:val="00B83432"/>
    <w:rsid w:val="00B846AA"/>
    <w:rsid w:val="00B85456"/>
    <w:rsid w:val="00B868BC"/>
    <w:rsid w:val="00B91E28"/>
    <w:rsid w:val="00B91E61"/>
    <w:rsid w:val="00B92DB9"/>
    <w:rsid w:val="00B949B9"/>
    <w:rsid w:val="00B95974"/>
    <w:rsid w:val="00B95A4D"/>
    <w:rsid w:val="00B95ECD"/>
    <w:rsid w:val="00B96FB8"/>
    <w:rsid w:val="00BA0645"/>
    <w:rsid w:val="00BA0EAD"/>
    <w:rsid w:val="00BA17C7"/>
    <w:rsid w:val="00BA1A69"/>
    <w:rsid w:val="00BA1D8A"/>
    <w:rsid w:val="00BA3726"/>
    <w:rsid w:val="00BA469A"/>
    <w:rsid w:val="00BA4BCF"/>
    <w:rsid w:val="00BA5275"/>
    <w:rsid w:val="00BA5350"/>
    <w:rsid w:val="00BA5C81"/>
    <w:rsid w:val="00BA618B"/>
    <w:rsid w:val="00BA659C"/>
    <w:rsid w:val="00BA6CED"/>
    <w:rsid w:val="00BA6F38"/>
    <w:rsid w:val="00BA7574"/>
    <w:rsid w:val="00BB0F09"/>
    <w:rsid w:val="00BB12B2"/>
    <w:rsid w:val="00BB4345"/>
    <w:rsid w:val="00BB4749"/>
    <w:rsid w:val="00BB4A35"/>
    <w:rsid w:val="00BB5C38"/>
    <w:rsid w:val="00BB5F31"/>
    <w:rsid w:val="00BB5FA3"/>
    <w:rsid w:val="00BB62FD"/>
    <w:rsid w:val="00BB75D4"/>
    <w:rsid w:val="00BC04C7"/>
    <w:rsid w:val="00BC0A7E"/>
    <w:rsid w:val="00BC0C85"/>
    <w:rsid w:val="00BC20DA"/>
    <w:rsid w:val="00BC2C00"/>
    <w:rsid w:val="00BC31A6"/>
    <w:rsid w:val="00BC42A6"/>
    <w:rsid w:val="00BC522F"/>
    <w:rsid w:val="00BC5867"/>
    <w:rsid w:val="00BC64A9"/>
    <w:rsid w:val="00BC66D2"/>
    <w:rsid w:val="00BC70A3"/>
    <w:rsid w:val="00BC7E4D"/>
    <w:rsid w:val="00BD01CD"/>
    <w:rsid w:val="00BD12D3"/>
    <w:rsid w:val="00BD1310"/>
    <w:rsid w:val="00BD1745"/>
    <w:rsid w:val="00BD2280"/>
    <w:rsid w:val="00BD29A8"/>
    <w:rsid w:val="00BD2D7F"/>
    <w:rsid w:val="00BD397C"/>
    <w:rsid w:val="00BD4B39"/>
    <w:rsid w:val="00BD4E3E"/>
    <w:rsid w:val="00BD5F1B"/>
    <w:rsid w:val="00BD60FB"/>
    <w:rsid w:val="00BD6BEE"/>
    <w:rsid w:val="00BE0C72"/>
    <w:rsid w:val="00BE1CC2"/>
    <w:rsid w:val="00BE1CDE"/>
    <w:rsid w:val="00BE235A"/>
    <w:rsid w:val="00BE3DA9"/>
    <w:rsid w:val="00BE3DD7"/>
    <w:rsid w:val="00BE6796"/>
    <w:rsid w:val="00BE77DA"/>
    <w:rsid w:val="00BE79AA"/>
    <w:rsid w:val="00BE7F4F"/>
    <w:rsid w:val="00BF0DB8"/>
    <w:rsid w:val="00BF24C2"/>
    <w:rsid w:val="00BF29AE"/>
    <w:rsid w:val="00BF3E4B"/>
    <w:rsid w:val="00BF4046"/>
    <w:rsid w:val="00BF49F1"/>
    <w:rsid w:val="00BF4E33"/>
    <w:rsid w:val="00BF5CAD"/>
    <w:rsid w:val="00BF6983"/>
    <w:rsid w:val="00BF79EC"/>
    <w:rsid w:val="00BF7DB1"/>
    <w:rsid w:val="00C000CC"/>
    <w:rsid w:val="00C00158"/>
    <w:rsid w:val="00C0091C"/>
    <w:rsid w:val="00C00ACE"/>
    <w:rsid w:val="00C017FE"/>
    <w:rsid w:val="00C01E3F"/>
    <w:rsid w:val="00C02256"/>
    <w:rsid w:val="00C02712"/>
    <w:rsid w:val="00C032D3"/>
    <w:rsid w:val="00C04852"/>
    <w:rsid w:val="00C06303"/>
    <w:rsid w:val="00C06C18"/>
    <w:rsid w:val="00C10712"/>
    <w:rsid w:val="00C10A14"/>
    <w:rsid w:val="00C10BF8"/>
    <w:rsid w:val="00C120FA"/>
    <w:rsid w:val="00C12E71"/>
    <w:rsid w:val="00C13B16"/>
    <w:rsid w:val="00C13E8F"/>
    <w:rsid w:val="00C14BDF"/>
    <w:rsid w:val="00C14F18"/>
    <w:rsid w:val="00C16148"/>
    <w:rsid w:val="00C1667B"/>
    <w:rsid w:val="00C16F01"/>
    <w:rsid w:val="00C17031"/>
    <w:rsid w:val="00C2071D"/>
    <w:rsid w:val="00C20919"/>
    <w:rsid w:val="00C2153D"/>
    <w:rsid w:val="00C22D5A"/>
    <w:rsid w:val="00C22DBB"/>
    <w:rsid w:val="00C245C1"/>
    <w:rsid w:val="00C251A1"/>
    <w:rsid w:val="00C260E9"/>
    <w:rsid w:val="00C261E1"/>
    <w:rsid w:val="00C26578"/>
    <w:rsid w:val="00C265B0"/>
    <w:rsid w:val="00C3078E"/>
    <w:rsid w:val="00C30A65"/>
    <w:rsid w:val="00C310D3"/>
    <w:rsid w:val="00C31CEC"/>
    <w:rsid w:val="00C32DCB"/>
    <w:rsid w:val="00C32FFC"/>
    <w:rsid w:val="00C33C70"/>
    <w:rsid w:val="00C33CF9"/>
    <w:rsid w:val="00C33FDE"/>
    <w:rsid w:val="00C34A0D"/>
    <w:rsid w:val="00C3515F"/>
    <w:rsid w:val="00C354D0"/>
    <w:rsid w:val="00C3648F"/>
    <w:rsid w:val="00C36641"/>
    <w:rsid w:val="00C36D06"/>
    <w:rsid w:val="00C37673"/>
    <w:rsid w:val="00C40425"/>
    <w:rsid w:val="00C409EC"/>
    <w:rsid w:val="00C416AF"/>
    <w:rsid w:val="00C41876"/>
    <w:rsid w:val="00C4275B"/>
    <w:rsid w:val="00C42B54"/>
    <w:rsid w:val="00C42CCE"/>
    <w:rsid w:val="00C4364C"/>
    <w:rsid w:val="00C4492A"/>
    <w:rsid w:val="00C44A60"/>
    <w:rsid w:val="00C45B45"/>
    <w:rsid w:val="00C46AB4"/>
    <w:rsid w:val="00C46B08"/>
    <w:rsid w:val="00C4729A"/>
    <w:rsid w:val="00C47D44"/>
    <w:rsid w:val="00C50D01"/>
    <w:rsid w:val="00C50DE4"/>
    <w:rsid w:val="00C53752"/>
    <w:rsid w:val="00C53976"/>
    <w:rsid w:val="00C53B3B"/>
    <w:rsid w:val="00C55992"/>
    <w:rsid w:val="00C57012"/>
    <w:rsid w:val="00C605DE"/>
    <w:rsid w:val="00C60F58"/>
    <w:rsid w:val="00C6129C"/>
    <w:rsid w:val="00C61530"/>
    <w:rsid w:val="00C62EFA"/>
    <w:rsid w:val="00C63714"/>
    <w:rsid w:val="00C64FF8"/>
    <w:rsid w:val="00C658F0"/>
    <w:rsid w:val="00C65BFD"/>
    <w:rsid w:val="00C661F8"/>
    <w:rsid w:val="00C663D2"/>
    <w:rsid w:val="00C66B3D"/>
    <w:rsid w:val="00C66EC3"/>
    <w:rsid w:val="00C66F06"/>
    <w:rsid w:val="00C67F7E"/>
    <w:rsid w:val="00C67FC9"/>
    <w:rsid w:val="00C70F41"/>
    <w:rsid w:val="00C724CB"/>
    <w:rsid w:val="00C74584"/>
    <w:rsid w:val="00C74895"/>
    <w:rsid w:val="00C74D86"/>
    <w:rsid w:val="00C76C84"/>
    <w:rsid w:val="00C80E41"/>
    <w:rsid w:val="00C8299F"/>
    <w:rsid w:val="00C83354"/>
    <w:rsid w:val="00C8373A"/>
    <w:rsid w:val="00C839E8"/>
    <w:rsid w:val="00C83F61"/>
    <w:rsid w:val="00C83F91"/>
    <w:rsid w:val="00C8455D"/>
    <w:rsid w:val="00C84AF0"/>
    <w:rsid w:val="00C87B47"/>
    <w:rsid w:val="00C90B85"/>
    <w:rsid w:val="00C94172"/>
    <w:rsid w:val="00C9545B"/>
    <w:rsid w:val="00C95EE5"/>
    <w:rsid w:val="00C9723E"/>
    <w:rsid w:val="00C97272"/>
    <w:rsid w:val="00CA0543"/>
    <w:rsid w:val="00CA0672"/>
    <w:rsid w:val="00CA1339"/>
    <w:rsid w:val="00CA15A4"/>
    <w:rsid w:val="00CA1FCA"/>
    <w:rsid w:val="00CA204A"/>
    <w:rsid w:val="00CA28C8"/>
    <w:rsid w:val="00CA2F8C"/>
    <w:rsid w:val="00CA3543"/>
    <w:rsid w:val="00CA3F1C"/>
    <w:rsid w:val="00CA5CFF"/>
    <w:rsid w:val="00CA65E7"/>
    <w:rsid w:val="00CA6C1C"/>
    <w:rsid w:val="00CA774C"/>
    <w:rsid w:val="00CA7CF4"/>
    <w:rsid w:val="00CB0512"/>
    <w:rsid w:val="00CB0EE6"/>
    <w:rsid w:val="00CB1BD7"/>
    <w:rsid w:val="00CB4DB4"/>
    <w:rsid w:val="00CB58BE"/>
    <w:rsid w:val="00CB5F67"/>
    <w:rsid w:val="00CC05FD"/>
    <w:rsid w:val="00CC17EB"/>
    <w:rsid w:val="00CC24A7"/>
    <w:rsid w:val="00CC41B2"/>
    <w:rsid w:val="00CC503D"/>
    <w:rsid w:val="00CC5615"/>
    <w:rsid w:val="00CC66EB"/>
    <w:rsid w:val="00CC6D84"/>
    <w:rsid w:val="00CC7C8A"/>
    <w:rsid w:val="00CC7EF8"/>
    <w:rsid w:val="00CD19CC"/>
    <w:rsid w:val="00CD1CD9"/>
    <w:rsid w:val="00CD4609"/>
    <w:rsid w:val="00CD4855"/>
    <w:rsid w:val="00CD5664"/>
    <w:rsid w:val="00CD703E"/>
    <w:rsid w:val="00CD728B"/>
    <w:rsid w:val="00CD74C1"/>
    <w:rsid w:val="00CD7C9A"/>
    <w:rsid w:val="00CE009D"/>
    <w:rsid w:val="00CE010F"/>
    <w:rsid w:val="00CE06CB"/>
    <w:rsid w:val="00CE10B4"/>
    <w:rsid w:val="00CE2BEA"/>
    <w:rsid w:val="00CE2C5D"/>
    <w:rsid w:val="00CE3166"/>
    <w:rsid w:val="00CE458E"/>
    <w:rsid w:val="00CE47B3"/>
    <w:rsid w:val="00CE4A47"/>
    <w:rsid w:val="00CE55F5"/>
    <w:rsid w:val="00CE568B"/>
    <w:rsid w:val="00CE5DE3"/>
    <w:rsid w:val="00CE60F1"/>
    <w:rsid w:val="00CE6D31"/>
    <w:rsid w:val="00CE7401"/>
    <w:rsid w:val="00CE7572"/>
    <w:rsid w:val="00CF22F2"/>
    <w:rsid w:val="00CF2FDF"/>
    <w:rsid w:val="00CF30A7"/>
    <w:rsid w:val="00CF3860"/>
    <w:rsid w:val="00CF3EE2"/>
    <w:rsid w:val="00CF465A"/>
    <w:rsid w:val="00CF5391"/>
    <w:rsid w:val="00CF5A4B"/>
    <w:rsid w:val="00CF5CFB"/>
    <w:rsid w:val="00D02527"/>
    <w:rsid w:val="00D030CD"/>
    <w:rsid w:val="00D0352B"/>
    <w:rsid w:val="00D04A75"/>
    <w:rsid w:val="00D05C00"/>
    <w:rsid w:val="00D0744E"/>
    <w:rsid w:val="00D1087F"/>
    <w:rsid w:val="00D11556"/>
    <w:rsid w:val="00D12034"/>
    <w:rsid w:val="00D12BC8"/>
    <w:rsid w:val="00D14BBA"/>
    <w:rsid w:val="00D152C8"/>
    <w:rsid w:val="00D169D1"/>
    <w:rsid w:val="00D1701F"/>
    <w:rsid w:val="00D20596"/>
    <w:rsid w:val="00D20863"/>
    <w:rsid w:val="00D209CD"/>
    <w:rsid w:val="00D20A67"/>
    <w:rsid w:val="00D224D0"/>
    <w:rsid w:val="00D22856"/>
    <w:rsid w:val="00D23063"/>
    <w:rsid w:val="00D234BC"/>
    <w:rsid w:val="00D239C1"/>
    <w:rsid w:val="00D240B3"/>
    <w:rsid w:val="00D242A9"/>
    <w:rsid w:val="00D243B8"/>
    <w:rsid w:val="00D245EF"/>
    <w:rsid w:val="00D248F0"/>
    <w:rsid w:val="00D25C5B"/>
    <w:rsid w:val="00D26616"/>
    <w:rsid w:val="00D2690A"/>
    <w:rsid w:val="00D26DDF"/>
    <w:rsid w:val="00D27D9A"/>
    <w:rsid w:val="00D3293A"/>
    <w:rsid w:val="00D33296"/>
    <w:rsid w:val="00D34522"/>
    <w:rsid w:val="00D347A5"/>
    <w:rsid w:val="00D35DF6"/>
    <w:rsid w:val="00D36A1C"/>
    <w:rsid w:val="00D37193"/>
    <w:rsid w:val="00D37732"/>
    <w:rsid w:val="00D37A61"/>
    <w:rsid w:val="00D40169"/>
    <w:rsid w:val="00D404CA"/>
    <w:rsid w:val="00D40555"/>
    <w:rsid w:val="00D40DE1"/>
    <w:rsid w:val="00D415E5"/>
    <w:rsid w:val="00D41E0F"/>
    <w:rsid w:val="00D41EB0"/>
    <w:rsid w:val="00D431F7"/>
    <w:rsid w:val="00D43CC3"/>
    <w:rsid w:val="00D45B5E"/>
    <w:rsid w:val="00D45BFA"/>
    <w:rsid w:val="00D46302"/>
    <w:rsid w:val="00D475D9"/>
    <w:rsid w:val="00D47B9E"/>
    <w:rsid w:val="00D50F8F"/>
    <w:rsid w:val="00D51064"/>
    <w:rsid w:val="00D53752"/>
    <w:rsid w:val="00D54376"/>
    <w:rsid w:val="00D550A4"/>
    <w:rsid w:val="00D55106"/>
    <w:rsid w:val="00D55514"/>
    <w:rsid w:val="00D56CF5"/>
    <w:rsid w:val="00D604CD"/>
    <w:rsid w:val="00D61197"/>
    <w:rsid w:val="00D61768"/>
    <w:rsid w:val="00D622A1"/>
    <w:rsid w:val="00D63853"/>
    <w:rsid w:val="00D63F13"/>
    <w:rsid w:val="00D654F6"/>
    <w:rsid w:val="00D65855"/>
    <w:rsid w:val="00D65A1E"/>
    <w:rsid w:val="00D667DC"/>
    <w:rsid w:val="00D66998"/>
    <w:rsid w:val="00D70C49"/>
    <w:rsid w:val="00D7202A"/>
    <w:rsid w:val="00D72E36"/>
    <w:rsid w:val="00D732AB"/>
    <w:rsid w:val="00D73598"/>
    <w:rsid w:val="00D735D5"/>
    <w:rsid w:val="00D73B18"/>
    <w:rsid w:val="00D73C7C"/>
    <w:rsid w:val="00D74158"/>
    <w:rsid w:val="00D7627E"/>
    <w:rsid w:val="00D765BB"/>
    <w:rsid w:val="00D76A88"/>
    <w:rsid w:val="00D76E03"/>
    <w:rsid w:val="00D80777"/>
    <w:rsid w:val="00D80CD2"/>
    <w:rsid w:val="00D829A0"/>
    <w:rsid w:val="00D82B8B"/>
    <w:rsid w:val="00D836C0"/>
    <w:rsid w:val="00D844DB"/>
    <w:rsid w:val="00D84BC1"/>
    <w:rsid w:val="00D85122"/>
    <w:rsid w:val="00D8682A"/>
    <w:rsid w:val="00D87E89"/>
    <w:rsid w:val="00D900B9"/>
    <w:rsid w:val="00D91717"/>
    <w:rsid w:val="00D928AA"/>
    <w:rsid w:val="00D9317C"/>
    <w:rsid w:val="00D949C7"/>
    <w:rsid w:val="00D95435"/>
    <w:rsid w:val="00D96640"/>
    <w:rsid w:val="00D969C9"/>
    <w:rsid w:val="00D97AB8"/>
    <w:rsid w:val="00DA010F"/>
    <w:rsid w:val="00DA025E"/>
    <w:rsid w:val="00DA309E"/>
    <w:rsid w:val="00DA3385"/>
    <w:rsid w:val="00DA446B"/>
    <w:rsid w:val="00DA5336"/>
    <w:rsid w:val="00DA5F3A"/>
    <w:rsid w:val="00DA6596"/>
    <w:rsid w:val="00DA6743"/>
    <w:rsid w:val="00DA68B2"/>
    <w:rsid w:val="00DA7725"/>
    <w:rsid w:val="00DA7C24"/>
    <w:rsid w:val="00DB0407"/>
    <w:rsid w:val="00DB058F"/>
    <w:rsid w:val="00DB107C"/>
    <w:rsid w:val="00DB2280"/>
    <w:rsid w:val="00DB2369"/>
    <w:rsid w:val="00DB2649"/>
    <w:rsid w:val="00DB38F4"/>
    <w:rsid w:val="00DB3A01"/>
    <w:rsid w:val="00DB4639"/>
    <w:rsid w:val="00DB4D95"/>
    <w:rsid w:val="00DB512E"/>
    <w:rsid w:val="00DB7B9C"/>
    <w:rsid w:val="00DB7D40"/>
    <w:rsid w:val="00DB7DBA"/>
    <w:rsid w:val="00DB7FDE"/>
    <w:rsid w:val="00DC0352"/>
    <w:rsid w:val="00DC1501"/>
    <w:rsid w:val="00DC1CFD"/>
    <w:rsid w:val="00DC1EF7"/>
    <w:rsid w:val="00DC251B"/>
    <w:rsid w:val="00DC2648"/>
    <w:rsid w:val="00DC5F25"/>
    <w:rsid w:val="00DC6076"/>
    <w:rsid w:val="00DC648F"/>
    <w:rsid w:val="00DC7AA0"/>
    <w:rsid w:val="00DC7DA4"/>
    <w:rsid w:val="00DD0F46"/>
    <w:rsid w:val="00DD1009"/>
    <w:rsid w:val="00DD22E6"/>
    <w:rsid w:val="00DD23BF"/>
    <w:rsid w:val="00DD2840"/>
    <w:rsid w:val="00DD453B"/>
    <w:rsid w:val="00DD52F6"/>
    <w:rsid w:val="00DD568F"/>
    <w:rsid w:val="00DD5AF1"/>
    <w:rsid w:val="00DD60ED"/>
    <w:rsid w:val="00DD6514"/>
    <w:rsid w:val="00DD7AA7"/>
    <w:rsid w:val="00DD7B2D"/>
    <w:rsid w:val="00DD7B56"/>
    <w:rsid w:val="00DE293C"/>
    <w:rsid w:val="00DE37BD"/>
    <w:rsid w:val="00DE42EC"/>
    <w:rsid w:val="00DE5363"/>
    <w:rsid w:val="00DE6183"/>
    <w:rsid w:val="00DE6A36"/>
    <w:rsid w:val="00DE6C96"/>
    <w:rsid w:val="00DE6CDD"/>
    <w:rsid w:val="00DE6E60"/>
    <w:rsid w:val="00DE7F50"/>
    <w:rsid w:val="00DF06BC"/>
    <w:rsid w:val="00DF1920"/>
    <w:rsid w:val="00DF1A5F"/>
    <w:rsid w:val="00DF1CA0"/>
    <w:rsid w:val="00DF20D1"/>
    <w:rsid w:val="00DF2C7F"/>
    <w:rsid w:val="00DF3A29"/>
    <w:rsid w:val="00DF52C1"/>
    <w:rsid w:val="00DF5DD8"/>
    <w:rsid w:val="00DF6309"/>
    <w:rsid w:val="00DF63E9"/>
    <w:rsid w:val="00DF7510"/>
    <w:rsid w:val="00E0087D"/>
    <w:rsid w:val="00E00D11"/>
    <w:rsid w:val="00E00F1B"/>
    <w:rsid w:val="00E02038"/>
    <w:rsid w:val="00E030EF"/>
    <w:rsid w:val="00E03808"/>
    <w:rsid w:val="00E04A5D"/>
    <w:rsid w:val="00E04F27"/>
    <w:rsid w:val="00E053DC"/>
    <w:rsid w:val="00E101D3"/>
    <w:rsid w:val="00E10676"/>
    <w:rsid w:val="00E10F99"/>
    <w:rsid w:val="00E11D51"/>
    <w:rsid w:val="00E12ACB"/>
    <w:rsid w:val="00E12E11"/>
    <w:rsid w:val="00E139E5"/>
    <w:rsid w:val="00E13AC9"/>
    <w:rsid w:val="00E13DED"/>
    <w:rsid w:val="00E14747"/>
    <w:rsid w:val="00E1495E"/>
    <w:rsid w:val="00E165C6"/>
    <w:rsid w:val="00E17772"/>
    <w:rsid w:val="00E204E1"/>
    <w:rsid w:val="00E20AEC"/>
    <w:rsid w:val="00E22C24"/>
    <w:rsid w:val="00E245DF"/>
    <w:rsid w:val="00E24F95"/>
    <w:rsid w:val="00E24FD7"/>
    <w:rsid w:val="00E262D3"/>
    <w:rsid w:val="00E2693C"/>
    <w:rsid w:val="00E27DFB"/>
    <w:rsid w:val="00E3070A"/>
    <w:rsid w:val="00E307A2"/>
    <w:rsid w:val="00E31611"/>
    <w:rsid w:val="00E343FA"/>
    <w:rsid w:val="00E34964"/>
    <w:rsid w:val="00E369BB"/>
    <w:rsid w:val="00E400FC"/>
    <w:rsid w:val="00E41B1F"/>
    <w:rsid w:val="00E42509"/>
    <w:rsid w:val="00E42C2E"/>
    <w:rsid w:val="00E42E1C"/>
    <w:rsid w:val="00E4316B"/>
    <w:rsid w:val="00E43276"/>
    <w:rsid w:val="00E438CC"/>
    <w:rsid w:val="00E43CD4"/>
    <w:rsid w:val="00E43FAC"/>
    <w:rsid w:val="00E448AD"/>
    <w:rsid w:val="00E44C2A"/>
    <w:rsid w:val="00E450C9"/>
    <w:rsid w:val="00E456AC"/>
    <w:rsid w:val="00E457DD"/>
    <w:rsid w:val="00E45D2E"/>
    <w:rsid w:val="00E474CE"/>
    <w:rsid w:val="00E50287"/>
    <w:rsid w:val="00E504AA"/>
    <w:rsid w:val="00E511CD"/>
    <w:rsid w:val="00E5124A"/>
    <w:rsid w:val="00E5149A"/>
    <w:rsid w:val="00E51DFC"/>
    <w:rsid w:val="00E51F5A"/>
    <w:rsid w:val="00E53D28"/>
    <w:rsid w:val="00E5490C"/>
    <w:rsid w:val="00E554DC"/>
    <w:rsid w:val="00E5638C"/>
    <w:rsid w:val="00E5763B"/>
    <w:rsid w:val="00E6025B"/>
    <w:rsid w:val="00E60E05"/>
    <w:rsid w:val="00E619F2"/>
    <w:rsid w:val="00E61B2A"/>
    <w:rsid w:val="00E61E8A"/>
    <w:rsid w:val="00E61EA9"/>
    <w:rsid w:val="00E61F9D"/>
    <w:rsid w:val="00E6222D"/>
    <w:rsid w:val="00E63597"/>
    <w:rsid w:val="00E639AC"/>
    <w:rsid w:val="00E648D9"/>
    <w:rsid w:val="00E64D43"/>
    <w:rsid w:val="00E651AD"/>
    <w:rsid w:val="00E65DBE"/>
    <w:rsid w:val="00E66C09"/>
    <w:rsid w:val="00E6781D"/>
    <w:rsid w:val="00E7019B"/>
    <w:rsid w:val="00E704EF"/>
    <w:rsid w:val="00E71A88"/>
    <w:rsid w:val="00E71CE1"/>
    <w:rsid w:val="00E72451"/>
    <w:rsid w:val="00E744C4"/>
    <w:rsid w:val="00E7464E"/>
    <w:rsid w:val="00E746D8"/>
    <w:rsid w:val="00E75AFF"/>
    <w:rsid w:val="00E765A8"/>
    <w:rsid w:val="00E76766"/>
    <w:rsid w:val="00E76FB3"/>
    <w:rsid w:val="00E77CA5"/>
    <w:rsid w:val="00E811B3"/>
    <w:rsid w:val="00E81C8C"/>
    <w:rsid w:val="00E8279D"/>
    <w:rsid w:val="00E82B11"/>
    <w:rsid w:val="00E82CE3"/>
    <w:rsid w:val="00E85560"/>
    <w:rsid w:val="00E85ACD"/>
    <w:rsid w:val="00E861E9"/>
    <w:rsid w:val="00E862E0"/>
    <w:rsid w:val="00E86F3C"/>
    <w:rsid w:val="00E87025"/>
    <w:rsid w:val="00E87905"/>
    <w:rsid w:val="00E87DCB"/>
    <w:rsid w:val="00E91777"/>
    <w:rsid w:val="00E94DD8"/>
    <w:rsid w:val="00E95485"/>
    <w:rsid w:val="00E95D3A"/>
    <w:rsid w:val="00E95F35"/>
    <w:rsid w:val="00E9603C"/>
    <w:rsid w:val="00E96CE9"/>
    <w:rsid w:val="00E96FDA"/>
    <w:rsid w:val="00EA056F"/>
    <w:rsid w:val="00EA26B2"/>
    <w:rsid w:val="00EA2AAE"/>
    <w:rsid w:val="00EA3083"/>
    <w:rsid w:val="00EA3845"/>
    <w:rsid w:val="00EA4055"/>
    <w:rsid w:val="00EA44C7"/>
    <w:rsid w:val="00EA5897"/>
    <w:rsid w:val="00EA5C6E"/>
    <w:rsid w:val="00EA709D"/>
    <w:rsid w:val="00EA78B3"/>
    <w:rsid w:val="00EB03D1"/>
    <w:rsid w:val="00EB0FE1"/>
    <w:rsid w:val="00EB131E"/>
    <w:rsid w:val="00EB1572"/>
    <w:rsid w:val="00EB1D43"/>
    <w:rsid w:val="00EB2409"/>
    <w:rsid w:val="00EB3061"/>
    <w:rsid w:val="00EB3871"/>
    <w:rsid w:val="00EB3F2C"/>
    <w:rsid w:val="00EB464C"/>
    <w:rsid w:val="00EB6484"/>
    <w:rsid w:val="00EB65EF"/>
    <w:rsid w:val="00EB7850"/>
    <w:rsid w:val="00EC036A"/>
    <w:rsid w:val="00EC0462"/>
    <w:rsid w:val="00EC13D8"/>
    <w:rsid w:val="00EC1AAE"/>
    <w:rsid w:val="00EC2626"/>
    <w:rsid w:val="00EC3351"/>
    <w:rsid w:val="00EC4821"/>
    <w:rsid w:val="00EC4A23"/>
    <w:rsid w:val="00EC56EE"/>
    <w:rsid w:val="00EC5E11"/>
    <w:rsid w:val="00EC5E24"/>
    <w:rsid w:val="00EC7038"/>
    <w:rsid w:val="00EC706E"/>
    <w:rsid w:val="00ED0188"/>
    <w:rsid w:val="00ED0243"/>
    <w:rsid w:val="00ED0325"/>
    <w:rsid w:val="00ED17B0"/>
    <w:rsid w:val="00ED262D"/>
    <w:rsid w:val="00ED4A05"/>
    <w:rsid w:val="00ED58D7"/>
    <w:rsid w:val="00ED5B25"/>
    <w:rsid w:val="00ED5FB0"/>
    <w:rsid w:val="00ED6A94"/>
    <w:rsid w:val="00ED7355"/>
    <w:rsid w:val="00ED7C07"/>
    <w:rsid w:val="00EE065A"/>
    <w:rsid w:val="00EE0B32"/>
    <w:rsid w:val="00EE1A61"/>
    <w:rsid w:val="00EE1C37"/>
    <w:rsid w:val="00EE1CFD"/>
    <w:rsid w:val="00EE2D69"/>
    <w:rsid w:val="00EE3735"/>
    <w:rsid w:val="00EE38FD"/>
    <w:rsid w:val="00EE4334"/>
    <w:rsid w:val="00EE449E"/>
    <w:rsid w:val="00EE4E07"/>
    <w:rsid w:val="00EE53DD"/>
    <w:rsid w:val="00EE54C5"/>
    <w:rsid w:val="00EE6621"/>
    <w:rsid w:val="00EE66EC"/>
    <w:rsid w:val="00EE699E"/>
    <w:rsid w:val="00EE6C49"/>
    <w:rsid w:val="00EE73DF"/>
    <w:rsid w:val="00EE77FA"/>
    <w:rsid w:val="00EE7831"/>
    <w:rsid w:val="00EE79B5"/>
    <w:rsid w:val="00EF01A2"/>
    <w:rsid w:val="00EF2356"/>
    <w:rsid w:val="00EF42AC"/>
    <w:rsid w:val="00EF4E97"/>
    <w:rsid w:val="00EF5C05"/>
    <w:rsid w:val="00EF7A46"/>
    <w:rsid w:val="00EF7C58"/>
    <w:rsid w:val="00F00165"/>
    <w:rsid w:val="00F00190"/>
    <w:rsid w:val="00F01B58"/>
    <w:rsid w:val="00F02621"/>
    <w:rsid w:val="00F03100"/>
    <w:rsid w:val="00F03865"/>
    <w:rsid w:val="00F0427D"/>
    <w:rsid w:val="00F042AC"/>
    <w:rsid w:val="00F04B41"/>
    <w:rsid w:val="00F05648"/>
    <w:rsid w:val="00F0578C"/>
    <w:rsid w:val="00F068A2"/>
    <w:rsid w:val="00F079A1"/>
    <w:rsid w:val="00F07B18"/>
    <w:rsid w:val="00F11074"/>
    <w:rsid w:val="00F12990"/>
    <w:rsid w:val="00F13125"/>
    <w:rsid w:val="00F14FB4"/>
    <w:rsid w:val="00F15363"/>
    <w:rsid w:val="00F15566"/>
    <w:rsid w:val="00F15F98"/>
    <w:rsid w:val="00F15FB3"/>
    <w:rsid w:val="00F16322"/>
    <w:rsid w:val="00F1692A"/>
    <w:rsid w:val="00F16CD4"/>
    <w:rsid w:val="00F175CB"/>
    <w:rsid w:val="00F17F08"/>
    <w:rsid w:val="00F20446"/>
    <w:rsid w:val="00F20DE9"/>
    <w:rsid w:val="00F21CA1"/>
    <w:rsid w:val="00F2287A"/>
    <w:rsid w:val="00F22B7B"/>
    <w:rsid w:val="00F22CE5"/>
    <w:rsid w:val="00F22D8D"/>
    <w:rsid w:val="00F2478D"/>
    <w:rsid w:val="00F25B52"/>
    <w:rsid w:val="00F2606E"/>
    <w:rsid w:val="00F26439"/>
    <w:rsid w:val="00F26FC0"/>
    <w:rsid w:val="00F30324"/>
    <w:rsid w:val="00F3044C"/>
    <w:rsid w:val="00F3122E"/>
    <w:rsid w:val="00F31890"/>
    <w:rsid w:val="00F3195A"/>
    <w:rsid w:val="00F31BEC"/>
    <w:rsid w:val="00F3277F"/>
    <w:rsid w:val="00F32C34"/>
    <w:rsid w:val="00F32D0B"/>
    <w:rsid w:val="00F3330D"/>
    <w:rsid w:val="00F3362F"/>
    <w:rsid w:val="00F34047"/>
    <w:rsid w:val="00F348A1"/>
    <w:rsid w:val="00F35191"/>
    <w:rsid w:val="00F35196"/>
    <w:rsid w:val="00F35E10"/>
    <w:rsid w:val="00F36755"/>
    <w:rsid w:val="00F36B86"/>
    <w:rsid w:val="00F37A09"/>
    <w:rsid w:val="00F413F7"/>
    <w:rsid w:val="00F41529"/>
    <w:rsid w:val="00F4314C"/>
    <w:rsid w:val="00F43966"/>
    <w:rsid w:val="00F44069"/>
    <w:rsid w:val="00F44E5C"/>
    <w:rsid w:val="00F45A6E"/>
    <w:rsid w:val="00F45E02"/>
    <w:rsid w:val="00F47BB8"/>
    <w:rsid w:val="00F47FC1"/>
    <w:rsid w:val="00F50335"/>
    <w:rsid w:val="00F50538"/>
    <w:rsid w:val="00F5091D"/>
    <w:rsid w:val="00F5181A"/>
    <w:rsid w:val="00F52391"/>
    <w:rsid w:val="00F52A28"/>
    <w:rsid w:val="00F52C8A"/>
    <w:rsid w:val="00F53B67"/>
    <w:rsid w:val="00F541D7"/>
    <w:rsid w:val="00F5475C"/>
    <w:rsid w:val="00F54AF9"/>
    <w:rsid w:val="00F54B47"/>
    <w:rsid w:val="00F5502B"/>
    <w:rsid w:val="00F56344"/>
    <w:rsid w:val="00F56720"/>
    <w:rsid w:val="00F57A00"/>
    <w:rsid w:val="00F60147"/>
    <w:rsid w:val="00F6075F"/>
    <w:rsid w:val="00F60BBB"/>
    <w:rsid w:val="00F61075"/>
    <w:rsid w:val="00F61529"/>
    <w:rsid w:val="00F6172E"/>
    <w:rsid w:val="00F62B64"/>
    <w:rsid w:val="00F64368"/>
    <w:rsid w:val="00F651E3"/>
    <w:rsid w:val="00F7130A"/>
    <w:rsid w:val="00F717E9"/>
    <w:rsid w:val="00F71FD4"/>
    <w:rsid w:val="00F72390"/>
    <w:rsid w:val="00F7284D"/>
    <w:rsid w:val="00F73825"/>
    <w:rsid w:val="00F74A92"/>
    <w:rsid w:val="00F74C63"/>
    <w:rsid w:val="00F74EE6"/>
    <w:rsid w:val="00F75758"/>
    <w:rsid w:val="00F76522"/>
    <w:rsid w:val="00F767C3"/>
    <w:rsid w:val="00F7704F"/>
    <w:rsid w:val="00F7784D"/>
    <w:rsid w:val="00F77874"/>
    <w:rsid w:val="00F806EB"/>
    <w:rsid w:val="00F818AF"/>
    <w:rsid w:val="00F81ACA"/>
    <w:rsid w:val="00F82290"/>
    <w:rsid w:val="00F8258B"/>
    <w:rsid w:val="00F830BE"/>
    <w:rsid w:val="00F83805"/>
    <w:rsid w:val="00F850B4"/>
    <w:rsid w:val="00F855BD"/>
    <w:rsid w:val="00F858C4"/>
    <w:rsid w:val="00F8647A"/>
    <w:rsid w:val="00F87650"/>
    <w:rsid w:val="00F87710"/>
    <w:rsid w:val="00F90393"/>
    <w:rsid w:val="00F905BC"/>
    <w:rsid w:val="00F90A8A"/>
    <w:rsid w:val="00F91A40"/>
    <w:rsid w:val="00F9244B"/>
    <w:rsid w:val="00F9491A"/>
    <w:rsid w:val="00F94AB1"/>
    <w:rsid w:val="00F94E97"/>
    <w:rsid w:val="00F9559F"/>
    <w:rsid w:val="00F955F1"/>
    <w:rsid w:val="00F958C9"/>
    <w:rsid w:val="00F96A49"/>
    <w:rsid w:val="00F96ACE"/>
    <w:rsid w:val="00F97335"/>
    <w:rsid w:val="00FA137E"/>
    <w:rsid w:val="00FA2305"/>
    <w:rsid w:val="00FA2469"/>
    <w:rsid w:val="00FA2D2E"/>
    <w:rsid w:val="00FA2E13"/>
    <w:rsid w:val="00FA2E31"/>
    <w:rsid w:val="00FA50FE"/>
    <w:rsid w:val="00FA53B5"/>
    <w:rsid w:val="00FA5674"/>
    <w:rsid w:val="00FA5ADF"/>
    <w:rsid w:val="00FA6288"/>
    <w:rsid w:val="00FA6678"/>
    <w:rsid w:val="00FA75B3"/>
    <w:rsid w:val="00FA7989"/>
    <w:rsid w:val="00FA79FA"/>
    <w:rsid w:val="00FB1168"/>
    <w:rsid w:val="00FB14DF"/>
    <w:rsid w:val="00FB2099"/>
    <w:rsid w:val="00FB2389"/>
    <w:rsid w:val="00FB2B07"/>
    <w:rsid w:val="00FB2E64"/>
    <w:rsid w:val="00FB30EB"/>
    <w:rsid w:val="00FB32A4"/>
    <w:rsid w:val="00FB5216"/>
    <w:rsid w:val="00FB52F1"/>
    <w:rsid w:val="00FB5EE3"/>
    <w:rsid w:val="00FB6131"/>
    <w:rsid w:val="00FB61A7"/>
    <w:rsid w:val="00FB7CDF"/>
    <w:rsid w:val="00FC0605"/>
    <w:rsid w:val="00FC0BC4"/>
    <w:rsid w:val="00FC1237"/>
    <w:rsid w:val="00FC1DAF"/>
    <w:rsid w:val="00FC3377"/>
    <w:rsid w:val="00FC37E1"/>
    <w:rsid w:val="00FC3EB3"/>
    <w:rsid w:val="00FC3F2A"/>
    <w:rsid w:val="00FC47D7"/>
    <w:rsid w:val="00FC5501"/>
    <w:rsid w:val="00FC609B"/>
    <w:rsid w:val="00FC6AEA"/>
    <w:rsid w:val="00FC747A"/>
    <w:rsid w:val="00FD0CA1"/>
    <w:rsid w:val="00FD1733"/>
    <w:rsid w:val="00FD18A7"/>
    <w:rsid w:val="00FD2D3A"/>
    <w:rsid w:val="00FD37C4"/>
    <w:rsid w:val="00FD3ECC"/>
    <w:rsid w:val="00FD5581"/>
    <w:rsid w:val="00FD57E5"/>
    <w:rsid w:val="00FD5A8F"/>
    <w:rsid w:val="00FD6028"/>
    <w:rsid w:val="00FD6615"/>
    <w:rsid w:val="00FD6777"/>
    <w:rsid w:val="00FD7AA5"/>
    <w:rsid w:val="00FD7CF7"/>
    <w:rsid w:val="00FD7DFC"/>
    <w:rsid w:val="00FD7E0F"/>
    <w:rsid w:val="00FE003A"/>
    <w:rsid w:val="00FE0AAD"/>
    <w:rsid w:val="00FE12E4"/>
    <w:rsid w:val="00FE1CB9"/>
    <w:rsid w:val="00FE23A9"/>
    <w:rsid w:val="00FE289F"/>
    <w:rsid w:val="00FE3C24"/>
    <w:rsid w:val="00FE495C"/>
    <w:rsid w:val="00FE4D17"/>
    <w:rsid w:val="00FE4D3D"/>
    <w:rsid w:val="00FE5934"/>
    <w:rsid w:val="00FE5AE4"/>
    <w:rsid w:val="00FE640F"/>
    <w:rsid w:val="00FE7003"/>
    <w:rsid w:val="00FF194E"/>
    <w:rsid w:val="00FF437B"/>
    <w:rsid w:val="00FF4ED2"/>
    <w:rsid w:val="00FF5B8C"/>
    <w:rsid w:val="00FF6167"/>
    <w:rsid w:val="00FF62CB"/>
    <w:rsid w:val="00FF6EB1"/>
    <w:rsid w:val="00FF7185"/>
    <w:rsid w:val="00FF719D"/>
    <w:rsid w:val="00FF730D"/>
    <w:rsid w:val="00FF744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E5BA05"/>
  <w15:docId w15:val="{748BFFDA-97AC-4945-94E1-1B1CAC671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837BC5"/>
    <w:pPr>
      <w:suppressAutoHyphens/>
    </w:pPr>
    <w:rPr>
      <w:sz w:val="24"/>
    </w:rPr>
  </w:style>
  <w:style w:type="paragraph" w:styleId="Nagwek1">
    <w:name w:val="heading 1"/>
    <w:basedOn w:val="Normalny"/>
    <w:next w:val="Normalny"/>
    <w:link w:val="Nagwek1Znak"/>
    <w:qFormat/>
    <w:rsid w:val="00743902"/>
    <w:pPr>
      <w:keepNext/>
      <w:numPr>
        <w:numId w:val="11"/>
      </w:numPr>
      <w:spacing w:before="240" w:after="60"/>
      <w:outlineLvl w:val="0"/>
    </w:pPr>
    <w:rPr>
      <w:rFonts w:ascii="Arial" w:hAnsi="Arial"/>
      <w:b/>
      <w:bCs/>
      <w:kern w:val="32"/>
      <w:sz w:val="32"/>
      <w:szCs w:val="32"/>
      <w:lang w:val="x-none"/>
    </w:rPr>
  </w:style>
  <w:style w:type="paragraph" w:styleId="Nagwek2">
    <w:name w:val="heading 2"/>
    <w:basedOn w:val="Normalny"/>
    <w:next w:val="Normalny"/>
    <w:link w:val="Nagwek2Znak"/>
    <w:qFormat/>
    <w:rsid w:val="007511A4"/>
    <w:pPr>
      <w:keepNext/>
      <w:numPr>
        <w:ilvl w:val="1"/>
        <w:numId w:val="11"/>
      </w:numPr>
      <w:spacing w:before="240" w:after="60"/>
      <w:outlineLvl w:val="1"/>
    </w:pPr>
    <w:rPr>
      <w:rFonts w:ascii="Arial" w:hAnsi="Arial"/>
      <w:b/>
      <w:bCs/>
      <w:i/>
      <w:iCs/>
      <w:sz w:val="28"/>
      <w:szCs w:val="28"/>
      <w:lang w:val="x-none"/>
    </w:rPr>
  </w:style>
  <w:style w:type="paragraph" w:styleId="Nagwek3">
    <w:name w:val="heading 3"/>
    <w:basedOn w:val="Normalny"/>
    <w:next w:val="Normalny"/>
    <w:link w:val="Nagwek3Znak"/>
    <w:qFormat/>
    <w:rsid w:val="007511A4"/>
    <w:pPr>
      <w:keepNext/>
      <w:numPr>
        <w:ilvl w:val="2"/>
        <w:numId w:val="11"/>
      </w:numPr>
      <w:spacing w:before="240" w:after="60"/>
      <w:outlineLvl w:val="2"/>
    </w:pPr>
    <w:rPr>
      <w:rFonts w:ascii="Arial" w:hAnsi="Arial"/>
      <w:b/>
      <w:bCs/>
      <w:sz w:val="26"/>
      <w:szCs w:val="26"/>
      <w:lang w:val="x-none"/>
    </w:rPr>
  </w:style>
  <w:style w:type="paragraph" w:styleId="Nagwek4">
    <w:name w:val="heading 4"/>
    <w:basedOn w:val="Normalny"/>
    <w:next w:val="Normalny"/>
    <w:link w:val="Nagwek4Znak"/>
    <w:qFormat/>
    <w:rsid w:val="007511A4"/>
    <w:pPr>
      <w:keepNext/>
      <w:numPr>
        <w:ilvl w:val="3"/>
        <w:numId w:val="11"/>
      </w:numPr>
      <w:spacing w:before="240" w:after="60"/>
      <w:outlineLvl w:val="3"/>
    </w:pPr>
    <w:rPr>
      <w:b/>
      <w:bCs/>
      <w:sz w:val="28"/>
      <w:szCs w:val="28"/>
      <w:lang w:val="x-none"/>
    </w:rPr>
  </w:style>
  <w:style w:type="paragraph" w:styleId="Nagwek5">
    <w:name w:val="heading 5"/>
    <w:basedOn w:val="Normalny"/>
    <w:next w:val="Normalny"/>
    <w:link w:val="Nagwek5Znak"/>
    <w:qFormat/>
    <w:rsid w:val="007511A4"/>
    <w:pPr>
      <w:numPr>
        <w:ilvl w:val="4"/>
        <w:numId w:val="11"/>
      </w:numPr>
      <w:spacing w:before="240" w:after="60"/>
      <w:outlineLvl w:val="4"/>
    </w:pPr>
    <w:rPr>
      <w:b/>
      <w:bCs/>
      <w:i/>
      <w:iCs/>
      <w:sz w:val="26"/>
      <w:szCs w:val="26"/>
      <w:lang w:val="x-none"/>
    </w:rPr>
  </w:style>
  <w:style w:type="paragraph" w:styleId="Nagwek6">
    <w:name w:val="heading 6"/>
    <w:basedOn w:val="Normalny"/>
    <w:next w:val="Normalny"/>
    <w:link w:val="Nagwek6Znak"/>
    <w:qFormat/>
    <w:rsid w:val="007511A4"/>
    <w:pPr>
      <w:numPr>
        <w:ilvl w:val="5"/>
        <w:numId w:val="11"/>
      </w:numPr>
      <w:spacing w:before="240" w:after="60"/>
      <w:outlineLvl w:val="5"/>
    </w:pPr>
    <w:rPr>
      <w:b/>
      <w:bCs/>
      <w:sz w:val="22"/>
      <w:szCs w:val="22"/>
      <w:lang w:val="x-none"/>
    </w:rPr>
  </w:style>
  <w:style w:type="paragraph" w:styleId="Nagwek7">
    <w:name w:val="heading 7"/>
    <w:basedOn w:val="Normalny"/>
    <w:next w:val="Normalny"/>
    <w:link w:val="Nagwek7Znak"/>
    <w:qFormat/>
    <w:rsid w:val="007511A4"/>
    <w:pPr>
      <w:numPr>
        <w:ilvl w:val="6"/>
        <w:numId w:val="11"/>
      </w:numPr>
      <w:spacing w:before="240" w:after="60"/>
      <w:outlineLvl w:val="6"/>
    </w:pPr>
    <w:rPr>
      <w:szCs w:val="24"/>
      <w:lang w:val="x-none"/>
    </w:rPr>
  </w:style>
  <w:style w:type="paragraph" w:styleId="Nagwek8">
    <w:name w:val="heading 8"/>
    <w:basedOn w:val="Normalny"/>
    <w:next w:val="Normalny"/>
    <w:link w:val="Nagwek8Znak"/>
    <w:qFormat/>
    <w:rsid w:val="007511A4"/>
    <w:pPr>
      <w:numPr>
        <w:ilvl w:val="7"/>
        <w:numId w:val="11"/>
      </w:numPr>
      <w:spacing w:before="240" w:after="60"/>
      <w:outlineLvl w:val="7"/>
    </w:pPr>
    <w:rPr>
      <w:i/>
      <w:iCs/>
      <w:szCs w:val="24"/>
      <w:lang w:val="x-none"/>
    </w:rPr>
  </w:style>
  <w:style w:type="paragraph" w:styleId="Nagwek9">
    <w:name w:val="heading 9"/>
    <w:basedOn w:val="Normalny"/>
    <w:next w:val="Normalny"/>
    <w:link w:val="Nagwek9Znak"/>
    <w:qFormat/>
    <w:rsid w:val="007511A4"/>
    <w:pPr>
      <w:numPr>
        <w:ilvl w:val="8"/>
        <w:numId w:val="11"/>
      </w:numPr>
      <w:suppressAutoHyphens w:val="0"/>
      <w:spacing w:before="240" w:after="60"/>
      <w:outlineLvl w:val="8"/>
    </w:pPr>
    <w:rPr>
      <w:rFonts w:ascii="Arial" w:hAnsi="Arial"/>
      <w:sz w:val="22"/>
      <w:szCs w:val="22"/>
      <w:lang w:val="x-none" w:eastAsia="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nak">
    <w:name w:val="Znak"/>
    <w:basedOn w:val="Normalny"/>
    <w:rsid w:val="007511A4"/>
    <w:pPr>
      <w:suppressAutoHyphens w:val="0"/>
    </w:pPr>
    <w:rPr>
      <w:szCs w:val="24"/>
    </w:rPr>
  </w:style>
  <w:style w:type="paragraph" w:styleId="Stopka">
    <w:name w:val="footer"/>
    <w:basedOn w:val="Normalny"/>
    <w:link w:val="StopkaZnak"/>
    <w:uiPriority w:val="99"/>
    <w:rsid w:val="007511A4"/>
    <w:pPr>
      <w:tabs>
        <w:tab w:val="center" w:pos="4536"/>
        <w:tab w:val="right" w:pos="9072"/>
      </w:tabs>
    </w:pPr>
  </w:style>
  <w:style w:type="character" w:styleId="Numerstrony">
    <w:name w:val="page number"/>
    <w:basedOn w:val="Domylnaczcionkaakapitu"/>
    <w:rsid w:val="007511A4"/>
  </w:style>
  <w:style w:type="paragraph" w:styleId="Tekstpodstawowy3">
    <w:name w:val="Body Text 3"/>
    <w:basedOn w:val="Normalny"/>
    <w:rsid w:val="007511A4"/>
    <w:pPr>
      <w:autoSpaceDE w:val="0"/>
      <w:autoSpaceDN w:val="0"/>
      <w:adjustRightInd w:val="0"/>
      <w:spacing w:line="360" w:lineRule="auto"/>
      <w:jc w:val="both"/>
    </w:pPr>
    <w:rPr>
      <w:b/>
      <w:bCs/>
    </w:rPr>
  </w:style>
  <w:style w:type="paragraph" w:styleId="Nagwek">
    <w:name w:val="header"/>
    <w:basedOn w:val="Normalny"/>
    <w:link w:val="NagwekZnak"/>
    <w:rsid w:val="007511A4"/>
    <w:pPr>
      <w:tabs>
        <w:tab w:val="center" w:pos="4536"/>
        <w:tab w:val="right" w:pos="9072"/>
      </w:tabs>
    </w:pPr>
  </w:style>
  <w:style w:type="paragraph" w:styleId="Tekstprzypisudolnego">
    <w:name w:val="footnote text"/>
    <w:aliases w:val="Podrozdział,-E Fuﬂnotentext,Fuﬂnotentext Ursprung,Fußnotentext Ursprung,-E Fußnotentext,Footnote text,Tekst przypisu Znak Znak Znak Znak,Tekst przypisu Znak Znak Znak Znak Znak,Tekst przypisu Znak Znak Znak Znak Znak Znak Znak,o,C"/>
    <w:basedOn w:val="Normalny"/>
    <w:link w:val="TekstprzypisudolnegoZnak"/>
    <w:autoRedefine/>
    <w:qFormat/>
    <w:rsid w:val="0011322D"/>
    <w:pPr>
      <w:suppressAutoHyphens w:val="0"/>
      <w:spacing w:before="40" w:after="120" w:line="276" w:lineRule="auto"/>
    </w:pPr>
    <w:rPr>
      <w:rFonts w:ascii="Calibri" w:hAnsi="Calibri"/>
      <w:szCs w:val="28"/>
      <w:lang w:val="x-none" w:eastAsia="x-none"/>
    </w:rPr>
  </w:style>
  <w:style w:type="character" w:styleId="Odwoanieprzypisudolnego">
    <w:name w:val="footnote reference"/>
    <w:aliases w:val="Footnote Reference Number,Odwołanie przypisu,Footnote symbol,Footnote reference number,note TESI,SUPERS,EN Footnote Reference,Footnote number,Ref,de nota al pie,Odwo3anie przypisu,Times 10 Point,Exposant 3 Point,number,16 Poi"/>
    <w:rsid w:val="007511A4"/>
    <w:rPr>
      <w:vertAlign w:val="superscript"/>
    </w:rPr>
  </w:style>
  <w:style w:type="paragraph" w:styleId="Tekstpodstawowy2">
    <w:name w:val="Body Text 2"/>
    <w:basedOn w:val="Normalny"/>
    <w:link w:val="Tekstpodstawowy2Znak"/>
    <w:rsid w:val="007511A4"/>
    <w:pPr>
      <w:suppressAutoHyphens w:val="0"/>
      <w:spacing w:after="120" w:line="480" w:lineRule="auto"/>
    </w:pPr>
    <w:rPr>
      <w:szCs w:val="24"/>
    </w:rPr>
  </w:style>
  <w:style w:type="character" w:styleId="Hipercze">
    <w:name w:val="Hyperlink"/>
    <w:uiPriority w:val="99"/>
    <w:rsid w:val="007511A4"/>
    <w:rPr>
      <w:color w:val="0000FF"/>
      <w:u w:val="single"/>
    </w:rPr>
  </w:style>
  <w:style w:type="paragraph" w:styleId="NormalnyWeb">
    <w:name w:val="Normal (Web)"/>
    <w:basedOn w:val="Normalny"/>
    <w:uiPriority w:val="99"/>
    <w:rsid w:val="007511A4"/>
    <w:pPr>
      <w:suppressAutoHyphens w:val="0"/>
      <w:spacing w:before="100" w:beforeAutospacing="1" w:after="100" w:afterAutospacing="1"/>
    </w:pPr>
    <w:rPr>
      <w:rFonts w:ascii="Arial" w:hAnsi="Arial" w:cs="Arial"/>
      <w:color w:val="333333"/>
      <w:szCs w:val="24"/>
    </w:rPr>
  </w:style>
  <w:style w:type="character" w:styleId="Pogrubienie">
    <w:name w:val="Strong"/>
    <w:uiPriority w:val="22"/>
    <w:qFormat/>
    <w:rsid w:val="007511A4"/>
    <w:rPr>
      <w:b/>
      <w:bCs/>
    </w:rPr>
  </w:style>
  <w:style w:type="paragraph" w:customStyle="1" w:styleId="ZnakZnakZnakZnakZnakZnakZnak">
    <w:name w:val="Znak Znak Znak Znak Znak Znak Znak"/>
    <w:basedOn w:val="Normalny"/>
    <w:rsid w:val="007511A4"/>
    <w:pPr>
      <w:suppressAutoHyphens w:val="0"/>
    </w:pPr>
    <w:rPr>
      <w:szCs w:val="24"/>
    </w:rPr>
  </w:style>
  <w:style w:type="paragraph" w:customStyle="1" w:styleId="ZnakZnakZnakZnakZnakZnakZnak0">
    <w:name w:val="Znak Znak Znak Znak Znak Znak Znak"/>
    <w:basedOn w:val="Normalny"/>
    <w:rsid w:val="007511A4"/>
    <w:pPr>
      <w:suppressAutoHyphens w:val="0"/>
    </w:pPr>
    <w:rPr>
      <w:szCs w:val="24"/>
    </w:rPr>
  </w:style>
  <w:style w:type="paragraph" w:customStyle="1" w:styleId="Akapit">
    <w:name w:val="Akapit"/>
    <w:basedOn w:val="Nagwek6"/>
    <w:rsid w:val="00743902"/>
    <w:pPr>
      <w:keepNext/>
      <w:numPr>
        <w:numId w:val="1"/>
      </w:numPr>
      <w:suppressAutoHyphens w:val="0"/>
      <w:spacing w:before="0" w:after="0" w:line="360" w:lineRule="auto"/>
      <w:jc w:val="both"/>
      <w:outlineLvl w:val="9"/>
    </w:pPr>
    <w:rPr>
      <w:rFonts w:ascii="Arial" w:hAnsi="Arial"/>
      <w:b w:val="0"/>
      <w:szCs w:val="24"/>
    </w:rPr>
  </w:style>
  <w:style w:type="paragraph" w:styleId="Tekstdymka">
    <w:name w:val="Balloon Text"/>
    <w:basedOn w:val="Normalny"/>
    <w:link w:val="TekstdymkaZnak"/>
    <w:semiHidden/>
    <w:rsid w:val="007511A4"/>
    <w:rPr>
      <w:rFonts w:ascii="Tahoma" w:hAnsi="Tahoma"/>
      <w:sz w:val="16"/>
      <w:szCs w:val="16"/>
      <w:lang w:val="x-none"/>
    </w:rPr>
  </w:style>
  <w:style w:type="paragraph" w:customStyle="1" w:styleId="WW-Tekstpodstawowy2">
    <w:name w:val="WW-Tekst podstawowy 2"/>
    <w:basedOn w:val="Normalny"/>
    <w:rsid w:val="007511A4"/>
    <w:pPr>
      <w:jc w:val="both"/>
    </w:pPr>
    <w:rPr>
      <w:sz w:val="22"/>
      <w:lang w:eastAsia="ar-SA"/>
    </w:rPr>
  </w:style>
  <w:style w:type="paragraph" w:styleId="Tekstpodstawowy">
    <w:name w:val="Body Text"/>
    <w:basedOn w:val="Normalny"/>
    <w:link w:val="TekstpodstawowyZnak"/>
    <w:rsid w:val="007511A4"/>
    <w:pPr>
      <w:suppressAutoHyphens w:val="0"/>
      <w:spacing w:after="120"/>
    </w:pPr>
    <w:rPr>
      <w:szCs w:val="24"/>
    </w:rPr>
  </w:style>
  <w:style w:type="character" w:customStyle="1" w:styleId="ZnakZnak">
    <w:name w:val="Znak Znak"/>
    <w:rsid w:val="007511A4"/>
    <w:rPr>
      <w:sz w:val="24"/>
      <w:szCs w:val="24"/>
      <w:lang w:val="pl-PL" w:eastAsia="pl-PL" w:bidi="ar-SA"/>
    </w:rPr>
  </w:style>
  <w:style w:type="paragraph" w:customStyle="1" w:styleId="Wcicie">
    <w:name w:val="Wcięcie"/>
    <w:basedOn w:val="Normalny"/>
    <w:rsid w:val="007511A4"/>
    <w:pPr>
      <w:spacing w:line="360" w:lineRule="auto"/>
      <w:ind w:left="360"/>
      <w:jc w:val="both"/>
    </w:pPr>
    <w:rPr>
      <w:rFonts w:ascii="Arial" w:hAnsi="Arial" w:cs="Arial"/>
      <w:bCs/>
      <w:sz w:val="22"/>
      <w:szCs w:val="24"/>
      <w:lang w:eastAsia="ar-SA"/>
    </w:rPr>
  </w:style>
  <w:style w:type="paragraph" w:customStyle="1" w:styleId="Tekstpodstawowy31">
    <w:name w:val="Tekst podstawowy 31"/>
    <w:basedOn w:val="Normalny"/>
    <w:rsid w:val="007511A4"/>
    <w:pPr>
      <w:spacing w:after="120" w:line="360" w:lineRule="auto"/>
      <w:jc w:val="both"/>
    </w:pPr>
    <w:rPr>
      <w:rFonts w:ascii="Arial" w:hAnsi="Arial"/>
      <w:sz w:val="16"/>
      <w:szCs w:val="16"/>
      <w:lang w:eastAsia="ar-SA"/>
    </w:rPr>
  </w:style>
  <w:style w:type="paragraph" w:customStyle="1" w:styleId="Tekstpodstawowy21">
    <w:name w:val="Tekst podstawowy 21"/>
    <w:basedOn w:val="Normalny"/>
    <w:rsid w:val="007511A4"/>
    <w:pPr>
      <w:jc w:val="both"/>
    </w:pPr>
  </w:style>
  <w:style w:type="character" w:customStyle="1" w:styleId="FootnoteTextCharZnak">
    <w:name w:val="Footnote Text Char Znak"/>
    <w:aliases w:val="Footnote Text Char1 Char Znak,Footnote Text Char Char2 Char Znak,Footnote Text Char1 Char Char Char Char Znak,Footnote Text Char Char Char Char Char Char Znak,Footnote Text Char Char1 Char Char Znak"/>
    <w:rsid w:val="007511A4"/>
    <w:rPr>
      <w:lang w:val="pl-PL" w:eastAsia="pl-PL" w:bidi="ar-SA"/>
    </w:rPr>
  </w:style>
  <w:style w:type="character" w:styleId="Uwydatnienie">
    <w:name w:val="Emphasis"/>
    <w:uiPriority w:val="20"/>
    <w:qFormat/>
    <w:rsid w:val="007511A4"/>
    <w:rPr>
      <w:i/>
      <w:iCs/>
    </w:rPr>
  </w:style>
  <w:style w:type="character" w:styleId="UyteHipercze">
    <w:name w:val="FollowedHyperlink"/>
    <w:rsid w:val="007511A4"/>
    <w:rPr>
      <w:color w:val="800080"/>
      <w:u w:val="single"/>
    </w:rPr>
  </w:style>
  <w:style w:type="paragraph" w:styleId="Akapitzlist">
    <w:name w:val="List Paragraph"/>
    <w:basedOn w:val="Normalny"/>
    <w:link w:val="AkapitzlistZnak"/>
    <w:uiPriority w:val="34"/>
    <w:qFormat/>
    <w:rsid w:val="007511A4"/>
    <w:pPr>
      <w:suppressAutoHyphens w:val="0"/>
      <w:spacing w:after="200" w:line="276" w:lineRule="auto"/>
      <w:ind w:left="720"/>
    </w:pPr>
    <w:rPr>
      <w:rFonts w:ascii="Calibri" w:eastAsia="Calibri" w:hAnsi="Calibri"/>
      <w:sz w:val="22"/>
      <w:szCs w:val="22"/>
      <w:lang w:val="x-none" w:eastAsia="en-US"/>
    </w:rPr>
  </w:style>
  <w:style w:type="paragraph" w:styleId="Tekstpodstawowywcity">
    <w:name w:val="Body Text Indent"/>
    <w:basedOn w:val="Normalny"/>
    <w:link w:val="TekstpodstawowywcityZnak1"/>
    <w:rsid w:val="007511A4"/>
    <w:pPr>
      <w:spacing w:after="120" w:line="360" w:lineRule="auto"/>
      <w:ind w:firstLine="708"/>
      <w:jc w:val="both"/>
    </w:pPr>
    <w:rPr>
      <w:lang w:val="x-none"/>
    </w:rPr>
  </w:style>
  <w:style w:type="paragraph" w:styleId="Tekstpodstawowywcity2">
    <w:name w:val="Body Text Indent 2"/>
    <w:basedOn w:val="Normalny"/>
    <w:rsid w:val="007511A4"/>
    <w:pPr>
      <w:ind w:left="360" w:hanging="360"/>
    </w:pPr>
    <w:rPr>
      <w:b/>
    </w:rPr>
  </w:style>
  <w:style w:type="paragraph" w:styleId="Tekstpodstawowywcity3">
    <w:name w:val="Body Text Indent 3"/>
    <w:basedOn w:val="Normalny"/>
    <w:rsid w:val="007511A4"/>
    <w:pPr>
      <w:tabs>
        <w:tab w:val="left" w:pos="720"/>
      </w:tabs>
      <w:spacing w:after="120" w:line="360" w:lineRule="auto"/>
      <w:ind w:left="1980"/>
      <w:jc w:val="both"/>
    </w:pPr>
  </w:style>
  <w:style w:type="paragraph" w:styleId="Spistreci1">
    <w:name w:val="toc 1"/>
    <w:basedOn w:val="Normalny"/>
    <w:next w:val="Normalny"/>
    <w:autoRedefine/>
    <w:uiPriority w:val="39"/>
    <w:qFormat/>
    <w:rsid w:val="00847B0C"/>
    <w:pPr>
      <w:tabs>
        <w:tab w:val="left" w:pos="880"/>
        <w:tab w:val="right" w:leader="dot" w:pos="9062"/>
      </w:tabs>
    </w:pPr>
  </w:style>
  <w:style w:type="paragraph" w:styleId="Spistreci2">
    <w:name w:val="toc 2"/>
    <w:basedOn w:val="Normalny"/>
    <w:next w:val="Normalny"/>
    <w:autoRedefine/>
    <w:uiPriority w:val="39"/>
    <w:qFormat/>
    <w:rsid w:val="007511A4"/>
    <w:pPr>
      <w:ind w:left="240"/>
    </w:pPr>
  </w:style>
  <w:style w:type="paragraph" w:styleId="Spistreci3">
    <w:name w:val="toc 3"/>
    <w:basedOn w:val="Normalny"/>
    <w:next w:val="Normalny"/>
    <w:autoRedefine/>
    <w:uiPriority w:val="39"/>
    <w:qFormat/>
    <w:rsid w:val="00385756"/>
    <w:pPr>
      <w:tabs>
        <w:tab w:val="left" w:pos="709"/>
        <w:tab w:val="left" w:leader="dot" w:pos="8789"/>
      </w:tabs>
      <w:spacing w:before="120" w:line="276" w:lineRule="auto"/>
      <w:ind w:left="709" w:right="-108" w:hanging="709"/>
      <w:jc w:val="both"/>
    </w:pPr>
    <w:rPr>
      <w:rFonts w:ascii="Calibri" w:hAnsi="Calibri"/>
      <w:b/>
      <w:noProof/>
    </w:rPr>
  </w:style>
  <w:style w:type="table" w:styleId="Tabela-Siatka">
    <w:name w:val="Table Grid"/>
    <w:basedOn w:val="Standardowy"/>
    <w:uiPriority w:val="59"/>
    <w:rsid w:val="007511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przypisudolnegoZnak">
    <w:name w:val="Tekst przypisu dolnego Znak"/>
    <w:aliases w:val="Podrozdział Znak,-E Fuﬂnotentext Znak,Fuﬂnotentext Ursprung Znak,Fußnotentext Ursprung Znak,-E Fußnotentext Znak,Footnote text Znak,Tekst przypisu Znak Znak Znak Znak Znak1,Tekst przypisu Znak Znak Znak Znak Znak Znak,o Znak"/>
    <w:link w:val="Tekstprzypisudolnego"/>
    <w:rsid w:val="0011322D"/>
    <w:rPr>
      <w:rFonts w:ascii="Calibri" w:hAnsi="Calibri"/>
      <w:sz w:val="24"/>
      <w:szCs w:val="28"/>
      <w:lang w:val="x-none" w:eastAsia="x-none"/>
    </w:rPr>
  </w:style>
  <w:style w:type="character" w:customStyle="1" w:styleId="Nagwek2Znak">
    <w:name w:val="Nagłówek 2 Znak"/>
    <w:link w:val="Nagwek2"/>
    <w:rsid w:val="007511A4"/>
    <w:rPr>
      <w:rFonts w:ascii="Arial" w:hAnsi="Arial"/>
      <w:b/>
      <w:bCs/>
      <w:i/>
      <w:iCs/>
      <w:sz w:val="28"/>
      <w:szCs w:val="28"/>
      <w:lang w:val="x-none"/>
    </w:rPr>
  </w:style>
  <w:style w:type="character" w:customStyle="1" w:styleId="Nagwek4Znak">
    <w:name w:val="Nagłówek 4 Znak"/>
    <w:link w:val="Nagwek4"/>
    <w:rsid w:val="007511A4"/>
    <w:rPr>
      <w:b/>
      <w:bCs/>
      <w:sz w:val="28"/>
      <w:szCs w:val="28"/>
      <w:lang w:val="x-none"/>
    </w:rPr>
  </w:style>
  <w:style w:type="character" w:customStyle="1" w:styleId="Nagwek6Znak">
    <w:name w:val="Nagłówek 6 Znak"/>
    <w:link w:val="Nagwek6"/>
    <w:rsid w:val="007511A4"/>
    <w:rPr>
      <w:b/>
      <w:bCs/>
      <w:sz w:val="22"/>
      <w:szCs w:val="22"/>
      <w:lang w:val="x-none"/>
    </w:rPr>
  </w:style>
  <w:style w:type="character" w:customStyle="1" w:styleId="Nagwek7Znak">
    <w:name w:val="Nagłówek 7 Znak"/>
    <w:link w:val="Nagwek7"/>
    <w:rsid w:val="007511A4"/>
    <w:rPr>
      <w:sz w:val="24"/>
      <w:szCs w:val="24"/>
      <w:lang w:val="x-none"/>
    </w:rPr>
  </w:style>
  <w:style w:type="character" w:customStyle="1" w:styleId="ZnakZnak8">
    <w:name w:val="Znak Znak8"/>
    <w:rsid w:val="007511A4"/>
    <w:rPr>
      <w:rFonts w:ascii="Arial" w:eastAsia="Times New Roman" w:hAnsi="Arial" w:cs="Arial"/>
      <w:b/>
      <w:bCs/>
      <w:i/>
      <w:iCs/>
      <w:sz w:val="28"/>
      <w:szCs w:val="28"/>
    </w:rPr>
  </w:style>
  <w:style w:type="character" w:customStyle="1" w:styleId="Nagwek3Znak">
    <w:name w:val="Nagłówek 3 Znak"/>
    <w:link w:val="Nagwek3"/>
    <w:rsid w:val="007511A4"/>
    <w:rPr>
      <w:rFonts w:ascii="Arial" w:hAnsi="Arial"/>
      <w:b/>
      <w:bCs/>
      <w:sz w:val="26"/>
      <w:szCs w:val="26"/>
      <w:lang w:val="x-none"/>
    </w:rPr>
  </w:style>
  <w:style w:type="character" w:customStyle="1" w:styleId="ZnakZnak6">
    <w:name w:val="Znak Znak6"/>
    <w:rsid w:val="007511A4"/>
    <w:rPr>
      <w:rFonts w:ascii="Times New Roman" w:eastAsia="Times New Roman" w:hAnsi="Times New Roman" w:cs="Times New Roman"/>
      <w:b/>
      <w:bCs/>
      <w:sz w:val="28"/>
      <w:szCs w:val="28"/>
    </w:rPr>
  </w:style>
  <w:style w:type="character" w:customStyle="1" w:styleId="Nagwek5Znak">
    <w:name w:val="Nagłówek 5 Znak"/>
    <w:link w:val="Nagwek5"/>
    <w:rsid w:val="007511A4"/>
    <w:rPr>
      <w:b/>
      <w:bCs/>
      <w:i/>
      <w:iCs/>
      <w:sz w:val="26"/>
      <w:szCs w:val="26"/>
      <w:lang w:val="x-none"/>
    </w:rPr>
  </w:style>
  <w:style w:type="character" w:customStyle="1" w:styleId="StopkaZnak">
    <w:name w:val="Stopka Znak"/>
    <w:link w:val="Stopka"/>
    <w:uiPriority w:val="99"/>
    <w:rsid w:val="007511A4"/>
    <w:rPr>
      <w:sz w:val="24"/>
      <w:lang w:val="pl-PL" w:bidi="ar-SA"/>
    </w:rPr>
  </w:style>
  <w:style w:type="character" w:customStyle="1" w:styleId="NagwekZnak">
    <w:name w:val="Nagłówek Znak"/>
    <w:link w:val="Nagwek"/>
    <w:rsid w:val="007511A4"/>
    <w:rPr>
      <w:sz w:val="24"/>
      <w:lang w:val="pl-PL" w:bidi="ar-SA"/>
    </w:rPr>
  </w:style>
  <w:style w:type="numbering" w:styleId="1ai">
    <w:name w:val="Outline List 1"/>
    <w:aliases w:val="a / i"/>
    <w:basedOn w:val="Bezlisty"/>
    <w:rsid w:val="007511A4"/>
    <w:pPr>
      <w:numPr>
        <w:numId w:val="3"/>
      </w:numPr>
    </w:pPr>
  </w:style>
  <w:style w:type="character" w:customStyle="1" w:styleId="Tekstpodstawowy2Znak">
    <w:name w:val="Tekst podstawowy 2 Znak"/>
    <w:link w:val="Tekstpodstawowy2"/>
    <w:rsid w:val="007511A4"/>
    <w:rPr>
      <w:sz w:val="24"/>
      <w:szCs w:val="24"/>
      <w:lang w:val="pl-PL" w:bidi="ar-SA"/>
    </w:rPr>
  </w:style>
  <w:style w:type="character" w:customStyle="1" w:styleId="TekstpodstawowyZnak">
    <w:name w:val="Tekst podstawowy Znak"/>
    <w:link w:val="Tekstpodstawowy"/>
    <w:rsid w:val="007511A4"/>
    <w:rPr>
      <w:sz w:val="24"/>
      <w:szCs w:val="24"/>
      <w:lang w:val="pl-PL" w:bidi="ar-SA"/>
    </w:rPr>
  </w:style>
  <w:style w:type="paragraph" w:styleId="Tekstprzypisukocowego">
    <w:name w:val="endnote text"/>
    <w:basedOn w:val="Normalny"/>
    <w:link w:val="TekstprzypisukocowegoZnak"/>
    <w:rsid w:val="007511A4"/>
    <w:pPr>
      <w:suppressAutoHyphens w:val="0"/>
    </w:pPr>
    <w:rPr>
      <w:sz w:val="20"/>
    </w:rPr>
  </w:style>
  <w:style w:type="character" w:customStyle="1" w:styleId="TekstprzypisukocowegoZnak">
    <w:name w:val="Tekst przypisu końcowego Znak"/>
    <w:link w:val="Tekstprzypisukocowego"/>
    <w:rsid w:val="007511A4"/>
    <w:rPr>
      <w:lang w:val="pl-PL" w:eastAsia="pl-PL" w:bidi="ar-SA"/>
    </w:rPr>
  </w:style>
  <w:style w:type="character" w:styleId="Odwoanieprzypisukocowego">
    <w:name w:val="endnote reference"/>
    <w:rsid w:val="007511A4"/>
    <w:rPr>
      <w:vertAlign w:val="superscript"/>
    </w:rPr>
  </w:style>
  <w:style w:type="paragraph" w:customStyle="1" w:styleId="ZnakZnakZnakZnak">
    <w:name w:val="Znak Znak Znak Znak"/>
    <w:basedOn w:val="Normalny"/>
    <w:rsid w:val="007511A4"/>
    <w:pPr>
      <w:suppressAutoHyphens w:val="0"/>
    </w:pPr>
    <w:rPr>
      <w:szCs w:val="24"/>
    </w:rPr>
  </w:style>
  <w:style w:type="character" w:customStyle="1" w:styleId="texhtml">
    <w:name w:val="texhtml"/>
    <w:basedOn w:val="Domylnaczcionkaakapitu"/>
    <w:rsid w:val="007511A4"/>
  </w:style>
  <w:style w:type="table" w:styleId="Tabela-Elegancki">
    <w:name w:val="Table Elegant"/>
    <w:basedOn w:val="Standardowy"/>
    <w:rsid w:val="007511A4"/>
    <w:pPr>
      <w:suppressAutoHyphens/>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xl24">
    <w:name w:val="xl24"/>
    <w:basedOn w:val="Normalny"/>
    <w:rsid w:val="007511A4"/>
    <w:pPr>
      <w:pBdr>
        <w:right w:val="single" w:sz="4" w:space="0" w:color="auto"/>
      </w:pBdr>
      <w:suppressAutoHyphens w:val="0"/>
      <w:spacing w:before="100" w:beforeAutospacing="1" w:after="100" w:afterAutospacing="1"/>
      <w:textAlignment w:val="center"/>
    </w:pPr>
    <w:rPr>
      <w:szCs w:val="24"/>
    </w:rPr>
  </w:style>
  <w:style w:type="paragraph" w:customStyle="1" w:styleId="xl25">
    <w:name w:val="xl25"/>
    <w:basedOn w:val="Normalny"/>
    <w:rsid w:val="007511A4"/>
    <w:pPr>
      <w:suppressAutoHyphens w:val="0"/>
      <w:spacing w:before="100" w:beforeAutospacing="1" w:after="100" w:afterAutospacing="1"/>
      <w:jc w:val="center"/>
      <w:textAlignment w:val="center"/>
    </w:pPr>
    <w:rPr>
      <w:sz w:val="22"/>
      <w:szCs w:val="22"/>
    </w:rPr>
  </w:style>
  <w:style w:type="paragraph" w:customStyle="1" w:styleId="xl26">
    <w:name w:val="xl26"/>
    <w:basedOn w:val="Normalny"/>
    <w:rsid w:val="007511A4"/>
    <w:pPr>
      <w:suppressAutoHyphens w:val="0"/>
      <w:spacing w:before="100" w:beforeAutospacing="1" w:after="100" w:afterAutospacing="1"/>
      <w:jc w:val="center"/>
      <w:textAlignment w:val="center"/>
    </w:pPr>
    <w:rPr>
      <w:szCs w:val="24"/>
    </w:rPr>
  </w:style>
  <w:style w:type="paragraph" w:customStyle="1" w:styleId="xl27">
    <w:name w:val="xl27"/>
    <w:basedOn w:val="Normalny"/>
    <w:rsid w:val="007511A4"/>
    <w:pPr>
      <w:pBdr>
        <w:top w:val="double" w:sz="6" w:space="0" w:color="auto"/>
        <w:bottom w:val="double" w:sz="6" w:space="0" w:color="auto"/>
      </w:pBdr>
      <w:suppressAutoHyphens w:val="0"/>
      <w:spacing w:before="100" w:beforeAutospacing="1" w:after="100" w:afterAutospacing="1"/>
      <w:jc w:val="center"/>
      <w:textAlignment w:val="center"/>
    </w:pPr>
    <w:rPr>
      <w:sz w:val="22"/>
      <w:szCs w:val="22"/>
    </w:rPr>
  </w:style>
  <w:style w:type="paragraph" w:customStyle="1" w:styleId="xl28">
    <w:name w:val="xl28"/>
    <w:basedOn w:val="Normalny"/>
    <w:rsid w:val="007511A4"/>
    <w:pPr>
      <w:pBdr>
        <w:top w:val="double" w:sz="6" w:space="0" w:color="auto"/>
        <w:bottom w:val="double" w:sz="6" w:space="0" w:color="auto"/>
      </w:pBdr>
      <w:suppressAutoHyphens w:val="0"/>
      <w:spacing w:before="100" w:beforeAutospacing="1" w:after="100" w:afterAutospacing="1"/>
      <w:jc w:val="center"/>
      <w:textAlignment w:val="center"/>
    </w:pPr>
    <w:rPr>
      <w:szCs w:val="24"/>
    </w:rPr>
  </w:style>
  <w:style w:type="paragraph" w:customStyle="1" w:styleId="xl29">
    <w:name w:val="xl29"/>
    <w:basedOn w:val="Normalny"/>
    <w:rsid w:val="007511A4"/>
    <w:pPr>
      <w:pBdr>
        <w:left w:val="single" w:sz="8" w:space="0" w:color="auto"/>
        <w:bottom w:val="double" w:sz="6" w:space="0" w:color="auto"/>
      </w:pBdr>
      <w:suppressAutoHyphens w:val="0"/>
      <w:spacing w:before="100" w:beforeAutospacing="1" w:after="100" w:afterAutospacing="1"/>
      <w:textAlignment w:val="center"/>
    </w:pPr>
    <w:rPr>
      <w:b/>
      <w:bCs/>
      <w:szCs w:val="24"/>
    </w:rPr>
  </w:style>
  <w:style w:type="paragraph" w:customStyle="1" w:styleId="xl30">
    <w:name w:val="xl30"/>
    <w:basedOn w:val="Normalny"/>
    <w:rsid w:val="007511A4"/>
    <w:pPr>
      <w:pBdr>
        <w:left w:val="single" w:sz="8" w:space="0" w:color="auto"/>
      </w:pBdr>
      <w:suppressAutoHyphens w:val="0"/>
      <w:spacing w:before="100" w:beforeAutospacing="1" w:after="100" w:afterAutospacing="1"/>
      <w:textAlignment w:val="center"/>
    </w:pPr>
    <w:rPr>
      <w:b/>
      <w:bCs/>
      <w:szCs w:val="24"/>
    </w:rPr>
  </w:style>
  <w:style w:type="paragraph" w:customStyle="1" w:styleId="xl31">
    <w:name w:val="xl31"/>
    <w:basedOn w:val="Normalny"/>
    <w:rsid w:val="007511A4"/>
    <w:pPr>
      <w:pBdr>
        <w:bottom w:val="single" w:sz="4" w:space="0" w:color="auto"/>
        <w:right w:val="single" w:sz="4" w:space="0" w:color="auto"/>
      </w:pBdr>
      <w:suppressAutoHyphens w:val="0"/>
      <w:spacing w:before="100" w:beforeAutospacing="1" w:after="100" w:afterAutospacing="1"/>
      <w:textAlignment w:val="center"/>
    </w:pPr>
    <w:rPr>
      <w:i/>
      <w:iCs/>
      <w:szCs w:val="24"/>
    </w:rPr>
  </w:style>
  <w:style w:type="paragraph" w:customStyle="1" w:styleId="xl32">
    <w:name w:val="xl32"/>
    <w:basedOn w:val="Normalny"/>
    <w:rsid w:val="007511A4"/>
    <w:pPr>
      <w:pBdr>
        <w:bottom w:val="double" w:sz="6" w:space="0" w:color="auto"/>
      </w:pBdr>
      <w:suppressAutoHyphens w:val="0"/>
      <w:spacing w:before="100" w:beforeAutospacing="1" w:after="100" w:afterAutospacing="1"/>
      <w:textAlignment w:val="center"/>
    </w:pPr>
    <w:rPr>
      <w:szCs w:val="24"/>
    </w:rPr>
  </w:style>
  <w:style w:type="paragraph" w:customStyle="1" w:styleId="xl33">
    <w:name w:val="xl33"/>
    <w:basedOn w:val="Normalny"/>
    <w:rsid w:val="007511A4"/>
    <w:pPr>
      <w:suppressAutoHyphens w:val="0"/>
      <w:spacing w:before="100" w:beforeAutospacing="1" w:after="100" w:afterAutospacing="1"/>
      <w:textAlignment w:val="center"/>
    </w:pPr>
    <w:rPr>
      <w:szCs w:val="24"/>
    </w:rPr>
  </w:style>
  <w:style w:type="paragraph" w:customStyle="1" w:styleId="xl34">
    <w:name w:val="xl34"/>
    <w:basedOn w:val="Normalny"/>
    <w:rsid w:val="007511A4"/>
    <w:pPr>
      <w:suppressAutoHyphens w:val="0"/>
      <w:spacing w:before="100" w:beforeAutospacing="1" w:after="100" w:afterAutospacing="1"/>
      <w:textAlignment w:val="center"/>
    </w:pPr>
    <w:rPr>
      <w:szCs w:val="24"/>
    </w:rPr>
  </w:style>
  <w:style w:type="paragraph" w:customStyle="1" w:styleId="xl35">
    <w:name w:val="xl35"/>
    <w:basedOn w:val="Normalny"/>
    <w:rsid w:val="007511A4"/>
    <w:pPr>
      <w:suppressAutoHyphens w:val="0"/>
      <w:spacing w:before="100" w:beforeAutospacing="1" w:after="100" w:afterAutospacing="1"/>
      <w:jc w:val="right"/>
      <w:textAlignment w:val="center"/>
    </w:pPr>
    <w:rPr>
      <w:b/>
      <w:bCs/>
      <w:szCs w:val="24"/>
    </w:rPr>
  </w:style>
  <w:style w:type="paragraph" w:customStyle="1" w:styleId="xl36">
    <w:name w:val="xl36"/>
    <w:basedOn w:val="Normalny"/>
    <w:rsid w:val="007511A4"/>
    <w:pPr>
      <w:suppressAutoHyphens w:val="0"/>
      <w:spacing w:before="100" w:beforeAutospacing="1" w:after="100" w:afterAutospacing="1"/>
      <w:textAlignment w:val="center"/>
    </w:pPr>
    <w:rPr>
      <w:szCs w:val="24"/>
    </w:rPr>
  </w:style>
  <w:style w:type="paragraph" w:customStyle="1" w:styleId="xl37">
    <w:name w:val="xl37"/>
    <w:basedOn w:val="Normalny"/>
    <w:rsid w:val="007511A4"/>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szCs w:val="24"/>
    </w:rPr>
  </w:style>
  <w:style w:type="paragraph" w:customStyle="1" w:styleId="xl38">
    <w:name w:val="xl38"/>
    <w:basedOn w:val="Normalny"/>
    <w:rsid w:val="007511A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sz w:val="16"/>
      <w:szCs w:val="16"/>
    </w:rPr>
  </w:style>
  <w:style w:type="paragraph" w:customStyle="1" w:styleId="xl39">
    <w:name w:val="xl39"/>
    <w:basedOn w:val="Normalny"/>
    <w:rsid w:val="007511A4"/>
    <w:pPr>
      <w:pBdr>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szCs w:val="24"/>
    </w:rPr>
  </w:style>
  <w:style w:type="paragraph" w:customStyle="1" w:styleId="xl40">
    <w:name w:val="xl40"/>
    <w:basedOn w:val="Normalny"/>
    <w:rsid w:val="007511A4"/>
    <w:pPr>
      <w:pBdr>
        <w:bottom w:val="single" w:sz="4" w:space="0" w:color="auto"/>
        <w:right w:val="single" w:sz="4" w:space="0" w:color="auto"/>
      </w:pBdr>
      <w:suppressAutoHyphens w:val="0"/>
      <w:spacing w:before="100" w:beforeAutospacing="1" w:after="100" w:afterAutospacing="1"/>
      <w:jc w:val="right"/>
      <w:textAlignment w:val="center"/>
    </w:pPr>
    <w:rPr>
      <w:sz w:val="16"/>
      <w:szCs w:val="16"/>
    </w:rPr>
  </w:style>
  <w:style w:type="paragraph" w:customStyle="1" w:styleId="xl41">
    <w:name w:val="xl41"/>
    <w:basedOn w:val="Normalny"/>
    <w:rsid w:val="007511A4"/>
    <w:pPr>
      <w:suppressAutoHyphens w:val="0"/>
      <w:spacing w:before="100" w:beforeAutospacing="1" w:after="100" w:afterAutospacing="1"/>
      <w:textAlignment w:val="center"/>
    </w:pPr>
    <w:rPr>
      <w:b/>
      <w:bCs/>
      <w:szCs w:val="24"/>
    </w:rPr>
  </w:style>
  <w:style w:type="paragraph" w:customStyle="1" w:styleId="xl42">
    <w:name w:val="xl42"/>
    <w:basedOn w:val="Normalny"/>
    <w:rsid w:val="007511A4"/>
    <w:pPr>
      <w:suppressAutoHyphens w:val="0"/>
      <w:spacing w:before="100" w:beforeAutospacing="1" w:after="100" w:afterAutospacing="1"/>
      <w:jc w:val="center"/>
      <w:textAlignment w:val="center"/>
    </w:pPr>
    <w:rPr>
      <w:szCs w:val="24"/>
    </w:rPr>
  </w:style>
  <w:style w:type="paragraph" w:customStyle="1" w:styleId="xl43">
    <w:name w:val="xl43"/>
    <w:basedOn w:val="Normalny"/>
    <w:rsid w:val="007511A4"/>
    <w:pPr>
      <w:suppressAutoHyphens w:val="0"/>
      <w:spacing w:before="100" w:beforeAutospacing="1" w:after="100" w:afterAutospacing="1"/>
      <w:textAlignment w:val="center"/>
    </w:pPr>
    <w:rPr>
      <w:rFonts w:ascii="Arial" w:hAnsi="Arial"/>
      <w:b/>
      <w:bCs/>
      <w:sz w:val="16"/>
      <w:szCs w:val="16"/>
    </w:rPr>
  </w:style>
  <w:style w:type="paragraph" w:customStyle="1" w:styleId="xl44">
    <w:name w:val="xl44"/>
    <w:basedOn w:val="Normalny"/>
    <w:rsid w:val="007511A4"/>
    <w:pPr>
      <w:suppressAutoHyphens w:val="0"/>
      <w:spacing w:before="100" w:beforeAutospacing="1" w:after="100" w:afterAutospacing="1"/>
      <w:textAlignment w:val="center"/>
    </w:pPr>
    <w:rPr>
      <w:rFonts w:ascii="Arial" w:hAnsi="Arial"/>
      <w:sz w:val="18"/>
      <w:szCs w:val="18"/>
    </w:rPr>
  </w:style>
  <w:style w:type="paragraph" w:customStyle="1" w:styleId="xl45">
    <w:name w:val="xl45"/>
    <w:basedOn w:val="Normalny"/>
    <w:rsid w:val="007511A4"/>
    <w:pPr>
      <w:suppressAutoHyphens w:val="0"/>
      <w:spacing w:before="100" w:beforeAutospacing="1" w:after="100" w:afterAutospacing="1"/>
      <w:textAlignment w:val="center"/>
    </w:pPr>
    <w:rPr>
      <w:rFonts w:ascii="Arial" w:hAnsi="Arial"/>
      <w:b/>
      <w:bCs/>
      <w:sz w:val="18"/>
      <w:szCs w:val="18"/>
    </w:rPr>
  </w:style>
  <w:style w:type="paragraph" w:customStyle="1" w:styleId="xl46">
    <w:name w:val="xl46"/>
    <w:basedOn w:val="Normalny"/>
    <w:rsid w:val="007511A4"/>
    <w:pPr>
      <w:suppressAutoHyphens w:val="0"/>
      <w:spacing w:before="100" w:beforeAutospacing="1" w:after="100" w:afterAutospacing="1"/>
      <w:textAlignment w:val="center"/>
    </w:pPr>
    <w:rPr>
      <w:rFonts w:ascii="Arial" w:hAnsi="Arial"/>
      <w:sz w:val="18"/>
      <w:szCs w:val="18"/>
    </w:rPr>
  </w:style>
  <w:style w:type="paragraph" w:customStyle="1" w:styleId="xl47">
    <w:name w:val="xl47"/>
    <w:basedOn w:val="Normalny"/>
    <w:rsid w:val="007511A4"/>
    <w:pPr>
      <w:suppressAutoHyphens w:val="0"/>
      <w:spacing w:before="100" w:beforeAutospacing="1" w:after="100" w:afterAutospacing="1"/>
      <w:textAlignment w:val="center"/>
    </w:pPr>
    <w:rPr>
      <w:rFonts w:ascii="Arial" w:hAnsi="Arial"/>
      <w:sz w:val="16"/>
      <w:szCs w:val="16"/>
    </w:rPr>
  </w:style>
  <w:style w:type="paragraph" w:customStyle="1" w:styleId="xl48">
    <w:name w:val="xl48"/>
    <w:basedOn w:val="Normalny"/>
    <w:rsid w:val="007511A4"/>
    <w:pPr>
      <w:pBdr>
        <w:bottom w:val="single" w:sz="4" w:space="0" w:color="auto"/>
        <w:right w:val="single" w:sz="4" w:space="0" w:color="auto"/>
      </w:pBdr>
      <w:suppressAutoHyphens w:val="0"/>
      <w:spacing w:before="100" w:beforeAutospacing="1" w:after="100" w:afterAutospacing="1"/>
      <w:textAlignment w:val="center"/>
    </w:pPr>
    <w:rPr>
      <w:sz w:val="16"/>
      <w:szCs w:val="16"/>
    </w:rPr>
  </w:style>
  <w:style w:type="paragraph" w:customStyle="1" w:styleId="xl49">
    <w:name w:val="xl49"/>
    <w:basedOn w:val="Normalny"/>
    <w:rsid w:val="007511A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 w:val="16"/>
      <w:szCs w:val="16"/>
    </w:rPr>
  </w:style>
  <w:style w:type="paragraph" w:customStyle="1" w:styleId="xl50">
    <w:name w:val="xl50"/>
    <w:basedOn w:val="Normalny"/>
    <w:rsid w:val="007511A4"/>
    <w:pPr>
      <w:suppressAutoHyphens w:val="0"/>
      <w:spacing w:before="100" w:beforeAutospacing="1" w:after="100" w:afterAutospacing="1"/>
      <w:jc w:val="center"/>
      <w:textAlignment w:val="center"/>
    </w:pPr>
    <w:rPr>
      <w:b/>
      <w:bCs/>
      <w:szCs w:val="24"/>
    </w:rPr>
  </w:style>
  <w:style w:type="paragraph" w:customStyle="1" w:styleId="xl51">
    <w:name w:val="xl51"/>
    <w:basedOn w:val="Normalny"/>
    <w:rsid w:val="007511A4"/>
    <w:pPr>
      <w:pBdr>
        <w:top w:val="double" w:sz="6" w:space="0" w:color="auto"/>
        <w:bottom w:val="double" w:sz="6" w:space="0" w:color="auto"/>
      </w:pBdr>
      <w:suppressAutoHyphens w:val="0"/>
      <w:spacing w:before="100" w:beforeAutospacing="1" w:after="100" w:afterAutospacing="1"/>
      <w:jc w:val="center"/>
      <w:textAlignment w:val="center"/>
    </w:pPr>
    <w:rPr>
      <w:b/>
      <w:bCs/>
      <w:szCs w:val="24"/>
    </w:rPr>
  </w:style>
  <w:style w:type="paragraph" w:customStyle="1" w:styleId="xl52">
    <w:name w:val="xl52"/>
    <w:basedOn w:val="Normalny"/>
    <w:rsid w:val="007511A4"/>
    <w:pPr>
      <w:suppressAutoHyphens w:val="0"/>
      <w:spacing w:before="100" w:beforeAutospacing="1" w:after="100" w:afterAutospacing="1"/>
      <w:textAlignment w:val="center"/>
    </w:pPr>
    <w:rPr>
      <w:b/>
      <w:bCs/>
      <w:szCs w:val="24"/>
    </w:rPr>
  </w:style>
  <w:style w:type="paragraph" w:customStyle="1" w:styleId="xl53">
    <w:name w:val="xl53"/>
    <w:basedOn w:val="Normalny"/>
    <w:rsid w:val="007511A4"/>
    <w:pPr>
      <w:suppressAutoHyphens w:val="0"/>
      <w:spacing w:before="100" w:beforeAutospacing="1" w:after="100" w:afterAutospacing="1"/>
      <w:textAlignment w:val="center"/>
    </w:pPr>
    <w:rPr>
      <w:rFonts w:ascii="Arial" w:hAnsi="Arial"/>
      <w:b/>
      <w:bCs/>
      <w:sz w:val="18"/>
      <w:szCs w:val="18"/>
    </w:rPr>
  </w:style>
  <w:style w:type="paragraph" w:customStyle="1" w:styleId="xl54">
    <w:name w:val="xl54"/>
    <w:basedOn w:val="Normalny"/>
    <w:rsid w:val="007511A4"/>
    <w:pPr>
      <w:pBdr>
        <w:right w:val="single" w:sz="4" w:space="0" w:color="auto"/>
      </w:pBdr>
      <w:suppressAutoHyphens w:val="0"/>
      <w:spacing w:before="100" w:beforeAutospacing="1" w:after="100" w:afterAutospacing="1"/>
      <w:jc w:val="center"/>
      <w:textAlignment w:val="center"/>
    </w:pPr>
    <w:rPr>
      <w:b/>
      <w:bCs/>
      <w:szCs w:val="24"/>
    </w:rPr>
  </w:style>
  <w:style w:type="paragraph" w:customStyle="1" w:styleId="xl55">
    <w:name w:val="xl55"/>
    <w:basedOn w:val="Normalny"/>
    <w:rsid w:val="007511A4"/>
    <w:pPr>
      <w:pBdr>
        <w:top w:val="double" w:sz="6" w:space="0" w:color="auto"/>
        <w:bottom w:val="double" w:sz="6" w:space="0" w:color="auto"/>
        <w:right w:val="single" w:sz="4" w:space="0" w:color="auto"/>
      </w:pBdr>
      <w:suppressAutoHyphens w:val="0"/>
      <w:spacing w:before="100" w:beforeAutospacing="1" w:after="100" w:afterAutospacing="1"/>
      <w:jc w:val="center"/>
      <w:textAlignment w:val="center"/>
    </w:pPr>
    <w:rPr>
      <w:b/>
      <w:bCs/>
      <w:szCs w:val="24"/>
    </w:rPr>
  </w:style>
  <w:style w:type="paragraph" w:customStyle="1" w:styleId="xl56">
    <w:name w:val="xl56"/>
    <w:basedOn w:val="Normalny"/>
    <w:rsid w:val="007511A4"/>
    <w:pPr>
      <w:pBdr>
        <w:left w:val="single" w:sz="4" w:space="0" w:color="auto"/>
        <w:bottom w:val="single" w:sz="4" w:space="0" w:color="auto"/>
        <w:right w:val="single" w:sz="4" w:space="0" w:color="auto"/>
      </w:pBdr>
      <w:suppressAutoHyphens w:val="0"/>
      <w:spacing w:before="100" w:beforeAutospacing="1" w:after="100" w:afterAutospacing="1"/>
      <w:textAlignment w:val="center"/>
    </w:pPr>
    <w:rPr>
      <w:sz w:val="16"/>
      <w:szCs w:val="16"/>
    </w:rPr>
  </w:style>
  <w:style w:type="paragraph" w:customStyle="1" w:styleId="xl57">
    <w:name w:val="xl57"/>
    <w:basedOn w:val="Normalny"/>
    <w:rsid w:val="007511A4"/>
    <w:pPr>
      <w:pBdr>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sz w:val="16"/>
      <w:szCs w:val="16"/>
    </w:rPr>
  </w:style>
  <w:style w:type="paragraph" w:customStyle="1" w:styleId="xl58">
    <w:name w:val="xl58"/>
    <w:basedOn w:val="Normalny"/>
    <w:rsid w:val="007511A4"/>
    <w:pPr>
      <w:pBdr>
        <w:left w:val="single" w:sz="4" w:space="0" w:color="auto"/>
      </w:pBdr>
      <w:suppressAutoHyphens w:val="0"/>
      <w:spacing w:before="100" w:beforeAutospacing="1" w:after="100" w:afterAutospacing="1"/>
      <w:jc w:val="center"/>
      <w:textAlignment w:val="center"/>
    </w:pPr>
    <w:rPr>
      <w:sz w:val="22"/>
      <w:szCs w:val="22"/>
    </w:rPr>
  </w:style>
  <w:style w:type="paragraph" w:customStyle="1" w:styleId="xl59">
    <w:name w:val="xl59"/>
    <w:basedOn w:val="Normalny"/>
    <w:rsid w:val="007511A4"/>
    <w:pPr>
      <w:pBdr>
        <w:top w:val="double" w:sz="6" w:space="0" w:color="auto"/>
        <w:left w:val="single" w:sz="4" w:space="0" w:color="auto"/>
        <w:bottom w:val="double" w:sz="6" w:space="0" w:color="auto"/>
      </w:pBdr>
      <w:suppressAutoHyphens w:val="0"/>
      <w:spacing w:before="100" w:beforeAutospacing="1" w:after="100" w:afterAutospacing="1"/>
      <w:jc w:val="center"/>
      <w:textAlignment w:val="center"/>
    </w:pPr>
    <w:rPr>
      <w:sz w:val="22"/>
      <w:szCs w:val="22"/>
    </w:rPr>
  </w:style>
  <w:style w:type="paragraph" w:customStyle="1" w:styleId="xl60">
    <w:name w:val="xl60"/>
    <w:basedOn w:val="Normalny"/>
    <w:rsid w:val="007511A4"/>
    <w:pPr>
      <w:suppressAutoHyphens w:val="0"/>
      <w:spacing w:before="100" w:beforeAutospacing="1" w:after="100" w:afterAutospacing="1"/>
      <w:textAlignment w:val="center"/>
    </w:pPr>
    <w:rPr>
      <w:sz w:val="14"/>
      <w:szCs w:val="14"/>
    </w:rPr>
  </w:style>
  <w:style w:type="paragraph" w:customStyle="1" w:styleId="xl61">
    <w:name w:val="xl61"/>
    <w:basedOn w:val="Normalny"/>
    <w:rsid w:val="007511A4"/>
    <w:pPr>
      <w:pBdr>
        <w:right w:val="single" w:sz="4" w:space="0" w:color="auto"/>
      </w:pBdr>
      <w:suppressAutoHyphens w:val="0"/>
      <w:spacing w:before="100" w:beforeAutospacing="1" w:after="100" w:afterAutospacing="1"/>
      <w:textAlignment w:val="center"/>
    </w:pPr>
    <w:rPr>
      <w:i/>
      <w:iCs/>
      <w:szCs w:val="24"/>
    </w:rPr>
  </w:style>
  <w:style w:type="paragraph" w:customStyle="1" w:styleId="xl62">
    <w:name w:val="xl62"/>
    <w:basedOn w:val="Normalny"/>
    <w:rsid w:val="007511A4"/>
    <w:pPr>
      <w:pBdr>
        <w:top w:val="single" w:sz="4" w:space="0" w:color="auto"/>
        <w:left w:val="single" w:sz="4" w:space="0" w:color="auto"/>
        <w:right w:val="single" w:sz="4" w:space="0" w:color="auto"/>
      </w:pBdr>
      <w:suppressAutoHyphens w:val="0"/>
      <w:spacing w:before="100" w:beforeAutospacing="1" w:after="100" w:afterAutospacing="1"/>
      <w:textAlignment w:val="center"/>
    </w:pPr>
    <w:rPr>
      <w:sz w:val="16"/>
      <w:szCs w:val="16"/>
    </w:rPr>
  </w:style>
  <w:style w:type="paragraph" w:customStyle="1" w:styleId="xl63">
    <w:name w:val="xl63"/>
    <w:basedOn w:val="Normalny"/>
    <w:rsid w:val="007511A4"/>
    <w:pPr>
      <w:pBdr>
        <w:left w:val="single" w:sz="8" w:space="0" w:color="auto"/>
        <w:bottom w:val="double" w:sz="6" w:space="0" w:color="auto"/>
      </w:pBdr>
      <w:suppressAutoHyphens w:val="0"/>
      <w:spacing w:before="100" w:beforeAutospacing="1" w:after="100" w:afterAutospacing="1"/>
      <w:jc w:val="right"/>
      <w:textAlignment w:val="center"/>
    </w:pPr>
    <w:rPr>
      <w:b/>
      <w:bCs/>
      <w:szCs w:val="24"/>
    </w:rPr>
  </w:style>
  <w:style w:type="paragraph" w:customStyle="1" w:styleId="xl64">
    <w:name w:val="xl64"/>
    <w:basedOn w:val="Normalny"/>
    <w:rsid w:val="007511A4"/>
    <w:pPr>
      <w:pBdr>
        <w:bottom w:val="double" w:sz="6" w:space="0" w:color="auto"/>
      </w:pBdr>
      <w:suppressAutoHyphens w:val="0"/>
      <w:spacing w:before="100" w:beforeAutospacing="1" w:after="100" w:afterAutospacing="1"/>
      <w:jc w:val="right"/>
      <w:textAlignment w:val="center"/>
    </w:pPr>
    <w:rPr>
      <w:szCs w:val="24"/>
    </w:rPr>
  </w:style>
  <w:style w:type="paragraph" w:customStyle="1" w:styleId="xl65">
    <w:name w:val="xl65"/>
    <w:basedOn w:val="Normalny"/>
    <w:rsid w:val="007511A4"/>
    <w:pPr>
      <w:pBdr>
        <w:top w:val="single" w:sz="4" w:space="0" w:color="auto"/>
        <w:left w:val="single" w:sz="4" w:space="0" w:color="auto"/>
        <w:bottom w:val="single" w:sz="4" w:space="0" w:color="auto"/>
        <w:right w:val="single" w:sz="4" w:space="0" w:color="auto"/>
      </w:pBdr>
      <w:shd w:val="clear" w:color="auto" w:fill="FF99CC"/>
      <w:suppressAutoHyphens w:val="0"/>
      <w:spacing w:before="100" w:beforeAutospacing="1" w:after="100" w:afterAutospacing="1"/>
      <w:jc w:val="right"/>
      <w:textAlignment w:val="center"/>
    </w:pPr>
    <w:rPr>
      <w:szCs w:val="24"/>
    </w:rPr>
  </w:style>
  <w:style w:type="paragraph" w:customStyle="1" w:styleId="xl66">
    <w:name w:val="xl66"/>
    <w:basedOn w:val="Normalny"/>
    <w:rsid w:val="007511A4"/>
    <w:pPr>
      <w:pBdr>
        <w:top w:val="single" w:sz="4" w:space="0" w:color="auto"/>
        <w:left w:val="single" w:sz="4" w:space="0" w:color="auto"/>
        <w:bottom w:val="single" w:sz="4" w:space="0" w:color="auto"/>
        <w:right w:val="single" w:sz="4" w:space="0" w:color="auto"/>
      </w:pBdr>
      <w:shd w:val="clear" w:color="auto" w:fill="FF99CC"/>
      <w:suppressAutoHyphens w:val="0"/>
      <w:spacing w:before="100" w:beforeAutospacing="1" w:after="100" w:afterAutospacing="1"/>
      <w:jc w:val="right"/>
      <w:textAlignment w:val="center"/>
    </w:pPr>
    <w:rPr>
      <w:b/>
      <w:bCs/>
      <w:sz w:val="16"/>
      <w:szCs w:val="16"/>
    </w:rPr>
  </w:style>
  <w:style w:type="paragraph" w:customStyle="1" w:styleId="xl67">
    <w:name w:val="xl67"/>
    <w:basedOn w:val="Normalny"/>
    <w:rsid w:val="007511A4"/>
    <w:pPr>
      <w:pBdr>
        <w:bottom w:val="single" w:sz="4" w:space="0" w:color="auto"/>
        <w:right w:val="single" w:sz="4" w:space="0" w:color="auto"/>
      </w:pBdr>
      <w:suppressAutoHyphens w:val="0"/>
      <w:spacing w:before="100" w:beforeAutospacing="1" w:after="100" w:afterAutospacing="1"/>
      <w:textAlignment w:val="center"/>
    </w:pPr>
    <w:rPr>
      <w:b/>
      <w:bCs/>
      <w:sz w:val="16"/>
      <w:szCs w:val="16"/>
    </w:rPr>
  </w:style>
  <w:style w:type="paragraph" w:customStyle="1" w:styleId="xl68">
    <w:name w:val="xl68"/>
    <w:basedOn w:val="Normalny"/>
    <w:rsid w:val="007511A4"/>
    <w:pPr>
      <w:pBdr>
        <w:right w:val="single" w:sz="4" w:space="0" w:color="auto"/>
      </w:pBdr>
      <w:suppressAutoHyphens w:val="0"/>
      <w:spacing w:before="100" w:beforeAutospacing="1" w:after="100" w:afterAutospacing="1"/>
      <w:textAlignment w:val="center"/>
    </w:pPr>
    <w:rPr>
      <w:b/>
      <w:bCs/>
      <w:sz w:val="16"/>
      <w:szCs w:val="16"/>
    </w:rPr>
  </w:style>
  <w:style w:type="paragraph" w:customStyle="1" w:styleId="xl69">
    <w:name w:val="xl69"/>
    <w:basedOn w:val="Normalny"/>
    <w:rsid w:val="007511A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Cs w:val="24"/>
    </w:rPr>
  </w:style>
  <w:style w:type="paragraph" w:customStyle="1" w:styleId="xl70">
    <w:name w:val="xl70"/>
    <w:basedOn w:val="Normalny"/>
    <w:rsid w:val="007511A4"/>
    <w:pPr>
      <w:pBdr>
        <w:left w:val="single" w:sz="8" w:space="0" w:color="auto"/>
        <w:right w:val="single" w:sz="4" w:space="0" w:color="auto"/>
      </w:pBdr>
      <w:suppressAutoHyphens w:val="0"/>
      <w:spacing w:before="100" w:beforeAutospacing="1" w:after="100" w:afterAutospacing="1"/>
      <w:jc w:val="center"/>
      <w:textAlignment w:val="center"/>
    </w:pPr>
    <w:rPr>
      <w:szCs w:val="24"/>
    </w:rPr>
  </w:style>
  <w:style w:type="paragraph" w:customStyle="1" w:styleId="xl71">
    <w:name w:val="xl71"/>
    <w:basedOn w:val="Normalny"/>
    <w:rsid w:val="007511A4"/>
    <w:pPr>
      <w:pBdr>
        <w:right w:val="single" w:sz="4" w:space="0" w:color="auto"/>
      </w:pBdr>
      <w:suppressAutoHyphens w:val="0"/>
      <w:spacing w:before="100" w:beforeAutospacing="1" w:after="100" w:afterAutospacing="1"/>
      <w:jc w:val="right"/>
      <w:textAlignment w:val="center"/>
    </w:pPr>
    <w:rPr>
      <w:sz w:val="16"/>
      <w:szCs w:val="16"/>
    </w:rPr>
  </w:style>
  <w:style w:type="paragraph" w:customStyle="1" w:styleId="xl72">
    <w:name w:val="xl72"/>
    <w:basedOn w:val="Normalny"/>
    <w:rsid w:val="007511A4"/>
    <w:pPr>
      <w:pBdr>
        <w:left w:val="single" w:sz="4" w:space="0" w:color="auto"/>
        <w:right w:val="single" w:sz="4" w:space="0" w:color="auto"/>
      </w:pBdr>
      <w:suppressAutoHyphens w:val="0"/>
      <w:spacing w:before="100" w:beforeAutospacing="1" w:after="100" w:afterAutospacing="1"/>
      <w:jc w:val="right"/>
      <w:textAlignment w:val="center"/>
    </w:pPr>
    <w:rPr>
      <w:sz w:val="16"/>
      <w:szCs w:val="16"/>
    </w:rPr>
  </w:style>
  <w:style w:type="paragraph" w:customStyle="1" w:styleId="xl73">
    <w:name w:val="xl73"/>
    <w:basedOn w:val="Normalny"/>
    <w:rsid w:val="007511A4"/>
    <w:pPr>
      <w:pBdr>
        <w:bottom w:val="single" w:sz="4" w:space="0" w:color="auto"/>
        <w:right w:val="single" w:sz="4" w:space="0" w:color="auto"/>
      </w:pBdr>
      <w:shd w:val="clear" w:color="auto" w:fill="FFFFFF"/>
      <w:suppressAutoHyphens w:val="0"/>
      <w:spacing w:before="100" w:beforeAutospacing="1" w:after="100" w:afterAutospacing="1"/>
      <w:textAlignment w:val="center"/>
    </w:pPr>
    <w:rPr>
      <w:b/>
      <w:bCs/>
      <w:sz w:val="16"/>
      <w:szCs w:val="16"/>
    </w:rPr>
  </w:style>
  <w:style w:type="paragraph" w:customStyle="1" w:styleId="xl74">
    <w:name w:val="xl74"/>
    <w:basedOn w:val="Normalny"/>
    <w:rsid w:val="007511A4"/>
    <w:pPr>
      <w:pBdr>
        <w:right w:val="single" w:sz="4" w:space="0" w:color="auto"/>
      </w:pBdr>
      <w:shd w:val="clear" w:color="auto" w:fill="FFFFFF"/>
      <w:suppressAutoHyphens w:val="0"/>
      <w:spacing w:before="100" w:beforeAutospacing="1" w:after="100" w:afterAutospacing="1"/>
      <w:textAlignment w:val="center"/>
    </w:pPr>
    <w:rPr>
      <w:b/>
      <w:bCs/>
      <w:sz w:val="16"/>
      <w:szCs w:val="16"/>
    </w:rPr>
  </w:style>
  <w:style w:type="paragraph" w:customStyle="1" w:styleId="xl75">
    <w:name w:val="xl75"/>
    <w:basedOn w:val="Normalny"/>
    <w:rsid w:val="007511A4"/>
    <w:pPr>
      <w:suppressAutoHyphens w:val="0"/>
      <w:spacing w:before="100" w:beforeAutospacing="1" w:after="100" w:afterAutospacing="1"/>
      <w:jc w:val="center"/>
      <w:textAlignment w:val="center"/>
    </w:pPr>
    <w:rPr>
      <w:b/>
      <w:bCs/>
      <w:szCs w:val="24"/>
    </w:rPr>
  </w:style>
  <w:style w:type="paragraph" w:customStyle="1" w:styleId="xl76">
    <w:name w:val="xl76"/>
    <w:basedOn w:val="Normalny"/>
    <w:rsid w:val="007511A4"/>
    <w:pPr>
      <w:pBdr>
        <w:top w:val="double" w:sz="6" w:space="0" w:color="auto"/>
        <w:bottom w:val="double" w:sz="6" w:space="0" w:color="auto"/>
      </w:pBdr>
      <w:suppressAutoHyphens w:val="0"/>
      <w:spacing w:before="100" w:beforeAutospacing="1" w:after="100" w:afterAutospacing="1"/>
      <w:jc w:val="center"/>
      <w:textAlignment w:val="center"/>
    </w:pPr>
    <w:rPr>
      <w:b/>
      <w:bCs/>
      <w:szCs w:val="24"/>
    </w:rPr>
  </w:style>
  <w:style w:type="paragraph" w:customStyle="1" w:styleId="xl77">
    <w:name w:val="xl77"/>
    <w:basedOn w:val="Normalny"/>
    <w:rsid w:val="007511A4"/>
    <w:pPr>
      <w:pBdr>
        <w:bottom w:val="single" w:sz="4" w:space="0" w:color="auto"/>
        <w:right w:val="single" w:sz="4" w:space="0" w:color="auto"/>
      </w:pBdr>
      <w:suppressAutoHyphens w:val="0"/>
      <w:spacing w:before="100" w:beforeAutospacing="1" w:after="100" w:afterAutospacing="1"/>
      <w:jc w:val="right"/>
      <w:textAlignment w:val="center"/>
    </w:pPr>
    <w:rPr>
      <w:b/>
      <w:bCs/>
      <w:sz w:val="16"/>
      <w:szCs w:val="16"/>
    </w:rPr>
  </w:style>
  <w:style w:type="paragraph" w:customStyle="1" w:styleId="xl78">
    <w:name w:val="xl78"/>
    <w:basedOn w:val="Normalny"/>
    <w:rsid w:val="007511A4"/>
    <w:pPr>
      <w:pBdr>
        <w:right w:val="single" w:sz="4" w:space="0" w:color="auto"/>
      </w:pBdr>
      <w:suppressAutoHyphens w:val="0"/>
      <w:spacing w:before="100" w:beforeAutospacing="1" w:after="100" w:afterAutospacing="1"/>
      <w:jc w:val="right"/>
      <w:textAlignment w:val="center"/>
    </w:pPr>
    <w:rPr>
      <w:b/>
      <w:bCs/>
      <w:sz w:val="16"/>
      <w:szCs w:val="16"/>
    </w:rPr>
  </w:style>
  <w:style w:type="paragraph" w:customStyle="1" w:styleId="xl79">
    <w:name w:val="xl79"/>
    <w:basedOn w:val="Normalny"/>
    <w:rsid w:val="007511A4"/>
    <w:pPr>
      <w:pBdr>
        <w:bottom w:val="single" w:sz="4" w:space="0" w:color="auto"/>
        <w:right w:val="single" w:sz="4" w:space="0" w:color="auto"/>
      </w:pBdr>
      <w:shd w:val="clear" w:color="auto" w:fill="CCCCFF"/>
      <w:suppressAutoHyphens w:val="0"/>
      <w:spacing w:before="100" w:beforeAutospacing="1" w:after="100" w:afterAutospacing="1"/>
      <w:jc w:val="right"/>
      <w:textAlignment w:val="center"/>
    </w:pPr>
    <w:rPr>
      <w:b/>
      <w:bCs/>
      <w:sz w:val="16"/>
      <w:szCs w:val="16"/>
    </w:rPr>
  </w:style>
  <w:style w:type="paragraph" w:customStyle="1" w:styleId="xl80">
    <w:name w:val="xl80"/>
    <w:basedOn w:val="Normalny"/>
    <w:rsid w:val="007511A4"/>
    <w:pPr>
      <w:pBdr>
        <w:right w:val="single" w:sz="4" w:space="0" w:color="auto"/>
      </w:pBdr>
      <w:shd w:val="clear" w:color="auto" w:fill="CCCCFF"/>
      <w:suppressAutoHyphens w:val="0"/>
      <w:spacing w:before="100" w:beforeAutospacing="1" w:after="100" w:afterAutospacing="1"/>
      <w:jc w:val="right"/>
      <w:textAlignment w:val="center"/>
    </w:pPr>
    <w:rPr>
      <w:b/>
      <w:bCs/>
      <w:sz w:val="16"/>
      <w:szCs w:val="16"/>
    </w:rPr>
  </w:style>
  <w:style w:type="paragraph" w:customStyle="1" w:styleId="xl81">
    <w:name w:val="xl81"/>
    <w:basedOn w:val="Normalny"/>
    <w:rsid w:val="007511A4"/>
    <w:pPr>
      <w:pBdr>
        <w:bottom w:val="single" w:sz="4" w:space="0" w:color="auto"/>
        <w:right w:val="single" w:sz="4" w:space="0" w:color="auto"/>
      </w:pBdr>
      <w:shd w:val="pct12" w:color="CCCCFF" w:fill="CCCCFF"/>
      <w:suppressAutoHyphens w:val="0"/>
      <w:spacing w:before="100" w:beforeAutospacing="1" w:after="100" w:afterAutospacing="1"/>
      <w:textAlignment w:val="center"/>
    </w:pPr>
    <w:rPr>
      <w:b/>
      <w:bCs/>
      <w:sz w:val="16"/>
      <w:szCs w:val="16"/>
    </w:rPr>
  </w:style>
  <w:style w:type="paragraph" w:customStyle="1" w:styleId="xl82">
    <w:name w:val="xl82"/>
    <w:basedOn w:val="Normalny"/>
    <w:rsid w:val="007511A4"/>
    <w:pPr>
      <w:pBdr>
        <w:right w:val="single" w:sz="4" w:space="0" w:color="auto"/>
      </w:pBdr>
      <w:shd w:val="pct12" w:color="CCCCFF" w:fill="CCCCFF"/>
      <w:suppressAutoHyphens w:val="0"/>
      <w:spacing w:before="100" w:beforeAutospacing="1" w:after="100" w:afterAutospacing="1"/>
      <w:textAlignment w:val="center"/>
    </w:pPr>
    <w:rPr>
      <w:b/>
      <w:bCs/>
      <w:sz w:val="16"/>
      <w:szCs w:val="16"/>
    </w:rPr>
  </w:style>
  <w:style w:type="paragraph" w:customStyle="1" w:styleId="xl83">
    <w:name w:val="xl83"/>
    <w:basedOn w:val="Normalny"/>
    <w:rsid w:val="007511A4"/>
    <w:pPr>
      <w:pBdr>
        <w:bottom w:val="double" w:sz="6" w:space="0" w:color="auto"/>
        <w:right w:val="single" w:sz="4" w:space="0" w:color="auto"/>
      </w:pBdr>
      <w:suppressAutoHyphens w:val="0"/>
      <w:spacing w:before="100" w:beforeAutospacing="1" w:after="100" w:afterAutospacing="1"/>
      <w:textAlignment w:val="center"/>
    </w:pPr>
    <w:rPr>
      <w:b/>
      <w:bCs/>
      <w:szCs w:val="24"/>
    </w:rPr>
  </w:style>
  <w:style w:type="paragraph" w:customStyle="1" w:styleId="xl84">
    <w:name w:val="xl84"/>
    <w:basedOn w:val="Normalny"/>
    <w:rsid w:val="007511A4"/>
    <w:pPr>
      <w:pBdr>
        <w:top w:val="double" w:sz="6" w:space="0" w:color="auto"/>
        <w:bottom w:val="single" w:sz="8" w:space="0" w:color="auto"/>
        <w:right w:val="single" w:sz="4" w:space="0" w:color="auto"/>
      </w:pBdr>
      <w:shd w:val="clear" w:color="auto" w:fill="9999FF"/>
      <w:suppressAutoHyphens w:val="0"/>
      <w:spacing w:before="100" w:beforeAutospacing="1" w:after="100" w:afterAutospacing="1"/>
      <w:jc w:val="right"/>
      <w:textAlignment w:val="center"/>
    </w:pPr>
    <w:rPr>
      <w:b/>
      <w:bCs/>
      <w:szCs w:val="24"/>
    </w:rPr>
  </w:style>
  <w:style w:type="paragraph" w:customStyle="1" w:styleId="xl85">
    <w:name w:val="xl85"/>
    <w:basedOn w:val="Normalny"/>
    <w:rsid w:val="007511A4"/>
    <w:pPr>
      <w:pBdr>
        <w:top w:val="double" w:sz="6" w:space="0" w:color="auto"/>
        <w:left w:val="single" w:sz="4" w:space="0" w:color="auto"/>
        <w:bottom w:val="single" w:sz="8" w:space="0" w:color="auto"/>
        <w:right w:val="single" w:sz="4" w:space="0" w:color="auto"/>
      </w:pBdr>
      <w:shd w:val="clear" w:color="auto" w:fill="9999FF"/>
      <w:suppressAutoHyphens w:val="0"/>
      <w:spacing w:before="100" w:beforeAutospacing="1" w:after="100" w:afterAutospacing="1"/>
      <w:textAlignment w:val="center"/>
    </w:pPr>
    <w:rPr>
      <w:b/>
      <w:bCs/>
      <w:sz w:val="16"/>
      <w:szCs w:val="16"/>
    </w:rPr>
  </w:style>
  <w:style w:type="paragraph" w:customStyle="1" w:styleId="xl86">
    <w:name w:val="xl86"/>
    <w:basedOn w:val="Normalny"/>
    <w:rsid w:val="007511A4"/>
    <w:pPr>
      <w:pBdr>
        <w:top w:val="single" w:sz="4" w:space="0" w:color="auto"/>
        <w:left w:val="single" w:sz="4" w:space="0" w:color="auto"/>
        <w:bottom w:val="single" w:sz="4" w:space="0" w:color="auto"/>
        <w:right w:val="single" w:sz="4" w:space="0" w:color="auto"/>
      </w:pBdr>
      <w:shd w:val="clear" w:color="auto" w:fill="CC99FF"/>
      <w:suppressAutoHyphens w:val="0"/>
      <w:spacing w:before="100" w:beforeAutospacing="1" w:after="100" w:afterAutospacing="1"/>
      <w:jc w:val="right"/>
      <w:textAlignment w:val="center"/>
    </w:pPr>
    <w:rPr>
      <w:szCs w:val="24"/>
    </w:rPr>
  </w:style>
  <w:style w:type="paragraph" w:customStyle="1" w:styleId="xl87">
    <w:name w:val="xl87"/>
    <w:basedOn w:val="Normalny"/>
    <w:rsid w:val="007511A4"/>
    <w:pPr>
      <w:pBdr>
        <w:top w:val="single" w:sz="4" w:space="0" w:color="auto"/>
        <w:left w:val="single" w:sz="4" w:space="0" w:color="auto"/>
        <w:bottom w:val="single" w:sz="4" w:space="0" w:color="auto"/>
        <w:right w:val="single" w:sz="4" w:space="0" w:color="auto"/>
      </w:pBdr>
      <w:shd w:val="clear" w:color="auto" w:fill="CC99FF"/>
      <w:suppressAutoHyphens w:val="0"/>
      <w:spacing w:before="100" w:beforeAutospacing="1" w:after="100" w:afterAutospacing="1"/>
      <w:jc w:val="right"/>
      <w:textAlignment w:val="center"/>
    </w:pPr>
    <w:rPr>
      <w:b/>
      <w:bCs/>
      <w:sz w:val="16"/>
      <w:szCs w:val="16"/>
    </w:rPr>
  </w:style>
  <w:style w:type="paragraph" w:customStyle="1" w:styleId="xl88">
    <w:name w:val="xl88"/>
    <w:basedOn w:val="Normalny"/>
    <w:rsid w:val="007511A4"/>
    <w:pPr>
      <w:pBdr>
        <w:top w:val="single" w:sz="4" w:space="0" w:color="auto"/>
        <w:left w:val="single" w:sz="8" w:space="0" w:color="auto"/>
        <w:right w:val="single" w:sz="4" w:space="0" w:color="auto"/>
      </w:pBdr>
      <w:suppressAutoHyphens w:val="0"/>
      <w:spacing w:before="100" w:beforeAutospacing="1" w:after="100" w:afterAutospacing="1"/>
      <w:jc w:val="center"/>
      <w:textAlignment w:val="center"/>
    </w:pPr>
    <w:rPr>
      <w:i/>
      <w:iCs/>
      <w:sz w:val="14"/>
      <w:szCs w:val="14"/>
    </w:rPr>
  </w:style>
  <w:style w:type="paragraph" w:customStyle="1" w:styleId="xl89">
    <w:name w:val="xl89"/>
    <w:basedOn w:val="Normalny"/>
    <w:rsid w:val="007511A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i/>
      <w:iCs/>
      <w:sz w:val="14"/>
      <w:szCs w:val="14"/>
    </w:rPr>
  </w:style>
  <w:style w:type="paragraph" w:customStyle="1" w:styleId="xl90">
    <w:name w:val="xl90"/>
    <w:basedOn w:val="Normalny"/>
    <w:rsid w:val="007511A4"/>
    <w:pPr>
      <w:pBdr>
        <w:top w:val="single" w:sz="4" w:space="0" w:color="auto"/>
        <w:right w:val="single" w:sz="4" w:space="0" w:color="auto"/>
      </w:pBdr>
      <w:suppressAutoHyphens w:val="0"/>
      <w:spacing w:before="100" w:beforeAutospacing="1" w:after="100" w:afterAutospacing="1"/>
      <w:jc w:val="center"/>
      <w:textAlignment w:val="center"/>
    </w:pPr>
    <w:rPr>
      <w:i/>
      <w:iCs/>
      <w:sz w:val="14"/>
      <w:szCs w:val="14"/>
    </w:rPr>
  </w:style>
  <w:style w:type="paragraph" w:customStyle="1" w:styleId="xl91">
    <w:name w:val="xl91"/>
    <w:basedOn w:val="Normalny"/>
    <w:rsid w:val="007511A4"/>
    <w:pPr>
      <w:pBdr>
        <w:top w:val="single" w:sz="4" w:space="0" w:color="auto"/>
        <w:right w:val="single" w:sz="4" w:space="0" w:color="auto"/>
      </w:pBdr>
      <w:suppressAutoHyphens w:val="0"/>
      <w:spacing w:before="100" w:beforeAutospacing="1" w:after="100" w:afterAutospacing="1"/>
      <w:jc w:val="center"/>
      <w:textAlignment w:val="center"/>
    </w:pPr>
    <w:rPr>
      <w:i/>
      <w:iCs/>
      <w:sz w:val="14"/>
      <w:szCs w:val="14"/>
    </w:rPr>
  </w:style>
  <w:style w:type="paragraph" w:customStyle="1" w:styleId="xl92">
    <w:name w:val="xl92"/>
    <w:basedOn w:val="Normalny"/>
    <w:rsid w:val="007511A4"/>
    <w:pPr>
      <w:pBdr>
        <w:top w:val="single" w:sz="4" w:space="0" w:color="auto"/>
        <w:right w:val="single" w:sz="4" w:space="0" w:color="auto"/>
      </w:pBdr>
      <w:suppressAutoHyphens w:val="0"/>
      <w:spacing w:before="100" w:beforeAutospacing="1" w:after="100" w:afterAutospacing="1"/>
      <w:jc w:val="center"/>
      <w:textAlignment w:val="center"/>
    </w:pPr>
    <w:rPr>
      <w:b/>
      <w:bCs/>
      <w:i/>
      <w:iCs/>
      <w:sz w:val="14"/>
      <w:szCs w:val="14"/>
    </w:rPr>
  </w:style>
  <w:style w:type="paragraph" w:customStyle="1" w:styleId="xl93">
    <w:name w:val="xl93"/>
    <w:basedOn w:val="Normalny"/>
    <w:rsid w:val="007511A4"/>
    <w:pPr>
      <w:pBdr>
        <w:top w:val="single" w:sz="4" w:space="0" w:color="auto"/>
        <w:right w:val="single" w:sz="4" w:space="0" w:color="auto"/>
      </w:pBdr>
      <w:suppressAutoHyphens w:val="0"/>
      <w:spacing w:before="100" w:beforeAutospacing="1" w:after="100" w:afterAutospacing="1"/>
      <w:jc w:val="center"/>
      <w:textAlignment w:val="center"/>
    </w:pPr>
    <w:rPr>
      <w:b/>
      <w:bCs/>
      <w:i/>
      <w:iCs/>
      <w:sz w:val="14"/>
      <w:szCs w:val="14"/>
    </w:rPr>
  </w:style>
  <w:style w:type="paragraph" w:customStyle="1" w:styleId="xl94">
    <w:name w:val="xl94"/>
    <w:basedOn w:val="Normalny"/>
    <w:rsid w:val="007511A4"/>
    <w:pPr>
      <w:pBdr>
        <w:top w:val="single" w:sz="4" w:space="0" w:color="auto"/>
        <w:right w:val="single" w:sz="4" w:space="0" w:color="auto"/>
      </w:pBdr>
      <w:shd w:val="clear" w:color="auto" w:fill="FFFFFF"/>
      <w:suppressAutoHyphens w:val="0"/>
      <w:spacing w:before="100" w:beforeAutospacing="1" w:after="100" w:afterAutospacing="1"/>
      <w:jc w:val="center"/>
      <w:textAlignment w:val="center"/>
    </w:pPr>
    <w:rPr>
      <w:b/>
      <w:bCs/>
      <w:i/>
      <w:iCs/>
      <w:sz w:val="14"/>
      <w:szCs w:val="14"/>
    </w:rPr>
  </w:style>
  <w:style w:type="paragraph" w:customStyle="1" w:styleId="xl95">
    <w:name w:val="xl95"/>
    <w:basedOn w:val="Normalny"/>
    <w:rsid w:val="007511A4"/>
    <w:pPr>
      <w:pBdr>
        <w:top w:val="single" w:sz="4" w:space="0" w:color="auto"/>
        <w:right w:val="single" w:sz="4" w:space="0" w:color="auto"/>
      </w:pBdr>
      <w:shd w:val="clear" w:color="FFFFFF" w:fill="CCCCFF"/>
      <w:suppressAutoHyphens w:val="0"/>
      <w:spacing w:before="100" w:beforeAutospacing="1" w:after="100" w:afterAutospacing="1"/>
      <w:jc w:val="center"/>
      <w:textAlignment w:val="center"/>
    </w:pPr>
    <w:rPr>
      <w:b/>
      <w:bCs/>
      <w:i/>
      <w:iCs/>
      <w:sz w:val="14"/>
      <w:szCs w:val="14"/>
    </w:rPr>
  </w:style>
  <w:style w:type="paragraph" w:customStyle="1" w:styleId="xl96">
    <w:name w:val="xl96"/>
    <w:basedOn w:val="Normalny"/>
    <w:rsid w:val="007511A4"/>
    <w:pPr>
      <w:pBdr>
        <w:top w:val="double" w:sz="6" w:space="0" w:color="auto"/>
        <w:left w:val="single" w:sz="4" w:space="0" w:color="auto"/>
        <w:bottom w:val="double" w:sz="6" w:space="0" w:color="auto"/>
      </w:pBdr>
      <w:suppressAutoHyphens w:val="0"/>
      <w:spacing w:before="100" w:beforeAutospacing="1" w:after="100" w:afterAutospacing="1"/>
      <w:textAlignment w:val="center"/>
    </w:pPr>
    <w:rPr>
      <w:szCs w:val="24"/>
    </w:rPr>
  </w:style>
  <w:style w:type="paragraph" w:customStyle="1" w:styleId="xl97">
    <w:name w:val="xl97"/>
    <w:basedOn w:val="Normalny"/>
    <w:rsid w:val="007511A4"/>
    <w:pPr>
      <w:pBdr>
        <w:top w:val="double" w:sz="6" w:space="0" w:color="auto"/>
        <w:bottom w:val="double" w:sz="6" w:space="0" w:color="auto"/>
      </w:pBdr>
      <w:suppressAutoHyphens w:val="0"/>
      <w:spacing w:before="100" w:beforeAutospacing="1" w:after="100" w:afterAutospacing="1"/>
      <w:textAlignment w:val="center"/>
    </w:pPr>
    <w:rPr>
      <w:szCs w:val="24"/>
    </w:rPr>
  </w:style>
  <w:style w:type="paragraph" w:customStyle="1" w:styleId="xl98">
    <w:name w:val="xl98"/>
    <w:basedOn w:val="Normalny"/>
    <w:rsid w:val="007511A4"/>
    <w:pPr>
      <w:pBdr>
        <w:top w:val="double" w:sz="6" w:space="0" w:color="auto"/>
        <w:bottom w:val="double" w:sz="6" w:space="0" w:color="auto"/>
      </w:pBdr>
      <w:suppressAutoHyphens w:val="0"/>
      <w:spacing w:before="100" w:beforeAutospacing="1" w:after="100" w:afterAutospacing="1"/>
      <w:jc w:val="center"/>
      <w:textAlignment w:val="center"/>
    </w:pPr>
    <w:rPr>
      <w:sz w:val="22"/>
      <w:szCs w:val="22"/>
    </w:rPr>
  </w:style>
  <w:style w:type="paragraph" w:customStyle="1" w:styleId="xl99">
    <w:name w:val="xl99"/>
    <w:basedOn w:val="Normalny"/>
    <w:rsid w:val="007511A4"/>
    <w:pPr>
      <w:pBdr>
        <w:top w:val="double" w:sz="6" w:space="0" w:color="auto"/>
        <w:bottom w:val="double" w:sz="6" w:space="0" w:color="auto"/>
      </w:pBdr>
      <w:suppressAutoHyphens w:val="0"/>
      <w:spacing w:before="100" w:beforeAutospacing="1" w:after="100" w:afterAutospacing="1"/>
      <w:jc w:val="center"/>
      <w:textAlignment w:val="center"/>
    </w:pPr>
    <w:rPr>
      <w:szCs w:val="24"/>
    </w:rPr>
  </w:style>
  <w:style w:type="paragraph" w:customStyle="1" w:styleId="xl100">
    <w:name w:val="xl100"/>
    <w:basedOn w:val="Normalny"/>
    <w:rsid w:val="007511A4"/>
    <w:pPr>
      <w:pBdr>
        <w:top w:val="double" w:sz="6" w:space="0" w:color="auto"/>
        <w:bottom w:val="double" w:sz="6" w:space="0" w:color="auto"/>
      </w:pBdr>
      <w:suppressAutoHyphens w:val="0"/>
      <w:spacing w:before="100" w:beforeAutospacing="1" w:after="100" w:afterAutospacing="1"/>
      <w:jc w:val="center"/>
      <w:textAlignment w:val="center"/>
    </w:pPr>
    <w:rPr>
      <w:b/>
      <w:bCs/>
      <w:szCs w:val="24"/>
    </w:rPr>
  </w:style>
  <w:style w:type="paragraph" w:customStyle="1" w:styleId="xl101">
    <w:name w:val="xl101"/>
    <w:basedOn w:val="Normalny"/>
    <w:rsid w:val="007511A4"/>
    <w:pPr>
      <w:pBdr>
        <w:top w:val="double" w:sz="6" w:space="0" w:color="auto"/>
        <w:bottom w:val="double" w:sz="6" w:space="0" w:color="auto"/>
      </w:pBdr>
      <w:suppressAutoHyphens w:val="0"/>
      <w:spacing w:before="100" w:beforeAutospacing="1" w:after="100" w:afterAutospacing="1"/>
      <w:jc w:val="center"/>
      <w:textAlignment w:val="center"/>
    </w:pPr>
    <w:rPr>
      <w:sz w:val="22"/>
      <w:szCs w:val="22"/>
    </w:rPr>
  </w:style>
  <w:style w:type="paragraph" w:customStyle="1" w:styleId="xl102">
    <w:name w:val="xl102"/>
    <w:basedOn w:val="Normalny"/>
    <w:rsid w:val="007511A4"/>
    <w:pPr>
      <w:pBdr>
        <w:top w:val="double" w:sz="6" w:space="0" w:color="auto"/>
        <w:bottom w:val="double" w:sz="6" w:space="0" w:color="auto"/>
      </w:pBdr>
      <w:suppressAutoHyphens w:val="0"/>
      <w:spacing w:before="100" w:beforeAutospacing="1" w:after="100" w:afterAutospacing="1"/>
      <w:jc w:val="center"/>
      <w:textAlignment w:val="center"/>
    </w:pPr>
    <w:rPr>
      <w:szCs w:val="24"/>
    </w:rPr>
  </w:style>
  <w:style w:type="paragraph" w:customStyle="1" w:styleId="xl103">
    <w:name w:val="xl103"/>
    <w:basedOn w:val="Normalny"/>
    <w:rsid w:val="007511A4"/>
    <w:pPr>
      <w:pBdr>
        <w:top w:val="double" w:sz="6" w:space="0" w:color="auto"/>
        <w:bottom w:val="double" w:sz="6" w:space="0" w:color="auto"/>
      </w:pBdr>
      <w:shd w:val="clear" w:color="FFFFFF" w:fill="auto"/>
      <w:suppressAutoHyphens w:val="0"/>
      <w:spacing w:before="100" w:beforeAutospacing="1" w:after="100" w:afterAutospacing="1"/>
      <w:jc w:val="center"/>
      <w:textAlignment w:val="center"/>
    </w:pPr>
    <w:rPr>
      <w:b/>
      <w:bCs/>
      <w:szCs w:val="24"/>
    </w:rPr>
  </w:style>
  <w:style w:type="paragraph" w:customStyle="1" w:styleId="xl104">
    <w:name w:val="xl104"/>
    <w:basedOn w:val="Normalny"/>
    <w:rsid w:val="007511A4"/>
    <w:pPr>
      <w:pBdr>
        <w:top w:val="double" w:sz="6" w:space="0" w:color="auto"/>
        <w:bottom w:val="double" w:sz="6" w:space="0" w:color="auto"/>
      </w:pBdr>
      <w:shd w:val="clear" w:color="auto" w:fill="FFFFFF"/>
      <w:suppressAutoHyphens w:val="0"/>
      <w:spacing w:before="100" w:beforeAutospacing="1" w:after="100" w:afterAutospacing="1"/>
      <w:jc w:val="center"/>
      <w:textAlignment w:val="center"/>
    </w:pPr>
    <w:rPr>
      <w:b/>
      <w:bCs/>
      <w:szCs w:val="24"/>
    </w:rPr>
  </w:style>
  <w:style w:type="paragraph" w:customStyle="1" w:styleId="xl105">
    <w:name w:val="xl105"/>
    <w:basedOn w:val="Normalny"/>
    <w:rsid w:val="007511A4"/>
    <w:pPr>
      <w:pBdr>
        <w:top w:val="double" w:sz="6" w:space="0" w:color="auto"/>
        <w:bottom w:val="double" w:sz="6" w:space="0" w:color="auto"/>
        <w:right w:val="single" w:sz="4" w:space="0" w:color="auto"/>
      </w:pBdr>
      <w:suppressAutoHyphens w:val="0"/>
      <w:spacing w:before="100" w:beforeAutospacing="1" w:after="100" w:afterAutospacing="1"/>
      <w:jc w:val="center"/>
      <w:textAlignment w:val="center"/>
    </w:pPr>
    <w:rPr>
      <w:b/>
      <w:bCs/>
      <w:szCs w:val="24"/>
    </w:rPr>
  </w:style>
  <w:style w:type="paragraph" w:customStyle="1" w:styleId="xl106">
    <w:name w:val="xl106"/>
    <w:basedOn w:val="Normalny"/>
    <w:rsid w:val="007511A4"/>
    <w:pPr>
      <w:pBdr>
        <w:top w:val="double" w:sz="6" w:space="0" w:color="auto"/>
        <w:left w:val="single" w:sz="4" w:space="0" w:color="auto"/>
        <w:bottom w:val="double" w:sz="6" w:space="0" w:color="auto"/>
      </w:pBdr>
      <w:suppressAutoHyphens w:val="0"/>
      <w:spacing w:before="100" w:beforeAutospacing="1" w:after="100" w:afterAutospacing="1"/>
      <w:jc w:val="center"/>
      <w:textAlignment w:val="center"/>
    </w:pPr>
    <w:rPr>
      <w:sz w:val="22"/>
      <w:szCs w:val="22"/>
    </w:rPr>
  </w:style>
  <w:style w:type="paragraph" w:customStyle="1" w:styleId="xl107">
    <w:name w:val="xl107"/>
    <w:basedOn w:val="Normalny"/>
    <w:rsid w:val="007511A4"/>
    <w:pPr>
      <w:pBdr>
        <w:top w:val="single" w:sz="4" w:space="0" w:color="auto"/>
      </w:pBdr>
      <w:suppressAutoHyphens w:val="0"/>
      <w:spacing w:before="100" w:beforeAutospacing="1" w:after="100" w:afterAutospacing="1"/>
      <w:jc w:val="center"/>
      <w:textAlignment w:val="center"/>
    </w:pPr>
    <w:rPr>
      <w:i/>
      <w:iCs/>
      <w:sz w:val="14"/>
      <w:szCs w:val="14"/>
    </w:rPr>
  </w:style>
  <w:style w:type="paragraph" w:customStyle="1" w:styleId="xl108">
    <w:name w:val="xl108"/>
    <w:basedOn w:val="Normalny"/>
    <w:rsid w:val="007511A4"/>
    <w:pPr>
      <w:pBdr>
        <w:bottom w:val="single" w:sz="4" w:space="0" w:color="auto"/>
      </w:pBdr>
      <w:suppressAutoHyphens w:val="0"/>
      <w:spacing w:before="100" w:beforeAutospacing="1" w:after="100" w:afterAutospacing="1"/>
      <w:textAlignment w:val="center"/>
    </w:pPr>
    <w:rPr>
      <w:i/>
      <w:iCs/>
      <w:szCs w:val="24"/>
    </w:rPr>
  </w:style>
  <w:style w:type="paragraph" w:customStyle="1" w:styleId="xl109">
    <w:name w:val="xl109"/>
    <w:basedOn w:val="Normalny"/>
    <w:rsid w:val="007511A4"/>
    <w:pPr>
      <w:suppressAutoHyphens w:val="0"/>
      <w:spacing w:before="100" w:beforeAutospacing="1" w:after="100" w:afterAutospacing="1"/>
      <w:textAlignment w:val="center"/>
    </w:pPr>
    <w:rPr>
      <w:i/>
      <w:iCs/>
      <w:szCs w:val="24"/>
    </w:rPr>
  </w:style>
  <w:style w:type="paragraph" w:customStyle="1" w:styleId="xl110">
    <w:name w:val="xl110"/>
    <w:basedOn w:val="Normalny"/>
    <w:rsid w:val="007511A4"/>
    <w:pPr>
      <w:pBdr>
        <w:top w:val="single" w:sz="4" w:space="0" w:color="auto"/>
        <w:left w:val="single" w:sz="4" w:space="0" w:color="auto"/>
        <w:bottom w:val="single" w:sz="4" w:space="0" w:color="auto"/>
      </w:pBdr>
      <w:shd w:val="clear" w:color="auto" w:fill="FF99CC"/>
      <w:suppressAutoHyphens w:val="0"/>
      <w:spacing w:before="100" w:beforeAutospacing="1" w:after="100" w:afterAutospacing="1"/>
      <w:jc w:val="right"/>
      <w:textAlignment w:val="center"/>
    </w:pPr>
    <w:rPr>
      <w:b/>
      <w:bCs/>
      <w:sz w:val="16"/>
      <w:szCs w:val="16"/>
    </w:rPr>
  </w:style>
  <w:style w:type="paragraph" w:customStyle="1" w:styleId="xl111">
    <w:name w:val="xl111"/>
    <w:basedOn w:val="Normalny"/>
    <w:rsid w:val="007511A4"/>
    <w:pPr>
      <w:pBdr>
        <w:top w:val="single" w:sz="4" w:space="0" w:color="auto"/>
        <w:left w:val="single" w:sz="4" w:space="0" w:color="auto"/>
        <w:bottom w:val="single" w:sz="4" w:space="0" w:color="auto"/>
      </w:pBdr>
      <w:shd w:val="clear" w:color="auto" w:fill="CC99FF"/>
      <w:suppressAutoHyphens w:val="0"/>
      <w:spacing w:before="100" w:beforeAutospacing="1" w:after="100" w:afterAutospacing="1"/>
      <w:jc w:val="right"/>
      <w:textAlignment w:val="center"/>
    </w:pPr>
    <w:rPr>
      <w:b/>
      <w:bCs/>
      <w:sz w:val="16"/>
      <w:szCs w:val="16"/>
    </w:rPr>
  </w:style>
  <w:style w:type="paragraph" w:customStyle="1" w:styleId="xl112">
    <w:name w:val="xl112"/>
    <w:basedOn w:val="Normalny"/>
    <w:rsid w:val="007511A4"/>
    <w:pPr>
      <w:pBdr>
        <w:top w:val="double" w:sz="6" w:space="0" w:color="auto"/>
        <w:left w:val="single" w:sz="4" w:space="0" w:color="auto"/>
        <w:bottom w:val="single" w:sz="8" w:space="0" w:color="auto"/>
      </w:pBdr>
      <w:shd w:val="clear" w:color="auto" w:fill="9999FF"/>
      <w:suppressAutoHyphens w:val="0"/>
      <w:spacing w:before="100" w:beforeAutospacing="1" w:after="100" w:afterAutospacing="1"/>
      <w:textAlignment w:val="center"/>
    </w:pPr>
    <w:rPr>
      <w:b/>
      <w:bCs/>
      <w:sz w:val="16"/>
      <w:szCs w:val="16"/>
    </w:rPr>
  </w:style>
  <w:style w:type="paragraph" w:customStyle="1" w:styleId="xl113">
    <w:name w:val="xl113"/>
    <w:basedOn w:val="Normalny"/>
    <w:rsid w:val="007511A4"/>
    <w:pPr>
      <w:pBdr>
        <w:top w:val="single" w:sz="4" w:space="0" w:color="auto"/>
        <w:left w:val="single" w:sz="8" w:space="0" w:color="auto"/>
        <w:right w:val="single" w:sz="4" w:space="0" w:color="auto"/>
      </w:pBdr>
      <w:suppressAutoHyphens w:val="0"/>
      <w:spacing w:before="100" w:beforeAutospacing="1" w:after="100" w:afterAutospacing="1"/>
      <w:jc w:val="center"/>
      <w:textAlignment w:val="center"/>
    </w:pPr>
    <w:rPr>
      <w:i/>
      <w:iCs/>
      <w:sz w:val="14"/>
      <w:szCs w:val="14"/>
    </w:rPr>
  </w:style>
  <w:style w:type="paragraph" w:customStyle="1" w:styleId="xl114">
    <w:name w:val="xl114"/>
    <w:basedOn w:val="Normalny"/>
    <w:rsid w:val="007511A4"/>
    <w:pPr>
      <w:pBdr>
        <w:top w:val="single" w:sz="4" w:space="0" w:color="auto"/>
        <w:right w:val="single" w:sz="8" w:space="0" w:color="auto"/>
      </w:pBdr>
      <w:shd w:val="pct12" w:color="CCCCFF" w:fill="CCCCFF"/>
      <w:suppressAutoHyphens w:val="0"/>
      <w:spacing w:before="100" w:beforeAutospacing="1" w:after="100" w:afterAutospacing="1"/>
      <w:jc w:val="center"/>
      <w:textAlignment w:val="center"/>
    </w:pPr>
    <w:rPr>
      <w:b/>
      <w:bCs/>
      <w:i/>
      <w:iCs/>
      <w:sz w:val="14"/>
      <w:szCs w:val="14"/>
    </w:rPr>
  </w:style>
  <w:style w:type="paragraph" w:customStyle="1" w:styleId="xl115">
    <w:name w:val="xl115"/>
    <w:basedOn w:val="Normalny"/>
    <w:rsid w:val="007511A4"/>
    <w:pPr>
      <w:pBdr>
        <w:top w:val="double" w:sz="6" w:space="0" w:color="auto"/>
        <w:left w:val="single" w:sz="8" w:space="0" w:color="auto"/>
        <w:bottom w:val="double" w:sz="6" w:space="0" w:color="auto"/>
      </w:pBdr>
      <w:suppressAutoHyphens w:val="0"/>
      <w:spacing w:before="100" w:beforeAutospacing="1" w:after="100" w:afterAutospacing="1"/>
      <w:jc w:val="center"/>
      <w:textAlignment w:val="center"/>
    </w:pPr>
    <w:rPr>
      <w:sz w:val="22"/>
      <w:szCs w:val="22"/>
    </w:rPr>
  </w:style>
  <w:style w:type="paragraph" w:customStyle="1" w:styleId="xl116">
    <w:name w:val="xl116"/>
    <w:basedOn w:val="Normalny"/>
    <w:rsid w:val="007511A4"/>
    <w:pPr>
      <w:pBdr>
        <w:top w:val="double" w:sz="6" w:space="0" w:color="auto"/>
        <w:bottom w:val="double" w:sz="6" w:space="0" w:color="auto"/>
        <w:right w:val="single" w:sz="8" w:space="0" w:color="auto"/>
      </w:pBdr>
      <w:suppressAutoHyphens w:val="0"/>
      <w:spacing w:before="100" w:beforeAutospacing="1" w:after="100" w:afterAutospacing="1"/>
      <w:jc w:val="center"/>
      <w:textAlignment w:val="center"/>
    </w:pPr>
    <w:rPr>
      <w:b/>
      <w:bCs/>
      <w:szCs w:val="24"/>
    </w:rPr>
  </w:style>
  <w:style w:type="paragraph" w:customStyle="1" w:styleId="xl117">
    <w:name w:val="xl117"/>
    <w:basedOn w:val="Normalny"/>
    <w:rsid w:val="007511A4"/>
    <w:pPr>
      <w:pBdr>
        <w:left w:val="single" w:sz="8" w:space="0" w:color="auto"/>
        <w:bottom w:val="single" w:sz="4" w:space="0" w:color="auto"/>
        <w:right w:val="single" w:sz="4" w:space="0" w:color="auto"/>
      </w:pBdr>
      <w:suppressAutoHyphens w:val="0"/>
      <w:spacing w:before="100" w:beforeAutospacing="1" w:after="100" w:afterAutospacing="1"/>
      <w:textAlignment w:val="center"/>
    </w:pPr>
    <w:rPr>
      <w:sz w:val="16"/>
      <w:szCs w:val="16"/>
    </w:rPr>
  </w:style>
  <w:style w:type="paragraph" w:customStyle="1" w:styleId="xl118">
    <w:name w:val="xl118"/>
    <w:basedOn w:val="Normalny"/>
    <w:rsid w:val="007511A4"/>
    <w:pPr>
      <w:pBdr>
        <w:bottom w:val="single" w:sz="4" w:space="0" w:color="auto"/>
        <w:right w:val="single" w:sz="8" w:space="0" w:color="auto"/>
      </w:pBdr>
      <w:shd w:val="clear" w:color="auto" w:fill="CCCCFF"/>
      <w:suppressAutoHyphens w:val="0"/>
      <w:spacing w:before="100" w:beforeAutospacing="1" w:after="100" w:afterAutospacing="1"/>
      <w:textAlignment w:val="center"/>
    </w:pPr>
    <w:rPr>
      <w:b/>
      <w:bCs/>
      <w:sz w:val="16"/>
      <w:szCs w:val="16"/>
    </w:rPr>
  </w:style>
  <w:style w:type="paragraph" w:customStyle="1" w:styleId="xl119">
    <w:name w:val="xl119"/>
    <w:basedOn w:val="Normalny"/>
    <w:rsid w:val="007511A4"/>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textAlignment w:val="center"/>
    </w:pPr>
    <w:rPr>
      <w:sz w:val="16"/>
      <w:szCs w:val="16"/>
    </w:rPr>
  </w:style>
  <w:style w:type="paragraph" w:customStyle="1" w:styleId="xl120">
    <w:name w:val="xl120"/>
    <w:basedOn w:val="Normalny"/>
    <w:rsid w:val="007511A4"/>
    <w:pPr>
      <w:pBdr>
        <w:top w:val="single" w:sz="4" w:space="0" w:color="auto"/>
        <w:left w:val="single" w:sz="8" w:space="0" w:color="auto"/>
        <w:right w:val="single" w:sz="4" w:space="0" w:color="auto"/>
      </w:pBdr>
      <w:suppressAutoHyphens w:val="0"/>
      <w:spacing w:before="100" w:beforeAutospacing="1" w:after="100" w:afterAutospacing="1"/>
      <w:textAlignment w:val="center"/>
    </w:pPr>
    <w:rPr>
      <w:sz w:val="16"/>
      <w:szCs w:val="16"/>
    </w:rPr>
  </w:style>
  <w:style w:type="paragraph" w:customStyle="1" w:styleId="xl121">
    <w:name w:val="xl121"/>
    <w:basedOn w:val="Normalny"/>
    <w:rsid w:val="007511A4"/>
    <w:pPr>
      <w:pBdr>
        <w:right w:val="single" w:sz="8" w:space="0" w:color="auto"/>
      </w:pBdr>
      <w:shd w:val="clear" w:color="auto" w:fill="CCCCFF"/>
      <w:suppressAutoHyphens w:val="0"/>
      <w:spacing w:before="100" w:beforeAutospacing="1" w:after="100" w:afterAutospacing="1"/>
      <w:textAlignment w:val="center"/>
    </w:pPr>
    <w:rPr>
      <w:b/>
      <w:bCs/>
      <w:sz w:val="16"/>
      <w:szCs w:val="16"/>
    </w:rPr>
  </w:style>
  <w:style w:type="paragraph" w:customStyle="1" w:styleId="xl122">
    <w:name w:val="xl122"/>
    <w:basedOn w:val="Normalny"/>
    <w:rsid w:val="007511A4"/>
    <w:pPr>
      <w:pBdr>
        <w:top w:val="single" w:sz="4" w:space="0" w:color="auto"/>
        <w:left w:val="single" w:sz="8" w:space="0" w:color="auto"/>
        <w:bottom w:val="single" w:sz="4" w:space="0" w:color="auto"/>
        <w:right w:val="single" w:sz="4" w:space="0" w:color="auto"/>
      </w:pBdr>
      <w:shd w:val="clear" w:color="auto" w:fill="FF99CC"/>
      <w:suppressAutoHyphens w:val="0"/>
      <w:spacing w:before="100" w:beforeAutospacing="1" w:after="100" w:afterAutospacing="1"/>
      <w:jc w:val="right"/>
      <w:textAlignment w:val="center"/>
    </w:pPr>
    <w:rPr>
      <w:b/>
      <w:bCs/>
      <w:sz w:val="16"/>
      <w:szCs w:val="16"/>
    </w:rPr>
  </w:style>
  <w:style w:type="paragraph" w:customStyle="1" w:styleId="xl123">
    <w:name w:val="xl123"/>
    <w:basedOn w:val="Normalny"/>
    <w:rsid w:val="007511A4"/>
    <w:pPr>
      <w:pBdr>
        <w:top w:val="single" w:sz="4" w:space="0" w:color="auto"/>
        <w:left w:val="single" w:sz="4" w:space="0" w:color="auto"/>
        <w:bottom w:val="single" w:sz="4" w:space="0" w:color="auto"/>
        <w:right w:val="single" w:sz="8" w:space="0" w:color="auto"/>
      </w:pBdr>
      <w:shd w:val="clear" w:color="auto" w:fill="FF99CC"/>
      <w:suppressAutoHyphens w:val="0"/>
      <w:spacing w:before="100" w:beforeAutospacing="1" w:after="100" w:afterAutospacing="1"/>
      <w:jc w:val="right"/>
      <w:textAlignment w:val="center"/>
    </w:pPr>
    <w:rPr>
      <w:b/>
      <w:bCs/>
      <w:sz w:val="16"/>
      <w:szCs w:val="16"/>
    </w:rPr>
  </w:style>
  <w:style w:type="paragraph" w:customStyle="1" w:styleId="xl124">
    <w:name w:val="xl124"/>
    <w:basedOn w:val="Normalny"/>
    <w:rsid w:val="007511A4"/>
    <w:pPr>
      <w:pBdr>
        <w:left w:val="single" w:sz="8" w:space="0" w:color="auto"/>
      </w:pBdr>
      <w:suppressAutoHyphens w:val="0"/>
      <w:spacing w:before="100" w:beforeAutospacing="1" w:after="100" w:afterAutospacing="1"/>
      <w:jc w:val="center"/>
      <w:textAlignment w:val="center"/>
    </w:pPr>
    <w:rPr>
      <w:sz w:val="22"/>
      <w:szCs w:val="22"/>
    </w:rPr>
  </w:style>
  <w:style w:type="paragraph" w:customStyle="1" w:styleId="xl125">
    <w:name w:val="xl125"/>
    <w:basedOn w:val="Normalny"/>
    <w:rsid w:val="007511A4"/>
    <w:pPr>
      <w:pBdr>
        <w:right w:val="single" w:sz="8" w:space="0" w:color="auto"/>
      </w:pBdr>
      <w:suppressAutoHyphens w:val="0"/>
      <w:spacing w:before="100" w:beforeAutospacing="1" w:after="100" w:afterAutospacing="1"/>
      <w:jc w:val="center"/>
      <w:textAlignment w:val="center"/>
    </w:pPr>
    <w:rPr>
      <w:b/>
      <w:bCs/>
      <w:szCs w:val="24"/>
    </w:rPr>
  </w:style>
  <w:style w:type="paragraph" w:customStyle="1" w:styleId="xl126">
    <w:name w:val="xl126"/>
    <w:basedOn w:val="Normalny"/>
    <w:rsid w:val="007511A4"/>
    <w:pPr>
      <w:pBdr>
        <w:top w:val="double" w:sz="6" w:space="0" w:color="auto"/>
        <w:left w:val="single" w:sz="8" w:space="0" w:color="auto"/>
        <w:bottom w:val="double" w:sz="6" w:space="0" w:color="auto"/>
      </w:pBdr>
      <w:suppressAutoHyphens w:val="0"/>
      <w:spacing w:before="100" w:beforeAutospacing="1" w:after="100" w:afterAutospacing="1"/>
      <w:jc w:val="center"/>
      <w:textAlignment w:val="center"/>
    </w:pPr>
    <w:rPr>
      <w:sz w:val="22"/>
      <w:szCs w:val="22"/>
    </w:rPr>
  </w:style>
  <w:style w:type="paragraph" w:customStyle="1" w:styleId="xl127">
    <w:name w:val="xl127"/>
    <w:basedOn w:val="Normalny"/>
    <w:rsid w:val="007511A4"/>
    <w:pPr>
      <w:pBdr>
        <w:top w:val="double" w:sz="6" w:space="0" w:color="auto"/>
        <w:bottom w:val="double" w:sz="6" w:space="0" w:color="auto"/>
        <w:right w:val="single" w:sz="8" w:space="0" w:color="auto"/>
      </w:pBdr>
      <w:suppressAutoHyphens w:val="0"/>
      <w:spacing w:before="100" w:beforeAutospacing="1" w:after="100" w:afterAutospacing="1"/>
      <w:jc w:val="center"/>
      <w:textAlignment w:val="center"/>
    </w:pPr>
    <w:rPr>
      <w:b/>
      <w:bCs/>
      <w:szCs w:val="24"/>
    </w:rPr>
  </w:style>
  <w:style w:type="paragraph" w:customStyle="1" w:styleId="xl128">
    <w:name w:val="xl128"/>
    <w:basedOn w:val="Normalny"/>
    <w:rsid w:val="007511A4"/>
    <w:pPr>
      <w:pBdr>
        <w:left w:val="single" w:sz="8" w:space="0" w:color="auto"/>
        <w:bottom w:val="single" w:sz="4" w:space="0" w:color="auto"/>
        <w:right w:val="single" w:sz="4" w:space="0" w:color="auto"/>
      </w:pBdr>
      <w:suppressAutoHyphens w:val="0"/>
      <w:spacing w:before="100" w:beforeAutospacing="1" w:after="100" w:afterAutospacing="1"/>
      <w:jc w:val="right"/>
      <w:textAlignment w:val="center"/>
    </w:pPr>
    <w:rPr>
      <w:sz w:val="16"/>
      <w:szCs w:val="16"/>
    </w:rPr>
  </w:style>
  <w:style w:type="paragraph" w:customStyle="1" w:styleId="xl129">
    <w:name w:val="xl129"/>
    <w:basedOn w:val="Normalny"/>
    <w:rsid w:val="007511A4"/>
    <w:pPr>
      <w:pBdr>
        <w:bottom w:val="single" w:sz="4" w:space="0" w:color="auto"/>
        <w:right w:val="single" w:sz="8" w:space="0" w:color="auto"/>
      </w:pBdr>
      <w:shd w:val="clear" w:color="auto" w:fill="CCCCFF"/>
      <w:suppressAutoHyphens w:val="0"/>
      <w:spacing w:before="100" w:beforeAutospacing="1" w:after="100" w:afterAutospacing="1"/>
      <w:jc w:val="right"/>
      <w:textAlignment w:val="center"/>
    </w:pPr>
    <w:rPr>
      <w:b/>
      <w:bCs/>
      <w:sz w:val="16"/>
      <w:szCs w:val="16"/>
    </w:rPr>
  </w:style>
  <w:style w:type="paragraph" w:customStyle="1" w:styleId="xl130">
    <w:name w:val="xl130"/>
    <w:basedOn w:val="Normalny"/>
    <w:rsid w:val="007511A4"/>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right"/>
      <w:textAlignment w:val="center"/>
    </w:pPr>
    <w:rPr>
      <w:sz w:val="16"/>
      <w:szCs w:val="16"/>
    </w:rPr>
  </w:style>
  <w:style w:type="paragraph" w:customStyle="1" w:styleId="xl131">
    <w:name w:val="xl131"/>
    <w:basedOn w:val="Normalny"/>
    <w:rsid w:val="007511A4"/>
    <w:pPr>
      <w:pBdr>
        <w:left w:val="single" w:sz="8" w:space="0" w:color="auto"/>
        <w:right w:val="single" w:sz="4" w:space="0" w:color="auto"/>
      </w:pBdr>
      <w:suppressAutoHyphens w:val="0"/>
      <w:spacing w:before="100" w:beforeAutospacing="1" w:after="100" w:afterAutospacing="1"/>
      <w:jc w:val="right"/>
      <w:textAlignment w:val="center"/>
    </w:pPr>
    <w:rPr>
      <w:sz w:val="16"/>
      <w:szCs w:val="16"/>
    </w:rPr>
  </w:style>
  <w:style w:type="paragraph" w:customStyle="1" w:styleId="xl132">
    <w:name w:val="xl132"/>
    <w:basedOn w:val="Normalny"/>
    <w:rsid w:val="007511A4"/>
    <w:pPr>
      <w:pBdr>
        <w:right w:val="single" w:sz="8" w:space="0" w:color="auto"/>
      </w:pBdr>
      <w:shd w:val="clear" w:color="auto" w:fill="CCCCFF"/>
      <w:suppressAutoHyphens w:val="0"/>
      <w:spacing w:before="100" w:beforeAutospacing="1" w:after="100" w:afterAutospacing="1"/>
      <w:jc w:val="right"/>
      <w:textAlignment w:val="center"/>
    </w:pPr>
    <w:rPr>
      <w:b/>
      <w:bCs/>
      <w:sz w:val="16"/>
      <w:szCs w:val="16"/>
    </w:rPr>
  </w:style>
  <w:style w:type="paragraph" w:customStyle="1" w:styleId="xl133">
    <w:name w:val="xl133"/>
    <w:basedOn w:val="Normalny"/>
    <w:rsid w:val="007511A4"/>
    <w:pPr>
      <w:pBdr>
        <w:top w:val="single" w:sz="4" w:space="0" w:color="auto"/>
        <w:left w:val="single" w:sz="8" w:space="0" w:color="auto"/>
        <w:bottom w:val="single" w:sz="4" w:space="0" w:color="auto"/>
        <w:right w:val="single" w:sz="4" w:space="0" w:color="auto"/>
      </w:pBdr>
      <w:shd w:val="clear" w:color="auto" w:fill="CC99FF"/>
      <w:suppressAutoHyphens w:val="0"/>
      <w:spacing w:before="100" w:beforeAutospacing="1" w:after="100" w:afterAutospacing="1"/>
      <w:jc w:val="right"/>
      <w:textAlignment w:val="center"/>
    </w:pPr>
    <w:rPr>
      <w:b/>
      <w:bCs/>
      <w:sz w:val="16"/>
      <w:szCs w:val="16"/>
    </w:rPr>
  </w:style>
  <w:style w:type="paragraph" w:customStyle="1" w:styleId="xl134">
    <w:name w:val="xl134"/>
    <w:basedOn w:val="Normalny"/>
    <w:rsid w:val="007511A4"/>
    <w:pPr>
      <w:pBdr>
        <w:top w:val="double" w:sz="6" w:space="0" w:color="auto"/>
        <w:left w:val="single" w:sz="8" w:space="0" w:color="auto"/>
        <w:bottom w:val="single" w:sz="8" w:space="0" w:color="auto"/>
        <w:right w:val="single" w:sz="4" w:space="0" w:color="auto"/>
      </w:pBdr>
      <w:shd w:val="clear" w:color="auto" w:fill="9999FF"/>
      <w:suppressAutoHyphens w:val="0"/>
      <w:spacing w:before="100" w:beforeAutospacing="1" w:after="100" w:afterAutospacing="1"/>
      <w:textAlignment w:val="center"/>
    </w:pPr>
    <w:rPr>
      <w:b/>
      <w:bCs/>
      <w:sz w:val="16"/>
      <w:szCs w:val="16"/>
    </w:rPr>
  </w:style>
  <w:style w:type="paragraph" w:customStyle="1" w:styleId="xl135">
    <w:name w:val="xl135"/>
    <w:basedOn w:val="Normalny"/>
    <w:rsid w:val="007511A4"/>
    <w:pPr>
      <w:pBdr>
        <w:top w:val="single" w:sz="8" w:space="0" w:color="auto"/>
        <w:left w:val="single" w:sz="4" w:space="0" w:color="auto"/>
        <w:bottom w:val="single" w:sz="4" w:space="0" w:color="auto"/>
      </w:pBdr>
      <w:suppressAutoHyphens w:val="0"/>
      <w:spacing w:before="100" w:beforeAutospacing="1" w:after="100" w:afterAutospacing="1"/>
      <w:jc w:val="center"/>
      <w:textAlignment w:val="center"/>
    </w:pPr>
    <w:rPr>
      <w:sz w:val="18"/>
      <w:szCs w:val="18"/>
    </w:rPr>
  </w:style>
  <w:style w:type="paragraph" w:customStyle="1" w:styleId="xl136">
    <w:name w:val="xl136"/>
    <w:basedOn w:val="Normalny"/>
    <w:rsid w:val="007511A4"/>
    <w:pPr>
      <w:pBdr>
        <w:top w:val="single" w:sz="8" w:space="0" w:color="auto"/>
        <w:bottom w:val="single" w:sz="4" w:space="0" w:color="auto"/>
      </w:pBdr>
      <w:suppressAutoHyphens w:val="0"/>
      <w:spacing w:before="100" w:beforeAutospacing="1" w:after="100" w:afterAutospacing="1"/>
      <w:jc w:val="center"/>
      <w:textAlignment w:val="center"/>
    </w:pPr>
    <w:rPr>
      <w:sz w:val="18"/>
      <w:szCs w:val="18"/>
    </w:rPr>
  </w:style>
  <w:style w:type="paragraph" w:customStyle="1" w:styleId="xl137">
    <w:name w:val="xl137"/>
    <w:basedOn w:val="Normalny"/>
    <w:rsid w:val="007511A4"/>
    <w:pPr>
      <w:pBdr>
        <w:top w:val="single" w:sz="8"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rPr>
  </w:style>
  <w:style w:type="paragraph" w:customStyle="1" w:styleId="xl138">
    <w:name w:val="xl138"/>
    <w:basedOn w:val="Normalny"/>
    <w:rsid w:val="007511A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b/>
      <w:bCs/>
      <w:sz w:val="18"/>
      <w:szCs w:val="18"/>
    </w:rPr>
  </w:style>
  <w:style w:type="paragraph" w:customStyle="1" w:styleId="xl139">
    <w:name w:val="xl139"/>
    <w:basedOn w:val="Normalny"/>
    <w:rsid w:val="007511A4"/>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sz w:val="18"/>
      <w:szCs w:val="18"/>
    </w:rPr>
  </w:style>
  <w:style w:type="paragraph" w:customStyle="1" w:styleId="xl140">
    <w:name w:val="xl140"/>
    <w:basedOn w:val="Normalny"/>
    <w:rsid w:val="007511A4"/>
    <w:pPr>
      <w:suppressAutoHyphens w:val="0"/>
      <w:spacing w:before="100" w:beforeAutospacing="1" w:after="100" w:afterAutospacing="1"/>
      <w:jc w:val="center"/>
      <w:textAlignment w:val="center"/>
    </w:pPr>
    <w:rPr>
      <w:b/>
      <w:bCs/>
      <w:sz w:val="32"/>
      <w:szCs w:val="32"/>
    </w:rPr>
  </w:style>
  <w:style w:type="paragraph" w:customStyle="1" w:styleId="xl141">
    <w:name w:val="xl141"/>
    <w:basedOn w:val="Normalny"/>
    <w:rsid w:val="007511A4"/>
    <w:pPr>
      <w:suppressAutoHyphens w:val="0"/>
      <w:spacing w:before="100" w:beforeAutospacing="1" w:after="100" w:afterAutospacing="1"/>
      <w:textAlignment w:val="center"/>
    </w:pPr>
    <w:rPr>
      <w:b/>
      <w:bCs/>
      <w:szCs w:val="24"/>
    </w:rPr>
  </w:style>
  <w:style w:type="paragraph" w:customStyle="1" w:styleId="xl142">
    <w:name w:val="xl142"/>
    <w:basedOn w:val="Normalny"/>
    <w:rsid w:val="007511A4"/>
    <w:pPr>
      <w:pBdr>
        <w:bottom w:val="single" w:sz="8" w:space="0" w:color="auto"/>
      </w:pBdr>
      <w:suppressAutoHyphens w:val="0"/>
      <w:spacing w:before="100" w:beforeAutospacing="1" w:after="100" w:afterAutospacing="1"/>
      <w:textAlignment w:val="center"/>
    </w:pPr>
    <w:rPr>
      <w:b/>
      <w:bCs/>
      <w:szCs w:val="24"/>
    </w:rPr>
  </w:style>
  <w:style w:type="paragraph" w:customStyle="1" w:styleId="xl143">
    <w:name w:val="xl143"/>
    <w:basedOn w:val="Normalny"/>
    <w:rsid w:val="007511A4"/>
    <w:pPr>
      <w:pBdr>
        <w:top w:val="single" w:sz="4" w:space="0" w:color="auto"/>
        <w:left w:val="single" w:sz="4" w:space="0" w:color="auto"/>
      </w:pBdr>
      <w:suppressAutoHyphens w:val="0"/>
      <w:spacing w:before="100" w:beforeAutospacing="1" w:after="100" w:afterAutospacing="1"/>
      <w:jc w:val="center"/>
      <w:textAlignment w:val="center"/>
    </w:pPr>
    <w:rPr>
      <w:sz w:val="18"/>
      <w:szCs w:val="18"/>
    </w:rPr>
  </w:style>
  <w:style w:type="paragraph" w:customStyle="1" w:styleId="xl144">
    <w:name w:val="xl144"/>
    <w:basedOn w:val="Normalny"/>
    <w:rsid w:val="007511A4"/>
    <w:pPr>
      <w:pBdr>
        <w:left w:val="single" w:sz="4" w:space="0" w:color="auto"/>
      </w:pBdr>
      <w:suppressAutoHyphens w:val="0"/>
      <w:spacing w:before="100" w:beforeAutospacing="1" w:after="100" w:afterAutospacing="1"/>
      <w:jc w:val="center"/>
      <w:textAlignment w:val="center"/>
    </w:pPr>
    <w:rPr>
      <w:sz w:val="18"/>
      <w:szCs w:val="18"/>
    </w:rPr>
  </w:style>
  <w:style w:type="paragraph" w:customStyle="1" w:styleId="xl145">
    <w:name w:val="xl145"/>
    <w:basedOn w:val="Normalny"/>
    <w:rsid w:val="007511A4"/>
    <w:pPr>
      <w:pBdr>
        <w:left w:val="single" w:sz="4" w:space="0" w:color="auto"/>
      </w:pBdr>
      <w:suppressAutoHyphens w:val="0"/>
      <w:spacing w:before="100" w:beforeAutospacing="1" w:after="100" w:afterAutospacing="1"/>
      <w:jc w:val="center"/>
      <w:textAlignment w:val="center"/>
    </w:pPr>
    <w:rPr>
      <w:sz w:val="18"/>
      <w:szCs w:val="18"/>
    </w:rPr>
  </w:style>
  <w:style w:type="paragraph" w:customStyle="1" w:styleId="xl146">
    <w:name w:val="xl146"/>
    <w:basedOn w:val="Normalny"/>
    <w:rsid w:val="007511A4"/>
    <w:pPr>
      <w:pBdr>
        <w:top w:val="single" w:sz="8" w:space="0" w:color="auto"/>
        <w:left w:val="single" w:sz="4" w:space="0" w:color="auto"/>
        <w:right w:val="single" w:sz="8" w:space="0" w:color="auto"/>
      </w:pBdr>
      <w:shd w:val="pct12" w:color="CCCCFF" w:fill="CCCCFF"/>
      <w:suppressAutoHyphens w:val="0"/>
      <w:spacing w:before="100" w:beforeAutospacing="1" w:after="100" w:afterAutospacing="1"/>
      <w:jc w:val="center"/>
      <w:textAlignment w:val="center"/>
    </w:pPr>
    <w:rPr>
      <w:b/>
      <w:bCs/>
      <w:sz w:val="18"/>
      <w:szCs w:val="18"/>
    </w:rPr>
  </w:style>
  <w:style w:type="paragraph" w:customStyle="1" w:styleId="xl147">
    <w:name w:val="xl147"/>
    <w:basedOn w:val="Normalny"/>
    <w:rsid w:val="007511A4"/>
    <w:pPr>
      <w:pBdr>
        <w:left w:val="single" w:sz="4" w:space="0" w:color="auto"/>
        <w:right w:val="single" w:sz="8" w:space="0" w:color="auto"/>
      </w:pBdr>
      <w:shd w:val="pct12" w:color="CCCCFF" w:fill="CCCCFF"/>
      <w:suppressAutoHyphens w:val="0"/>
      <w:spacing w:before="100" w:beforeAutospacing="1" w:after="100" w:afterAutospacing="1"/>
      <w:jc w:val="center"/>
      <w:textAlignment w:val="center"/>
    </w:pPr>
    <w:rPr>
      <w:b/>
      <w:bCs/>
      <w:sz w:val="18"/>
      <w:szCs w:val="18"/>
    </w:rPr>
  </w:style>
  <w:style w:type="paragraph" w:customStyle="1" w:styleId="xl148">
    <w:name w:val="xl148"/>
    <w:basedOn w:val="Normalny"/>
    <w:rsid w:val="007511A4"/>
    <w:pPr>
      <w:pBdr>
        <w:left w:val="single" w:sz="4" w:space="0" w:color="auto"/>
        <w:bottom w:val="single" w:sz="4" w:space="0" w:color="auto"/>
        <w:right w:val="single" w:sz="8" w:space="0" w:color="auto"/>
      </w:pBdr>
      <w:shd w:val="pct12" w:color="CCCCFF" w:fill="CCCCFF"/>
      <w:suppressAutoHyphens w:val="0"/>
      <w:spacing w:before="100" w:beforeAutospacing="1" w:after="100" w:afterAutospacing="1"/>
      <w:jc w:val="center"/>
      <w:textAlignment w:val="center"/>
    </w:pPr>
    <w:rPr>
      <w:b/>
      <w:bCs/>
      <w:sz w:val="18"/>
      <w:szCs w:val="18"/>
    </w:rPr>
  </w:style>
  <w:style w:type="paragraph" w:customStyle="1" w:styleId="xl149">
    <w:name w:val="xl149"/>
    <w:basedOn w:val="Normalny"/>
    <w:rsid w:val="007511A4"/>
    <w:pPr>
      <w:pBdr>
        <w:top w:val="single" w:sz="8" w:space="0" w:color="auto"/>
        <w:left w:val="single" w:sz="4" w:space="0" w:color="auto"/>
        <w:right w:val="single" w:sz="4" w:space="0" w:color="auto"/>
      </w:pBdr>
      <w:suppressAutoHyphens w:val="0"/>
      <w:spacing w:before="100" w:beforeAutospacing="1" w:after="100" w:afterAutospacing="1"/>
      <w:jc w:val="center"/>
      <w:textAlignment w:val="center"/>
    </w:pPr>
    <w:rPr>
      <w:sz w:val="18"/>
      <w:szCs w:val="18"/>
    </w:rPr>
  </w:style>
  <w:style w:type="paragraph" w:customStyle="1" w:styleId="xl150">
    <w:name w:val="xl150"/>
    <w:basedOn w:val="Normalny"/>
    <w:rsid w:val="007511A4"/>
    <w:pPr>
      <w:pBdr>
        <w:left w:val="single" w:sz="4" w:space="0" w:color="auto"/>
        <w:right w:val="single" w:sz="4" w:space="0" w:color="auto"/>
      </w:pBdr>
      <w:suppressAutoHyphens w:val="0"/>
      <w:spacing w:before="100" w:beforeAutospacing="1" w:after="100" w:afterAutospacing="1"/>
      <w:jc w:val="center"/>
      <w:textAlignment w:val="center"/>
    </w:pPr>
    <w:rPr>
      <w:sz w:val="18"/>
      <w:szCs w:val="18"/>
    </w:rPr>
  </w:style>
  <w:style w:type="paragraph" w:customStyle="1" w:styleId="xl151">
    <w:name w:val="xl151"/>
    <w:basedOn w:val="Normalny"/>
    <w:rsid w:val="007511A4"/>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rPr>
  </w:style>
  <w:style w:type="paragraph" w:customStyle="1" w:styleId="xl152">
    <w:name w:val="xl152"/>
    <w:basedOn w:val="Normalny"/>
    <w:rsid w:val="007511A4"/>
    <w:pPr>
      <w:pBdr>
        <w:top w:val="single" w:sz="4" w:space="0" w:color="auto"/>
        <w:left w:val="single" w:sz="4" w:space="0" w:color="auto"/>
        <w:right w:val="single" w:sz="4" w:space="0" w:color="auto"/>
      </w:pBdr>
      <w:shd w:val="clear" w:color="auto" w:fill="FFFFFF"/>
      <w:suppressAutoHyphens w:val="0"/>
      <w:spacing w:before="100" w:beforeAutospacing="1" w:after="100" w:afterAutospacing="1"/>
      <w:jc w:val="center"/>
      <w:textAlignment w:val="center"/>
    </w:pPr>
    <w:rPr>
      <w:b/>
      <w:bCs/>
      <w:sz w:val="18"/>
      <w:szCs w:val="18"/>
    </w:rPr>
  </w:style>
  <w:style w:type="paragraph" w:customStyle="1" w:styleId="xl153">
    <w:name w:val="xl153"/>
    <w:basedOn w:val="Normalny"/>
    <w:rsid w:val="007511A4"/>
    <w:pPr>
      <w:pBdr>
        <w:left w:val="single" w:sz="4" w:space="0" w:color="auto"/>
        <w:bottom w:val="single" w:sz="4" w:space="0" w:color="auto"/>
        <w:right w:val="single" w:sz="4" w:space="0" w:color="auto"/>
      </w:pBdr>
      <w:shd w:val="clear" w:color="auto" w:fill="FFFFFF"/>
      <w:suppressAutoHyphens w:val="0"/>
      <w:spacing w:before="100" w:beforeAutospacing="1" w:after="100" w:afterAutospacing="1"/>
      <w:jc w:val="center"/>
      <w:textAlignment w:val="center"/>
    </w:pPr>
    <w:rPr>
      <w:b/>
      <w:bCs/>
      <w:sz w:val="18"/>
      <w:szCs w:val="18"/>
    </w:rPr>
  </w:style>
  <w:style w:type="paragraph" w:customStyle="1" w:styleId="xl154">
    <w:name w:val="xl154"/>
    <w:basedOn w:val="Normalny"/>
    <w:rsid w:val="007511A4"/>
    <w:pPr>
      <w:pBdr>
        <w:top w:val="single" w:sz="4" w:space="0" w:color="auto"/>
        <w:left w:val="single" w:sz="8" w:space="0" w:color="auto"/>
      </w:pBdr>
      <w:suppressAutoHyphens w:val="0"/>
      <w:spacing w:before="100" w:beforeAutospacing="1" w:after="100" w:afterAutospacing="1"/>
      <w:jc w:val="center"/>
      <w:textAlignment w:val="center"/>
    </w:pPr>
    <w:rPr>
      <w:sz w:val="18"/>
      <w:szCs w:val="18"/>
    </w:rPr>
  </w:style>
  <w:style w:type="paragraph" w:customStyle="1" w:styleId="xl155">
    <w:name w:val="xl155"/>
    <w:basedOn w:val="Normalny"/>
    <w:rsid w:val="007511A4"/>
    <w:pPr>
      <w:pBdr>
        <w:left w:val="single" w:sz="8" w:space="0" w:color="auto"/>
      </w:pBdr>
      <w:suppressAutoHyphens w:val="0"/>
      <w:spacing w:before="100" w:beforeAutospacing="1" w:after="100" w:afterAutospacing="1"/>
      <w:jc w:val="center"/>
      <w:textAlignment w:val="center"/>
    </w:pPr>
    <w:rPr>
      <w:sz w:val="18"/>
      <w:szCs w:val="18"/>
    </w:rPr>
  </w:style>
  <w:style w:type="paragraph" w:customStyle="1" w:styleId="xl156">
    <w:name w:val="xl156"/>
    <w:basedOn w:val="Normalny"/>
    <w:rsid w:val="007511A4"/>
    <w:pPr>
      <w:pBdr>
        <w:top w:val="single" w:sz="8" w:space="0" w:color="auto"/>
        <w:left w:val="single" w:sz="8" w:space="0" w:color="auto"/>
        <w:bottom w:val="single" w:sz="4" w:space="0" w:color="auto"/>
      </w:pBdr>
      <w:suppressAutoHyphens w:val="0"/>
      <w:spacing w:before="100" w:beforeAutospacing="1" w:after="100" w:afterAutospacing="1"/>
      <w:jc w:val="center"/>
      <w:textAlignment w:val="center"/>
    </w:pPr>
    <w:rPr>
      <w:sz w:val="18"/>
      <w:szCs w:val="18"/>
    </w:rPr>
  </w:style>
  <w:style w:type="paragraph" w:customStyle="1" w:styleId="xl157">
    <w:name w:val="xl157"/>
    <w:basedOn w:val="Normalny"/>
    <w:rsid w:val="007511A4"/>
    <w:pPr>
      <w:pBdr>
        <w:top w:val="single" w:sz="8" w:space="0" w:color="auto"/>
        <w:left w:val="single" w:sz="4" w:space="0" w:color="auto"/>
        <w:right w:val="single" w:sz="4" w:space="0" w:color="auto"/>
      </w:pBdr>
      <w:shd w:val="clear" w:color="FFFFFF" w:fill="CCCCFF"/>
      <w:suppressAutoHyphens w:val="0"/>
      <w:spacing w:before="100" w:beforeAutospacing="1" w:after="100" w:afterAutospacing="1"/>
      <w:jc w:val="center"/>
      <w:textAlignment w:val="center"/>
    </w:pPr>
    <w:rPr>
      <w:b/>
      <w:bCs/>
      <w:sz w:val="18"/>
      <w:szCs w:val="18"/>
    </w:rPr>
  </w:style>
  <w:style w:type="paragraph" w:customStyle="1" w:styleId="xl158">
    <w:name w:val="xl158"/>
    <w:basedOn w:val="Normalny"/>
    <w:rsid w:val="007511A4"/>
    <w:pPr>
      <w:pBdr>
        <w:left w:val="single" w:sz="4" w:space="0" w:color="auto"/>
        <w:right w:val="single" w:sz="4" w:space="0" w:color="auto"/>
      </w:pBdr>
      <w:shd w:val="clear" w:color="FFFFFF" w:fill="CCCCFF"/>
      <w:suppressAutoHyphens w:val="0"/>
      <w:spacing w:before="100" w:beforeAutospacing="1" w:after="100" w:afterAutospacing="1"/>
      <w:jc w:val="center"/>
      <w:textAlignment w:val="center"/>
    </w:pPr>
    <w:rPr>
      <w:b/>
      <w:bCs/>
      <w:sz w:val="18"/>
      <w:szCs w:val="18"/>
    </w:rPr>
  </w:style>
  <w:style w:type="paragraph" w:customStyle="1" w:styleId="xl159">
    <w:name w:val="xl159"/>
    <w:basedOn w:val="Normalny"/>
    <w:rsid w:val="007511A4"/>
    <w:pPr>
      <w:pBdr>
        <w:left w:val="single" w:sz="4" w:space="0" w:color="auto"/>
        <w:bottom w:val="single" w:sz="4" w:space="0" w:color="auto"/>
        <w:right w:val="single" w:sz="4" w:space="0" w:color="auto"/>
      </w:pBdr>
      <w:shd w:val="clear" w:color="FFFFFF" w:fill="CCCCFF"/>
      <w:suppressAutoHyphens w:val="0"/>
      <w:spacing w:before="100" w:beforeAutospacing="1" w:after="100" w:afterAutospacing="1"/>
      <w:jc w:val="center"/>
      <w:textAlignment w:val="center"/>
    </w:pPr>
    <w:rPr>
      <w:b/>
      <w:bCs/>
      <w:sz w:val="18"/>
      <w:szCs w:val="18"/>
    </w:rPr>
  </w:style>
  <w:style w:type="paragraph" w:customStyle="1" w:styleId="xl160">
    <w:name w:val="xl160"/>
    <w:basedOn w:val="Normalny"/>
    <w:rsid w:val="007511A4"/>
    <w:pPr>
      <w:pBdr>
        <w:top w:val="single" w:sz="4" w:space="0" w:color="auto"/>
        <w:left w:val="single" w:sz="4" w:space="0" w:color="auto"/>
        <w:bottom w:val="single" w:sz="4" w:space="0" w:color="auto"/>
        <w:right w:val="single" w:sz="4" w:space="0" w:color="auto"/>
      </w:pBdr>
      <w:shd w:val="clear" w:color="auto" w:fill="CC99FF"/>
      <w:suppressAutoHyphens w:val="0"/>
      <w:spacing w:before="100" w:beforeAutospacing="1" w:after="100" w:afterAutospacing="1"/>
      <w:jc w:val="right"/>
      <w:textAlignment w:val="center"/>
    </w:pPr>
    <w:rPr>
      <w:b/>
      <w:bCs/>
      <w:szCs w:val="24"/>
    </w:rPr>
  </w:style>
  <w:style w:type="paragraph" w:customStyle="1" w:styleId="xl161">
    <w:name w:val="xl161"/>
    <w:basedOn w:val="Normalny"/>
    <w:rsid w:val="007511A4"/>
    <w:pPr>
      <w:pBdr>
        <w:top w:val="double" w:sz="6" w:space="0" w:color="auto"/>
        <w:left w:val="single" w:sz="8" w:space="0" w:color="auto"/>
        <w:bottom w:val="single" w:sz="8" w:space="0" w:color="auto"/>
      </w:pBdr>
      <w:shd w:val="clear" w:color="auto" w:fill="9999FF"/>
      <w:suppressAutoHyphens w:val="0"/>
      <w:spacing w:before="100" w:beforeAutospacing="1" w:after="100" w:afterAutospacing="1"/>
      <w:textAlignment w:val="center"/>
    </w:pPr>
    <w:rPr>
      <w:b/>
      <w:bCs/>
      <w:szCs w:val="24"/>
    </w:rPr>
  </w:style>
  <w:style w:type="paragraph" w:customStyle="1" w:styleId="xl162">
    <w:name w:val="xl162"/>
    <w:basedOn w:val="Normalny"/>
    <w:rsid w:val="007511A4"/>
    <w:pPr>
      <w:pBdr>
        <w:top w:val="double" w:sz="6" w:space="0" w:color="auto"/>
        <w:bottom w:val="single" w:sz="8" w:space="0" w:color="auto"/>
        <w:right w:val="single" w:sz="4" w:space="0" w:color="auto"/>
      </w:pBdr>
      <w:shd w:val="clear" w:color="auto" w:fill="9999FF"/>
      <w:suppressAutoHyphens w:val="0"/>
      <w:spacing w:before="100" w:beforeAutospacing="1" w:after="100" w:afterAutospacing="1"/>
      <w:textAlignment w:val="center"/>
    </w:pPr>
    <w:rPr>
      <w:b/>
      <w:bCs/>
      <w:szCs w:val="24"/>
    </w:rPr>
  </w:style>
  <w:style w:type="paragraph" w:customStyle="1" w:styleId="xl163">
    <w:name w:val="xl163"/>
    <w:basedOn w:val="Normalny"/>
    <w:rsid w:val="007511A4"/>
    <w:pPr>
      <w:pBdr>
        <w:top w:val="double" w:sz="6" w:space="0" w:color="auto"/>
        <w:left w:val="single" w:sz="8" w:space="0" w:color="auto"/>
        <w:bottom w:val="double" w:sz="6" w:space="0" w:color="auto"/>
      </w:pBdr>
      <w:suppressAutoHyphens w:val="0"/>
      <w:spacing w:before="100" w:beforeAutospacing="1" w:after="100" w:afterAutospacing="1"/>
      <w:textAlignment w:val="center"/>
    </w:pPr>
    <w:rPr>
      <w:b/>
      <w:bCs/>
      <w:szCs w:val="24"/>
    </w:rPr>
  </w:style>
  <w:style w:type="paragraph" w:customStyle="1" w:styleId="xl164">
    <w:name w:val="xl164"/>
    <w:basedOn w:val="Normalny"/>
    <w:rsid w:val="007511A4"/>
    <w:pPr>
      <w:pBdr>
        <w:top w:val="double" w:sz="6" w:space="0" w:color="auto"/>
        <w:bottom w:val="double" w:sz="6" w:space="0" w:color="auto"/>
        <w:right w:val="single" w:sz="4" w:space="0" w:color="auto"/>
      </w:pBdr>
      <w:suppressAutoHyphens w:val="0"/>
      <w:spacing w:before="100" w:beforeAutospacing="1" w:after="100" w:afterAutospacing="1"/>
      <w:textAlignment w:val="center"/>
    </w:pPr>
    <w:rPr>
      <w:szCs w:val="24"/>
    </w:rPr>
  </w:style>
  <w:style w:type="paragraph" w:customStyle="1" w:styleId="xl165">
    <w:name w:val="xl165"/>
    <w:basedOn w:val="Normalny"/>
    <w:rsid w:val="007511A4"/>
    <w:pPr>
      <w:pBdr>
        <w:top w:val="single" w:sz="4" w:space="0" w:color="auto"/>
        <w:left w:val="single" w:sz="4" w:space="0" w:color="auto"/>
        <w:bottom w:val="single" w:sz="4" w:space="0" w:color="auto"/>
      </w:pBdr>
      <w:shd w:val="clear" w:color="auto" w:fill="FF99CC"/>
      <w:suppressAutoHyphens w:val="0"/>
      <w:spacing w:before="100" w:beforeAutospacing="1" w:after="100" w:afterAutospacing="1"/>
      <w:textAlignment w:val="center"/>
    </w:pPr>
    <w:rPr>
      <w:b/>
      <w:bCs/>
      <w:szCs w:val="24"/>
    </w:rPr>
  </w:style>
  <w:style w:type="paragraph" w:customStyle="1" w:styleId="xl166">
    <w:name w:val="xl166"/>
    <w:basedOn w:val="Normalny"/>
    <w:rsid w:val="007511A4"/>
    <w:pPr>
      <w:pBdr>
        <w:top w:val="single" w:sz="4" w:space="0" w:color="auto"/>
        <w:bottom w:val="single" w:sz="4" w:space="0" w:color="auto"/>
        <w:right w:val="single" w:sz="4" w:space="0" w:color="auto"/>
      </w:pBdr>
      <w:shd w:val="clear" w:color="auto" w:fill="FF99CC"/>
      <w:suppressAutoHyphens w:val="0"/>
      <w:spacing w:before="100" w:beforeAutospacing="1" w:after="100" w:afterAutospacing="1"/>
      <w:textAlignment w:val="center"/>
    </w:pPr>
    <w:rPr>
      <w:szCs w:val="24"/>
    </w:rPr>
  </w:style>
  <w:style w:type="paragraph" w:customStyle="1" w:styleId="xl167">
    <w:name w:val="xl167"/>
    <w:basedOn w:val="Normalny"/>
    <w:rsid w:val="007511A4"/>
    <w:pPr>
      <w:suppressAutoHyphens w:val="0"/>
      <w:spacing w:before="100" w:beforeAutospacing="1" w:after="100" w:afterAutospacing="1"/>
      <w:textAlignment w:val="center"/>
    </w:pPr>
    <w:rPr>
      <w:b/>
      <w:bCs/>
      <w:sz w:val="22"/>
      <w:szCs w:val="22"/>
    </w:rPr>
  </w:style>
  <w:style w:type="paragraph" w:customStyle="1" w:styleId="xl168">
    <w:name w:val="xl168"/>
    <w:basedOn w:val="Normalny"/>
    <w:rsid w:val="007511A4"/>
    <w:pPr>
      <w:pBdr>
        <w:top w:val="single" w:sz="8" w:space="0" w:color="auto"/>
        <w:left w:val="single" w:sz="4" w:space="0" w:color="auto"/>
      </w:pBdr>
      <w:suppressAutoHyphens w:val="0"/>
      <w:spacing w:before="100" w:beforeAutospacing="1" w:after="100" w:afterAutospacing="1"/>
      <w:jc w:val="center"/>
      <w:textAlignment w:val="center"/>
    </w:pPr>
    <w:rPr>
      <w:sz w:val="18"/>
      <w:szCs w:val="18"/>
    </w:rPr>
  </w:style>
  <w:style w:type="paragraph" w:customStyle="1" w:styleId="xl169">
    <w:name w:val="xl169"/>
    <w:basedOn w:val="Normalny"/>
    <w:rsid w:val="007511A4"/>
    <w:pPr>
      <w:pBdr>
        <w:left w:val="single" w:sz="4" w:space="0" w:color="auto"/>
        <w:bottom w:val="single" w:sz="4" w:space="0" w:color="auto"/>
      </w:pBdr>
      <w:suppressAutoHyphens w:val="0"/>
      <w:spacing w:before="100" w:beforeAutospacing="1" w:after="100" w:afterAutospacing="1"/>
      <w:jc w:val="center"/>
      <w:textAlignment w:val="center"/>
    </w:pPr>
    <w:rPr>
      <w:sz w:val="18"/>
      <w:szCs w:val="18"/>
    </w:rPr>
  </w:style>
  <w:style w:type="paragraph" w:customStyle="1" w:styleId="xl170">
    <w:name w:val="xl170"/>
    <w:basedOn w:val="Normalny"/>
    <w:rsid w:val="007511A4"/>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szCs w:val="24"/>
    </w:rPr>
  </w:style>
  <w:style w:type="paragraph" w:customStyle="1" w:styleId="xl171">
    <w:name w:val="xl171"/>
    <w:basedOn w:val="Normalny"/>
    <w:rsid w:val="007511A4"/>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jc w:val="center"/>
      <w:textAlignment w:val="center"/>
    </w:pPr>
    <w:rPr>
      <w:szCs w:val="24"/>
    </w:rPr>
  </w:style>
  <w:style w:type="paragraph" w:customStyle="1" w:styleId="xl172">
    <w:name w:val="xl172"/>
    <w:basedOn w:val="Normalny"/>
    <w:rsid w:val="007511A4"/>
    <w:pPr>
      <w:pBdr>
        <w:top w:val="single" w:sz="4" w:space="0" w:color="auto"/>
        <w:left w:val="single" w:sz="8" w:space="0" w:color="auto"/>
        <w:right w:val="single" w:sz="4" w:space="0" w:color="auto"/>
      </w:pBdr>
      <w:suppressAutoHyphens w:val="0"/>
      <w:spacing w:before="100" w:beforeAutospacing="1" w:after="100" w:afterAutospacing="1"/>
      <w:jc w:val="center"/>
      <w:textAlignment w:val="center"/>
    </w:pPr>
    <w:rPr>
      <w:szCs w:val="24"/>
    </w:rPr>
  </w:style>
  <w:style w:type="paragraph" w:customStyle="1" w:styleId="xl173">
    <w:name w:val="xl173"/>
    <w:basedOn w:val="Normalny"/>
    <w:rsid w:val="007511A4"/>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rPr>
  </w:style>
  <w:style w:type="paragraph" w:customStyle="1" w:styleId="xl174">
    <w:name w:val="xl174"/>
    <w:basedOn w:val="Normalny"/>
    <w:rsid w:val="007511A4"/>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18"/>
      <w:szCs w:val="18"/>
    </w:rPr>
  </w:style>
  <w:style w:type="paragraph" w:customStyle="1" w:styleId="xl175">
    <w:name w:val="xl175"/>
    <w:basedOn w:val="Normalny"/>
    <w:rsid w:val="007511A4"/>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sz w:val="18"/>
      <w:szCs w:val="18"/>
    </w:rPr>
  </w:style>
  <w:style w:type="paragraph" w:customStyle="1" w:styleId="Default">
    <w:name w:val="Default"/>
    <w:rsid w:val="007511A4"/>
    <w:pPr>
      <w:autoSpaceDE w:val="0"/>
      <w:autoSpaceDN w:val="0"/>
      <w:adjustRightInd w:val="0"/>
    </w:pPr>
    <w:rPr>
      <w:color w:val="000000"/>
      <w:sz w:val="24"/>
      <w:szCs w:val="24"/>
    </w:rPr>
  </w:style>
  <w:style w:type="paragraph" w:customStyle="1" w:styleId="SOP-tekst">
    <w:name w:val="SOP-tekst"/>
    <w:basedOn w:val="Normalny"/>
    <w:rsid w:val="007511A4"/>
    <w:pPr>
      <w:widowControl w:val="0"/>
      <w:suppressAutoHyphens w:val="0"/>
      <w:spacing w:before="240"/>
      <w:jc w:val="both"/>
    </w:pPr>
    <w:rPr>
      <w:rFonts w:ascii="Arial" w:hAnsi="Arial" w:cs="Arial"/>
      <w:szCs w:val="24"/>
    </w:rPr>
  </w:style>
  <w:style w:type="paragraph" w:customStyle="1" w:styleId="tabela">
    <w:name w:val="tabela"/>
    <w:basedOn w:val="Normalny"/>
    <w:rsid w:val="007511A4"/>
    <w:pPr>
      <w:suppressAutoHyphens w:val="0"/>
      <w:autoSpaceDE w:val="0"/>
      <w:autoSpaceDN w:val="0"/>
      <w:adjustRightInd w:val="0"/>
      <w:spacing w:before="40" w:after="40"/>
    </w:pPr>
    <w:rPr>
      <w:rFonts w:ascii="Tahoma" w:hAnsi="Tahoma" w:cs="Tahoma"/>
      <w:sz w:val="18"/>
      <w:szCs w:val="18"/>
    </w:rPr>
  </w:style>
  <w:style w:type="paragraph" w:customStyle="1" w:styleId="classification">
    <w:name w:val="classification"/>
    <w:basedOn w:val="Normalny"/>
    <w:rsid w:val="007511A4"/>
    <w:pPr>
      <w:suppressAutoHyphens w:val="0"/>
      <w:jc w:val="center"/>
    </w:pPr>
    <w:rPr>
      <w:rFonts w:ascii="Arial" w:hAnsi="Arial" w:cs="Arial"/>
      <w:caps/>
      <w:sz w:val="22"/>
      <w:szCs w:val="22"/>
      <w:lang w:val="fr-FR" w:eastAsia="en-US"/>
    </w:rPr>
  </w:style>
  <w:style w:type="paragraph" w:styleId="Mapadokumentu">
    <w:name w:val="Document Map"/>
    <w:basedOn w:val="Normalny"/>
    <w:link w:val="MapadokumentuZnak"/>
    <w:rsid w:val="007511A4"/>
    <w:pPr>
      <w:shd w:val="clear" w:color="auto" w:fill="000080"/>
      <w:suppressAutoHyphens w:val="0"/>
    </w:pPr>
    <w:rPr>
      <w:rFonts w:ascii="Tahoma" w:hAnsi="Tahoma" w:cs="Tahoma"/>
      <w:shd w:val="clear" w:color="auto" w:fill="000080"/>
    </w:rPr>
  </w:style>
  <w:style w:type="character" w:customStyle="1" w:styleId="MapadokumentuZnak">
    <w:name w:val="Mapa dokumentu Znak"/>
    <w:link w:val="Mapadokumentu"/>
    <w:rsid w:val="007511A4"/>
    <w:rPr>
      <w:rFonts w:ascii="Tahoma" w:hAnsi="Tahoma" w:cs="Tahoma"/>
      <w:sz w:val="24"/>
      <w:shd w:val="clear" w:color="auto" w:fill="000080"/>
      <w:lang w:val="pl-PL" w:bidi="ar-SA"/>
    </w:rPr>
  </w:style>
  <w:style w:type="paragraph" w:styleId="Spistreci4">
    <w:name w:val="toc 4"/>
    <w:basedOn w:val="Normalny"/>
    <w:next w:val="Normalny"/>
    <w:autoRedefine/>
    <w:unhideWhenUsed/>
    <w:rsid w:val="007511A4"/>
    <w:pPr>
      <w:suppressAutoHyphens w:val="0"/>
      <w:spacing w:after="100" w:line="276" w:lineRule="auto"/>
      <w:ind w:left="660"/>
    </w:pPr>
    <w:rPr>
      <w:rFonts w:ascii="Calibri" w:hAnsi="Calibri"/>
      <w:sz w:val="22"/>
      <w:szCs w:val="22"/>
    </w:rPr>
  </w:style>
  <w:style w:type="paragraph" w:styleId="Spistreci5">
    <w:name w:val="toc 5"/>
    <w:basedOn w:val="Normalny"/>
    <w:next w:val="Normalny"/>
    <w:autoRedefine/>
    <w:unhideWhenUsed/>
    <w:rsid w:val="007511A4"/>
    <w:pPr>
      <w:suppressAutoHyphens w:val="0"/>
      <w:spacing w:after="100" w:line="276" w:lineRule="auto"/>
      <w:ind w:left="880"/>
    </w:pPr>
    <w:rPr>
      <w:rFonts w:ascii="Calibri" w:hAnsi="Calibri"/>
      <w:sz w:val="22"/>
      <w:szCs w:val="22"/>
    </w:rPr>
  </w:style>
  <w:style w:type="paragraph" w:styleId="Spistreci6">
    <w:name w:val="toc 6"/>
    <w:basedOn w:val="Normalny"/>
    <w:next w:val="Normalny"/>
    <w:autoRedefine/>
    <w:unhideWhenUsed/>
    <w:rsid w:val="007511A4"/>
    <w:pPr>
      <w:suppressAutoHyphens w:val="0"/>
      <w:spacing w:after="100" w:line="276" w:lineRule="auto"/>
      <w:ind w:left="1100"/>
    </w:pPr>
    <w:rPr>
      <w:rFonts w:ascii="Calibri" w:hAnsi="Calibri"/>
      <w:sz w:val="22"/>
      <w:szCs w:val="22"/>
    </w:rPr>
  </w:style>
  <w:style w:type="paragraph" w:styleId="Spistreci7">
    <w:name w:val="toc 7"/>
    <w:basedOn w:val="Normalny"/>
    <w:next w:val="Normalny"/>
    <w:autoRedefine/>
    <w:unhideWhenUsed/>
    <w:rsid w:val="007511A4"/>
    <w:pPr>
      <w:suppressAutoHyphens w:val="0"/>
      <w:spacing w:after="100" w:line="276" w:lineRule="auto"/>
      <w:ind w:left="1320"/>
    </w:pPr>
    <w:rPr>
      <w:rFonts w:ascii="Calibri" w:hAnsi="Calibri"/>
      <w:sz w:val="22"/>
      <w:szCs w:val="22"/>
    </w:rPr>
  </w:style>
  <w:style w:type="paragraph" w:styleId="Spistreci8">
    <w:name w:val="toc 8"/>
    <w:basedOn w:val="Normalny"/>
    <w:next w:val="Normalny"/>
    <w:autoRedefine/>
    <w:unhideWhenUsed/>
    <w:rsid w:val="007511A4"/>
    <w:pPr>
      <w:suppressAutoHyphens w:val="0"/>
      <w:spacing w:after="100" w:line="276" w:lineRule="auto"/>
      <w:ind w:left="1540"/>
    </w:pPr>
    <w:rPr>
      <w:rFonts w:ascii="Calibri" w:hAnsi="Calibri"/>
      <w:sz w:val="22"/>
      <w:szCs w:val="22"/>
    </w:rPr>
  </w:style>
  <w:style w:type="paragraph" w:styleId="Spistreci9">
    <w:name w:val="toc 9"/>
    <w:basedOn w:val="Normalny"/>
    <w:next w:val="Normalny"/>
    <w:autoRedefine/>
    <w:unhideWhenUsed/>
    <w:rsid w:val="007511A4"/>
    <w:pPr>
      <w:suppressAutoHyphens w:val="0"/>
      <w:spacing w:after="100" w:line="276" w:lineRule="auto"/>
      <w:ind w:left="1760"/>
    </w:pPr>
    <w:rPr>
      <w:rFonts w:ascii="Calibri" w:hAnsi="Calibri"/>
      <w:sz w:val="22"/>
      <w:szCs w:val="22"/>
    </w:rPr>
  </w:style>
  <w:style w:type="character" w:styleId="Odwoaniedokomentarza">
    <w:name w:val="annotation reference"/>
    <w:rsid w:val="00686ED4"/>
    <w:rPr>
      <w:sz w:val="16"/>
      <w:szCs w:val="16"/>
    </w:rPr>
  </w:style>
  <w:style w:type="paragraph" w:styleId="Tekstkomentarza">
    <w:name w:val="annotation text"/>
    <w:basedOn w:val="Normalny"/>
    <w:link w:val="TekstkomentarzaZnak"/>
    <w:rsid w:val="00686ED4"/>
    <w:rPr>
      <w:sz w:val="20"/>
      <w:lang w:val="x-none"/>
    </w:rPr>
  </w:style>
  <w:style w:type="paragraph" w:styleId="Tematkomentarza">
    <w:name w:val="annotation subject"/>
    <w:basedOn w:val="Tekstkomentarza"/>
    <w:next w:val="Tekstkomentarza"/>
    <w:link w:val="TematkomentarzaZnak"/>
    <w:semiHidden/>
    <w:rsid w:val="00686ED4"/>
    <w:rPr>
      <w:b/>
      <w:bCs/>
    </w:rPr>
  </w:style>
  <w:style w:type="paragraph" w:styleId="Poprawka">
    <w:name w:val="Revision"/>
    <w:hidden/>
    <w:uiPriority w:val="99"/>
    <w:semiHidden/>
    <w:rsid w:val="00AD26A2"/>
    <w:rPr>
      <w:sz w:val="24"/>
    </w:rPr>
  </w:style>
  <w:style w:type="paragraph" w:customStyle="1" w:styleId="celp">
    <w:name w:val="cel_p"/>
    <w:basedOn w:val="Normalny"/>
    <w:rsid w:val="00E10676"/>
    <w:pPr>
      <w:suppressAutoHyphens w:val="0"/>
      <w:spacing w:after="15"/>
      <w:ind w:left="15" w:right="15"/>
      <w:jc w:val="both"/>
      <w:textAlignment w:val="top"/>
    </w:pPr>
    <w:rPr>
      <w:szCs w:val="24"/>
    </w:rPr>
  </w:style>
  <w:style w:type="paragraph" w:styleId="Tekstblokowy">
    <w:name w:val="Block Text"/>
    <w:basedOn w:val="Normalny"/>
    <w:rsid w:val="0053175A"/>
    <w:pPr>
      <w:suppressAutoHyphens w:val="0"/>
      <w:spacing w:before="120" w:after="120" w:line="264" w:lineRule="atLeast"/>
      <w:ind w:left="1134" w:right="-6"/>
      <w:jc w:val="both"/>
    </w:pPr>
    <w:rPr>
      <w:rFonts w:ascii="Arial" w:hAnsi="Arial"/>
      <w:color w:val="FF0000"/>
      <w:sz w:val="20"/>
      <w:lang w:eastAsia="en-US"/>
    </w:rPr>
  </w:style>
  <w:style w:type="numbering" w:styleId="111111">
    <w:name w:val="Outline List 2"/>
    <w:basedOn w:val="Bezlisty"/>
    <w:rsid w:val="00F7784D"/>
    <w:pPr>
      <w:numPr>
        <w:numId w:val="8"/>
      </w:numPr>
    </w:pPr>
  </w:style>
  <w:style w:type="numbering" w:customStyle="1" w:styleId="Biecalista1">
    <w:name w:val="Bieżąca lista1"/>
    <w:rsid w:val="009720BE"/>
    <w:pPr>
      <w:numPr>
        <w:numId w:val="9"/>
      </w:numPr>
    </w:pPr>
  </w:style>
  <w:style w:type="character" w:customStyle="1" w:styleId="Nagwek1Znak">
    <w:name w:val="Nagłówek 1 Znak"/>
    <w:link w:val="Nagwek1"/>
    <w:rsid w:val="00016BEE"/>
    <w:rPr>
      <w:rFonts w:ascii="Arial" w:hAnsi="Arial"/>
      <w:b/>
      <w:bCs/>
      <w:kern w:val="32"/>
      <w:sz w:val="32"/>
      <w:szCs w:val="32"/>
      <w:lang w:val="x-none"/>
    </w:rPr>
  </w:style>
  <w:style w:type="paragraph" w:customStyle="1" w:styleId="Znak0">
    <w:name w:val="Znak"/>
    <w:basedOn w:val="Normalny"/>
    <w:rsid w:val="00743902"/>
    <w:pPr>
      <w:suppressAutoHyphens w:val="0"/>
    </w:pPr>
    <w:rPr>
      <w:szCs w:val="24"/>
    </w:rPr>
  </w:style>
  <w:style w:type="character" w:customStyle="1" w:styleId="ZnakZnak0">
    <w:name w:val="Znak Znak"/>
    <w:rsid w:val="00743902"/>
    <w:rPr>
      <w:sz w:val="24"/>
      <w:szCs w:val="24"/>
      <w:lang w:val="pl-PL" w:eastAsia="pl-PL" w:bidi="ar-SA"/>
    </w:rPr>
  </w:style>
  <w:style w:type="paragraph" w:customStyle="1" w:styleId="Tekstpodstawowy210">
    <w:name w:val="Tekst podstawowy 21"/>
    <w:basedOn w:val="Normalny"/>
    <w:rsid w:val="00743902"/>
    <w:pPr>
      <w:jc w:val="both"/>
    </w:pPr>
  </w:style>
  <w:style w:type="character" w:customStyle="1" w:styleId="ZnakZnak80">
    <w:name w:val="Znak Znak8"/>
    <w:rsid w:val="00743902"/>
    <w:rPr>
      <w:rFonts w:ascii="Arial" w:eastAsia="Times New Roman" w:hAnsi="Arial" w:cs="Arial"/>
      <w:b/>
      <w:bCs/>
      <w:i/>
      <w:iCs/>
      <w:sz w:val="28"/>
      <w:szCs w:val="28"/>
    </w:rPr>
  </w:style>
  <w:style w:type="character" w:customStyle="1" w:styleId="ZnakZnak60">
    <w:name w:val="Znak Znak6"/>
    <w:rsid w:val="00743902"/>
    <w:rPr>
      <w:rFonts w:ascii="Times New Roman" w:eastAsia="Times New Roman" w:hAnsi="Times New Roman" w:cs="Times New Roman"/>
      <w:b/>
      <w:bCs/>
      <w:sz w:val="28"/>
      <w:szCs w:val="28"/>
    </w:rPr>
  </w:style>
  <w:style w:type="paragraph" w:customStyle="1" w:styleId="ZnakZnakZnakZnak0">
    <w:name w:val="Znak Znak Znak Znak"/>
    <w:basedOn w:val="Normalny"/>
    <w:rsid w:val="00743902"/>
    <w:pPr>
      <w:suppressAutoHyphens w:val="0"/>
    </w:pPr>
    <w:rPr>
      <w:szCs w:val="24"/>
    </w:rPr>
  </w:style>
  <w:style w:type="numbering" w:customStyle="1" w:styleId="Bezlisty1">
    <w:name w:val="Bez listy1"/>
    <w:next w:val="Bezlisty"/>
    <w:semiHidden/>
    <w:unhideWhenUsed/>
    <w:rsid w:val="00762FA1"/>
  </w:style>
  <w:style w:type="character" w:customStyle="1" w:styleId="Nagwek8Znak">
    <w:name w:val="Nagłówek 8 Znak"/>
    <w:link w:val="Nagwek8"/>
    <w:rsid w:val="00762FA1"/>
    <w:rPr>
      <w:i/>
      <w:iCs/>
      <w:sz w:val="24"/>
      <w:szCs w:val="24"/>
      <w:lang w:val="x-none"/>
    </w:rPr>
  </w:style>
  <w:style w:type="character" w:customStyle="1" w:styleId="Nagwek9Znak">
    <w:name w:val="Nagłówek 9 Znak"/>
    <w:link w:val="Nagwek9"/>
    <w:rsid w:val="00762FA1"/>
    <w:rPr>
      <w:rFonts w:ascii="Arial" w:hAnsi="Arial"/>
      <w:sz w:val="22"/>
      <w:szCs w:val="22"/>
      <w:lang w:val="x-none" w:eastAsia="x-none"/>
    </w:rPr>
  </w:style>
  <w:style w:type="paragraph" w:customStyle="1" w:styleId="Tytuowa1">
    <w:name w:val="Tytułowa 1"/>
    <w:basedOn w:val="Tytu"/>
    <w:rsid w:val="00762FA1"/>
  </w:style>
  <w:style w:type="paragraph" w:styleId="Tytu">
    <w:name w:val="Title"/>
    <w:basedOn w:val="Normalny"/>
    <w:link w:val="TytuZnak"/>
    <w:qFormat/>
    <w:rsid w:val="00762FA1"/>
    <w:pPr>
      <w:suppressAutoHyphens w:val="0"/>
      <w:spacing w:before="240" w:after="60" w:line="360" w:lineRule="auto"/>
      <w:jc w:val="center"/>
      <w:outlineLvl w:val="0"/>
    </w:pPr>
    <w:rPr>
      <w:rFonts w:ascii="Arial" w:hAnsi="Arial"/>
      <w:b/>
      <w:bCs/>
      <w:kern w:val="28"/>
      <w:sz w:val="32"/>
      <w:szCs w:val="32"/>
      <w:lang w:val="x-none" w:eastAsia="x-none"/>
    </w:rPr>
  </w:style>
  <w:style w:type="character" w:customStyle="1" w:styleId="TytuZnak">
    <w:name w:val="Tytuł Znak"/>
    <w:link w:val="Tytu"/>
    <w:rsid w:val="00762FA1"/>
    <w:rPr>
      <w:rFonts w:ascii="Arial" w:hAnsi="Arial" w:cs="Arial"/>
      <w:b/>
      <w:bCs/>
      <w:kern w:val="28"/>
      <w:sz w:val="32"/>
      <w:szCs w:val="32"/>
    </w:rPr>
  </w:style>
  <w:style w:type="character" w:customStyle="1" w:styleId="TekstdymkaZnak">
    <w:name w:val="Tekst dymka Znak"/>
    <w:link w:val="Tekstdymka"/>
    <w:semiHidden/>
    <w:rsid w:val="00762FA1"/>
    <w:rPr>
      <w:rFonts w:ascii="Tahoma" w:hAnsi="Tahoma" w:cs="Tahoma"/>
      <w:sz w:val="16"/>
      <w:szCs w:val="16"/>
    </w:rPr>
  </w:style>
  <w:style w:type="character" w:customStyle="1" w:styleId="TekstkomentarzaZnak">
    <w:name w:val="Tekst komentarza Znak"/>
    <w:link w:val="Tekstkomentarza"/>
    <w:rsid w:val="00762FA1"/>
  </w:style>
  <w:style w:type="character" w:customStyle="1" w:styleId="TematkomentarzaZnak">
    <w:name w:val="Temat komentarza Znak"/>
    <w:link w:val="Tematkomentarza"/>
    <w:semiHidden/>
    <w:rsid w:val="00762FA1"/>
    <w:rPr>
      <w:b/>
      <w:bCs/>
    </w:rPr>
  </w:style>
  <w:style w:type="paragraph" w:styleId="Lista2">
    <w:name w:val="List 2"/>
    <w:basedOn w:val="Normalny"/>
    <w:rsid w:val="00762FA1"/>
    <w:pPr>
      <w:suppressAutoHyphens w:val="0"/>
      <w:spacing w:line="360" w:lineRule="auto"/>
      <w:ind w:left="566" w:hanging="283"/>
      <w:jc w:val="both"/>
    </w:pPr>
    <w:rPr>
      <w:rFonts w:ascii="Arial" w:hAnsi="Arial"/>
      <w:sz w:val="22"/>
      <w:szCs w:val="24"/>
    </w:rPr>
  </w:style>
  <w:style w:type="paragraph" w:styleId="Lista3">
    <w:name w:val="List 3"/>
    <w:basedOn w:val="Normalny"/>
    <w:rsid w:val="00762FA1"/>
    <w:pPr>
      <w:suppressAutoHyphens w:val="0"/>
      <w:spacing w:line="360" w:lineRule="auto"/>
      <w:ind w:left="849" w:hanging="283"/>
      <w:jc w:val="both"/>
    </w:pPr>
    <w:rPr>
      <w:rFonts w:ascii="Arial" w:hAnsi="Arial"/>
      <w:sz w:val="22"/>
      <w:szCs w:val="24"/>
    </w:rPr>
  </w:style>
  <w:style w:type="paragraph" w:styleId="Lista4">
    <w:name w:val="List 4"/>
    <w:basedOn w:val="Normalny"/>
    <w:rsid w:val="00762FA1"/>
    <w:pPr>
      <w:suppressAutoHyphens w:val="0"/>
      <w:spacing w:line="360" w:lineRule="auto"/>
      <w:ind w:left="1132" w:hanging="283"/>
      <w:jc w:val="both"/>
    </w:pPr>
    <w:rPr>
      <w:rFonts w:ascii="Arial" w:hAnsi="Arial"/>
      <w:sz w:val="22"/>
      <w:szCs w:val="24"/>
    </w:rPr>
  </w:style>
  <w:style w:type="paragraph" w:styleId="Lista-kontynuacja">
    <w:name w:val="List Continue"/>
    <w:basedOn w:val="Normalny"/>
    <w:rsid w:val="00762FA1"/>
    <w:pPr>
      <w:suppressAutoHyphens w:val="0"/>
      <w:spacing w:after="120" w:line="360" w:lineRule="auto"/>
      <w:ind w:left="283"/>
      <w:jc w:val="both"/>
    </w:pPr>
    <w:rPr>
      <w:rFonts w:ascii="Arial" w:hAnsi="Arial"/>
      <w:sz w:val="22"/>
      <w:szCs w:val="24"/>
    </w:rPr>
  </w:style>
  <w:style w:type="character" w:customStyle="1" w:styleId="TekstpodstawowywcityZnak">
    <w:name w:val="Tekst podstawowy wcięty Znak"/>
    <w:rsid w:val="00762FA1"/>
    <w:rPr>
      <w:rFonts w:ascii="Arial" w:hAnsi="Arial"/>
      <w:sz w:val="22"/>
      <w:szCs w:val="24"/>
    </w:rPr>
  </w:style>
  <w:style w:type="paragraph" w:styleId="Tekstpodstawowyzwciciem2">
    <w:name w:val="Body Text First Indent 2"/>
    <w:basedOn w:val="Tekstpodstawowywcity"/>
    <w:link w:val="Tekstpodstawowyzwciciem2Znak"/>
    <w:rsid w:val="00762FA1"/>
    <w:pPr>
      <w:suppressAutoHyphens w:val="0"/>
      <w:ind w:left="283" w:firstLine="210"/>
    </w:pPr>
    <w:rPr>
      <w:rFonts w:ascii="Arial" w:hAnsi="Arial"/>
      <w:sz w:val="22"/>
      <w:szCs w:val="24"/>
    </w:rPr>
  </w:style>
  <w:style w:type="character" w:customStyle="1" w:styleId="TekstpodstawowywcityZnak1">
    <w:name w:val="Tekst podstawowy wcięty Znak1"/>
    <w:link w:val="Tekstpodstawowywcity"/>
    <w:rsid w:val="00762FA1"/>
    <w:rPr>
      <w:sz w:val="24"/>
    </w:rPr>
  </w:style>
  <w:style w:type="character" w:customStyle="1" w:styleId="Tekstpodstawowyzwciciem2Znak">
    <w:name w:val="Tekst podstawowy z wcięciem 2 Znak"/>
    <w:link w:val="Tekstpodstawowyzwciciem2"/>
    <w:rsid w:val="00762FA1"/>
    <w:rPr>
      <w:rFonts w:ascii="Arial" w:hAnsi="Arial"/>
      <w:sz w:val="22"/>
      <w:szCs w:val="24"/>
    </w:rPr>
  </w:style>
  <w:style w:type="table" w:customStyle="1" w:styleId="Tabela-Siatka1">
    <w:name w:val="Tabela - Siatka1"/>
    <w:basedOn w:val="Standardowy"/>
    <w:next w:val="Tabela-Siatka"/>
    <w:uiPriority w:val="59"/>
    <w:rsid w:val="00762FA1"/>
    <w:pPr>
      <w:spacing w:line="36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lloonText1">
    <w:name w:val="Balloon Text1"/>
    <w:basedOn w:val="Normalny"/>
    <w:semiHidden/>
    <w:rsid w:val="00762FA1"/>
    <w:pPr>
      <w:suppressAutoHyphens w:val="0"/>
    </w:pPr>
    <w:rPr>
      <w:rFonts w:ascii="Tahoma" w:eastAsia="MS Mincho" w:hAnsi="Tahoma" w:cs="Tahoma"/>
      <w:sz w:val="16"/>
      <w:szCs w:val="16"/>
      <w:lang w:val="en-GB" w:eastAsia="ja-JP"/>
    </w:rPr>
  </w:style>
  <w:style w:type="paragraph" w:customStyle="1" w:styleId="Car">
    <w:name w:val="Car"/>
    <w:basedOn w:val="Normalny"/>
    <w:rsid w:val="00762FA1"/>
    <w:pPr>
      <w:suppressAutoHyphens w:val="0"/>
      <w:spacing w:after="160" w:line="240" w:lineRule="exact"/>
    </w:pPr>
    <w:rPr>
      <w:rFonts w:ascii="Tahoma" w:hAnsi="Tahoma"/>
      <w:sz w:val="20"/>
      <w:lang w:val="en-US" w:eastAsia="en-US"/>
    </w:rPr>
  </w:style>
  <w:style w:type="paragraph" w:customStyle="1" w:styleId="RozdziaW">
    <w:name w:val="Rozdział W"/>
    <w:basedOn w:val="Nagwek1"/>
    <w:link w:val="RozdziaWZnak"/>
    <w:rsid w:val="00762FA1"/>
    <w:pPr>
      <w:numPr>
        <w:numId w:val="0"/>
      </w:numPr>
      <w:suppressAutoHyphens w:val="0"/>
      <w:spacing w:line="360" w:lineRule="auto"/>
      <w:ind w:left="2700"/>
      <w:jc w:val="both"/>
    </w:pPr>
    <w:rPr>
      <w:sz w:val="24"/>
      <w:lang w:eastAsia="x-none"/>
    </w:rPr>
  </w:style>
  <w:style w:type="paragraph" w:customStyle="1" w:styleId="PodrozdziaW">
    <w:name w:val="Podrozdział W"/>
    <w:basedOn w:val="Nagwek2"/>
    <w:link w:val="PodrozdziaWZnak"/>
    <w:rsid w:val="00762FA1"/>
    <w:pPr>
      <w:numPr>
        <w:ilvl w:val="0"/>
        <w:numId w:val="0"/>
      </w:numPr>
      <w:suppressAutoHyphens w:val="0"/>
      <w:spacing w:line="360" w:lineRule="auto"/>
      <w:jc w:val="center"/>
    </w:pPr>
    <w:rPr>
      <w:sz w:val="24"/>
      <w:szCs w:val="24"/>
      <w:lang w:eastAsia="x-none"/>
    </w:rPr>
  </w:style>
  <w:style w:type="paragraph" w:customStyle="1" w:styleId="PodPodrozdziaW">
    <w:name w:val="PodPodrozdział W"/>
    <w:basedOn w:val="Normalny"/>
    <w:rsid w:val="00762FA1"/>
    <w:pPr>
      <w:numPr>
        <w:ilvl w:val="1"/>
        <w:numId w:val="13"/>
      </w:numPr>
      <w:suppressAutoHyphens w:val="0"/>
      <w:autoSpaceDE w:val="0"/>
      <w:autoSpaceDN w:val="0"/>
      <w:adjustRightInd w:val="0"/>
    </w:pPr>
    <w:rPr>
      <w:rFonts w:ascii="Arial" w:hAnsi="Arial"/>
      <w:sz w:val="22"/>
      <w:szCs w:val="24"/>
    </w:rPr>
  </w:style>
  <w:style w:type="paragraph" w:customStyle="1" w:styleId="PodPodPodrozdziaW">
    <w:name w:val="PodPodPodrozdział W"/>
    <w:basedOn w:val="Normalny"/>
    <w:rsid w:val="00762FA1"/>
    <w:pPr>
      <w:numPr>
        <w:ilvl w:val="1"/>
        <w:numId w:val="12"/>
      </w:numPr>
      <w:suppressAutoHyphens w:val="0"/>
      <w:autoSpaceDE w:val="0"/>
      <w:autoSpaceDN w:val="0"/>
      <w:adjustRightInd w:val="0"/>
    </w:pPr>
    <w:rPr>
      <w:rFonts w:ascii="Arial" w:hAnsi="Arial"/>
      <w:sz w:val="22"/>
      <w:szCs w:val="24"/>
    </w:rPr>
  </w:style>
  <w:style w:type="paragraph" w:customStyle="1" w:styleId="PodxrozdziaW">
    <w:name w:val="Podxrozdział W"/>
    <w:basedOn w:val="Normalny"/>
    <w:rsid w:val="00762FA1"/>
    <w:pPr>
      <w:numPr>
        <w:ilvl w:val="2"/>
        <w:numId w:val="12"/>
      </w:numPr>
      <w:suppressAutoHyphens w:val="0"/>
      <w:autoSpaceDE w:val="0"/>
      <w:autoSpaceDN w:val="0"/>
      <w:adjustRightInd w:val="0"/>
    </w:pPr>
    <w:rPr>
      <w:rFonts w:ascii="Arial" w:hAnsi="Arial"/>
      <w:sz w:val="22"/>
      <w:szCs w:val="24"/>
    </w:rPr>
  </w:style>
  <w:style w:type="paragraph" w:customStyle="1" w:styleId="PodyrozdziaW">
    <w:name w:val="Podyrozdział W"/>
    <w:basedOn w:val="Normalny"/>
    <w:rsid w:val="00762FA1"/>
    <w:pPr>
      <w:keepNext/>
      <w:keepLines/>
      <w:numPr>
        <w:ilvl w:val="3"/>
        <w:numId w:val="12"/>
      </w:numPr>
      <w:suppressAutoHyphens w:val="0"/>
      <w:autoSpaceDE w:val="0"/>
      <w:autoSpaceDN w:val="0"/>
      <w:adjustRightInd w:val="0"/>
    </w:pPr>
    <w:rPr>
      <w:rFonts w:ascii="Arial" w:hAnsi="Arial"/>
      <w:sz w:val="22"/>
      <w:szCs w:val="24"/>
    </w:rPr>
  </w:style>
  <w:style w:type="paragraph" w:customStyle="1" w:styleId="Style4">
    <w:name w:val="Style4"/>
    <w:basedOn w:val="Normalny"/>
    <w:rsid w:val="00762FA1"/>
    <w:pPr>
      <w:widowControl w:val="0"/>
      <w:suppressAutoHyphens w:val="0"/>
      <w:autoSpaceDE w:val="0"/>
      <w:autoSpaceDN w:val="0"/>
      <w:adjustRightInd w:val="0"/>
      <w:spacing w:line="323" w:lineRule="exact"/>
    </w:pPr>
    <w:rPr>
      <w:rFonts w:ascii="Arial Black" w:hAnsi="Arial Black"/>
      <w:szCs w:val="24"/>
    </w:rPr>
  </w:style>
  <w:style w:type="character" w:customStyle="1" w:styleId="FontStyle50">
    <w:name w:val="Font Style50"/>
    <w:rsid w:val="00762FA1"/>
    <w:rPr>
      <w:rFonts w:ascii="Times New Roman" w:hAnsi="Times New Roman" w:cs="Times New Roman"/>
      <w:b/>
      <w:bCs/>
      <w:sz w:val="26"/>
      <w:szCs w:val="26"/>
    </w:rPr>
  </w:style>
  <w:style w:type="paragraph" w:customStyle="1" w:styleId="Style42">
    <w:name w:val="Style42"/>
    <w:basedOn w:val="Normalny"/>
    <w:rsid w:val="00762FA1"/>
    <w:pPr>
      <w:widowControl w:val="0"/>
      <w:suppressAutoHyphens w:val="0"/>
      <w:autoSpaceDE w:val="0"/>
      <w:autoSpaceDN w:val="0"/>
      <w:adjustRightInd w:val="0"/>
      <w:spacing w:line="367" w:lineRule="exact"/>
    </w:pPr>
    <w:rPr>
      <w:rFonts w:ascii="Arial Black" w:hAnsi="Arial Black"/>
      <w:szCs w:val="24"/>
    </w:rPr>
  </w:style>
  <w:style w:type="character" w:customStyle="1" w:styleId="FontStyle62">
    <w:name w:val="Font Style62"/>
    <w:rsid w:val="00762FA1"/>
    <w:rPr>
      <w:rFonts w:ascii="Arial Unicode MS" w:eastAsia="Arial Unicode MS" w:cs="Arial Unicode MS"/>
      <w:b/>
      <w:bCs/>
      <w:sz w:val="32"/>
      <w:szCs w:val="32"/>
    </w:rPr>
  </w:style>
  <w:style w:type="paragraph" w:customStyle="1" w:styleId="Style30">
    <w:name w:val="Style30"/>
    <w:basedOn w:val="Normalny"/>
    <w:rsid w:val="00762FA1"/>
    <w:pPr>
      <w:widowControl w:val="0"/>
      <w:suppressAutoHyphens w:val="0"/>
      <w:autoSpaceDE w:val="0"/>
      <w:autoSpaceDN w:val="0"/>
      <w:adjustRightInd w:val="0"/>
    </w:pPr>
    <w:rPr>
      <w:rFonts w:ascii="Arial Black" w:hAnsi="Arial Black"/>
      <w:szCs w:val="24"/>
    </w:rPr>
  </w:style>
  <w:style w:type="character" w:customStyle="1" w:styleId="FontStyle65">
    <w:name w:val="Font Style65"/>
    <w:rsid w:val="00762FA1"/>
    <w:rPr>
      <w:rFonts w:ascii="Times New Roman" w:hAnsi="Times New Roman" w:cs="Times New Roman"/>
      <w:b/>
      <w:bCs/>
      <w:sz w:val="22"/>
      <w:szCs w:val="22"/>
    </w:rPr>
  </w:style>
  <w:style w:type="paragraph" w:customStyle="1" w:styleId="Style5">
    <w:name w:val="Style5"/>
    <w:basedOn w:val="Normalny"/>
    <w:rsid w:val="00762FA1"/>
    <w:pPr>
      <w:widowControl w:val="0"/>
      <w:suppressAutoHyphens w:val="0"/>
      <w:autoSpaceDE w:val="0"/>
      <w:autoSpaceDN w:val="0"/>
      <w:adjustRightInd w:val="0"/>
      <w:spacing w:line="276" w:lineRule="exact"/>
      <w:jc w:val="both"/>
    </w:pPr>
    <w:rPr>
      <w:rFonts w:ascii="Arial Black" w:hAnsi="Arial Black"/>
      <w:szCs w:val="24"/>
    </w:rPr>
  </w:style>
  <w:style w:type="character" w:customStyle="1" w:styleId="FontStyle51">
    <w:name w:val="Font Style51"/>
    <w:rsid w:val="00762FA1"/>
    <w:rPr>
      <w:rFonts w:ascii="Times New Roman" w:hAnsi="Times New Roman" w:cs="Times New Roman"/>
      <w:i/>
      <w:iCs/>
      <w:sz w:val="22"/>
      <w:szCs w:val="22"/>
    </w:rPr>
  </w:style>
  <w:style w:type="character" w:customStyle="1" w:styleId="FontStyle66">
    <w:name w:val="Font Style66"/>
    <w:rsid w:val="00762FA1"/>
    <w:rPr>
      <w:rFonts w:ascii="Times New Roman" w:hAnsi="Times New Roman" w:cs="Times New Roman"/>
      <w:sz w:val="22"/>
      <w:szCs w:val="22"/>
    </w:rPr>
  </w:style>
  <w:style w:type="paragraph" w:customStyle="1" w:styleId="Style7">
    <w:name w:val="Style7"/>
    <w:basedOn w:val="Normalny"/>
    <w:rsid w:val="00762FA1"/>
    <w:pPr>
      <w:widowControl w:val="0"/>
      <w:suppressAutoHyphens w:val="0"/>
      <w:autoSpaceDE w:val="0"/>
      <w:autoSpaceDN w:val="0"/>
      <w:adjustRightInd w:val="0"/>
    </w:pPr>
    <w:rPr>
      <w:rFonts w:ascii="Arial Black" w:hAnsi="Arial Black"/>
      <w:szCs w:val="24"/>
    </w:rPr>
  </w:style>
  <w:style w:type="paragraph" w:customStyle="1" w:styleId="Style17">
    <w:name w:val="Style17"/>
    <w:basedOn w:val="Normalny"/>
    <w:rsid w:val="00762FA1"/>
    <w:pPr>
      <w:widowControl w:val="0"/>
      <w:suppressAutoHyphens w:val="0"/>
      <w:autoSpaceDE w:val="0"/>
      <w:autoSpaceDN w:val="0"/>
      <w:adjustRightInd w:val="0"/>
    </w:pPr>
    <w:rPr>
      <w:rFonts w:ascii="Arial Black" w:hAnsi="Arial Black"/>
      <w:szCs w:val="24"/>
    </w:rPr>
  </w:style>
  <w:style w:type="paragraph" w:customStyle="1" w:styleId="Style20">
    <w:name w:val="Style20"/>
    <w:basedOn w:val="Normalny"/>
    <w:rsid w:val="00762FA1"/>
    <w:pPr>
      <w:widowControl w:val="0"/>
      <w:suppressAutoHyphens w:val="0"/>
      <w:autoSpaceDE w:val="0"/>
      <w:autoSpaceDN w:val="0"/>
      <w:adjustRightInd w:val="0"/>
      <w:spacing w:line="274" w:lineRule="exact"/>
      <w:ind w:hanging="370"/>
    </w:pPr>
    <w:rPr>
      <w:rFonts w:ascii="Arial Black" w:hAnsi="Arial Black"/>
      <w:szCs w:val="24"/>
    </w:rPr>
  </w:style>
  <w:style w:type="paragraph" w:customStyle="1" w:styleId="Style26">
    <w:name w:val="Style26"/>
    <w:basedOn w:val="Normalny"/>
    <w:rsid w:val="00762FA1"/>
    <w:pPr>
      <w:widowControl w:val="0"/>
      <w:suppressAutoHyphens w:val="0"/>
      <w:autoSpaceDE w:val="0"/>
      <w:autoSpaceDN w:val="0"/>
      <w:adjustRightInd w:val="0"/>
      <w:spacing w:line="300" w:lineRule="exact"/>
      <w:ind w:hanging="341"/>
      <w:jc w:val="both"/>
    </w:pPr>
    <w:rPr>
      <w:rFonts w:ascii="Arial Black" w:hAnsi="Arial Black"/>
      <w:szCs w:val="24"/>
    </w:rPr>
  </w:style>
  <w:style w:type="character" w:customStyle="1" w:styleId="FontStyle60">
    <w:name w:val="Font Style60"/>
    <w:rsid w:val="00762FA1"/>
    <w:rPr>
      <w:rFonts w:ascii="Times New Roman" w:hAnsi="Times New Roman" w:cs="Times New Roman"/>
      <w:sz w:val="18"/>
      <w:szCs w:val="18"/>
    </w:rPr>
  </w:style>
  <w:style w:type="character" w:customStyle="1" w:styleId="FontStyle61">
    <w:name w:val="Font Style61"/>
    <w:rsid w:val="00762FA1"/>
    <w:rPr>
      <w:rFonts w:ascii="Arial Unicode MS" w:eastAsia="Arial Unicode MS" w:cs="Arial Unicode MS"/>
      <w:b/>
      <w:bCs/>
      <w:sz w:val="20"/>
      <w:szCs w:val="20"/>
    </w:rPr>
  </w:style>
  <w:style w:type="paragraph" w:customStyle="1" w:styleId="Style16">
    <w:name w:val="Style16"/>
    <w:basedOn w:val="Normalny"/>
    <w:rsid w:val="00762FA1"/>
    <w:pPr>
      <w:widowControl w:val="0"/>
      <w:suppressAutoHyphens w:val="0"/>
      <w:autoSpaceDE w:val="0"/>
      <w:autoSpaceDN w:val="0"/>
      <w:adjustRightInd w:val="0"/>
      <w:spacing w:line="233" w:lineRule="exact"/>
    </w:pPr>
    <w:rPr>
      <w:rFonts w:ascii="Arial Black" w:hAnsi="Arial Black"/>
      <w:szCs w:val="24"/>
    </w:rPr>
  </w:style>
  <w:style w:type="paragraph" w:customStyle="1" w:styleId="Style24">
    <w:name w:val="Style24"/>
    <w:basedOn w:val="Normalny"/>
    <w:rsid w:val="00762FA1"/>
    <w:pPr>
      <w:widowControl w:val="0"/>
      <w:suppressAutoHyphens w:val="0"/>
      <w:autoSpaceDE w:val="0"/>
      <w:autoSpaceDN w:val="0"/>
      <w:adjustRightInd w:val="0"/>
      <w:spacing w:line="274" w:lineRule="exact"/>
      <w:ind w:hanging="360"/>
      <w:jc w:val="both"/>
    </w:pPr>
    <w:rPr>
      <w:rFonts w:ascii="Arial Black" w:hAnsi="Arial Black"/>
      <w:szCs w:val="24"/>
    </w:rPr>
  </w:style>
  <w:style w:type="paragraph" w:customStyle="1" w:styleId="Style37">
    <w:name w:val="Style37"/>
    <w:basedOn w:val="Normalny"/>
    <w:rsid w:val="00762FA1"/>
    <w:pPr>
      <w:widowControl w:val="0"/>
      <w:suppressAutoHyphens w:val="0"/>
      <w:autoSpaceDE w:val="0"/>
      <w:autoSpaceDN w:val="0"/>
      <w:adjustRightInd w:val="0"/>
      <w:spacing w:line="230" w:lineRule="exact"/>
      <w:jc w:val="both"/>
    </w:pPr>
    <w:rPr>
      <w:rFonts w:ascii="Arial Black" w:hAnsi="Arial Black"/>
      <w:szCs w:val="24"/>
    </w:rPr>
  </w:style>
  <w:style w:type="character" w:customStyle="1" w:styleId="FontStyle52">
    <w:name w:val="Font Style52"/>
    <w:rsid w:val="00762FA1"/>
    <w:rPr>
      <w:rFonts w:ascii="Times New Roman" w:hAnsi="Times New Roman" w:cs="Times New Roman"/>
      <w:i/>
      <w:iCs/>
      <w:sz w:val="18"/>
      <w:szCs w:val="18"/>
    </w:rPr>
  </w:style>
  <w:style w:type="paragraph" w:customStyle="1" w:styleId="Style25">
    <w:name w:val="Style25"/>
    <w:basedOn w:val="Normalny"/>
    <w:rsid w:val="00762FA1"/>
    <w:pPr>
      <w:widowControl w:val="0"/>
      <w:suppressAutoHyphens w:val="0"/>
      <w:autoSpaceDE w:val="0"/>
      <w:autoSpaceDN w:val="0"/>
      <w:adjustRightInd w:val="0"/>
      <w:spacing w:line="274" w:lineRule="exact"/>
    </w:pPr>
    <w:rPr>
      <w:rFonts w:ascii="Arial Black" w:hAnsi="Arial Black"/>
      <w:szCs w:val="24"/>
    </w:rPr>
  </w:style>
  <w:style w:type="paragraph" w:customStyle="1" w:styleId="Style31">
    <w:name w:val="Style31"/>
    <w:basedOn w:val="Normalny"/>
    <w:rsid w:val="00762FA1"/>
    <w:pPr>
      <w:widowControl w:val="0"/>
      <w:suppressAutoHyphens w:val="0"/>
      <w:autoSpaceDE w:val="0"/>
      <w:autoSpaceDN w:val="0"/>
      <w:adjustRightInd w:val="0"/>
      <w:spacing w:line="418" w:lineRule="exact"/>
    </w:pPr>
    <w:rPr>
      <w:rFonts w:ascii="Arial Black" w:hAnsi="Arial Black"/>
      <w:szCs w:val="24"/>
    </w:rPr>
  </w:style>
  <w:style w:type="paragraph" w:customStyle="1" w:styleId="Style38">
    <w:name w:val="Style38"/>
    <w:basedOn w:val="Normalny"/>
    <w:rsid w:val="00762FA1"/>
    <w:pPr>
      <w:widowControl w:val="0"/>
      <w:suppressAutoHyphens w:val="0"/>
      <w:autoSpaceDE w:val="0"/>
      <w:autoSpaceDN w:val="0"/>
      <w:adjustRightInd w:val="0"/>
    </w:pPr>
    <w:rPr>
      <w:rFonts w:ascii="Arial Black" w:hAnsi="Arial Black"/>
      <w:szCs w:val="24"/>
    </w:rPr>
  </w:style>
  <w:style w:type="paragraph" w:customStyle="1" w:styleId="Style40">
    <w:name w:val="Style40"/>
    <w:basedOn w:val="Normalny"/>
    <w:rsid w:val="00762FA1"/>
    <w:pPr>
      <w:widowControl w:val="0"/>
      <w:suppressAutoHyphens w:val="0"/>
      <w:autoSpaceDE w:val="0"/>
      <w:autoSpaceDN w:val="0"/>
      <w:adjustRightInd w:val="0"/>
    </w:pPr>
    <w:rPr>
      <w:rFonts w:ascii="Arial Black" w:hAnsi="Arial Black"/>
      <w:szCs w:val="24"/>
    </w:rPr>
  </w:style>
  <w:style w:type="paragraph" w:customStyle="1" w:styleId="Style43">
    <w:name w:val="Style43"/>
    <w:basedOn w:val="Normalny"/>
    <w:rsid w:val="00762FA1"/>
    <w:pPr>
      <w:widowControl w:val="0"/>
      <w:suppressAutoHyphens w:val="0"/>
      <w:autoSpaceDE w:val="0"/>
      <w:autoSpaceDN w:val="0"/>
      <w:adjustRightInd w:val="0"/>
      <w:spacing w:line="300" w:lineRule="exact"/>
      <w:ind w:hanging="893"/>
    </w:pPr>
    <w:rPr>
      <w:rFonts w:ascii="Arial Black" w:hAnsi="Arial Black"/>
      <w:szCs w:val="24"/>
    </w:rPr>
  </w:style>
  <w:style w:type="character" w:customStyle="1" w:styleId="FontStyle57">
    <w:name w:val="Font Style57"/>
    <w:rsid w:val="00762FA1"/>
    <w:rPr>
      <w:rFonts w:ascii="Times New Roman" w:hAnsi="Times New Roman" w:cs="Times New Roman"/>
      <w:i/>
      <w:iCs/>
      <w:sz w:val="22"/>
      <w:szCs w:val="22"/>
    </w:rPr>
  </w:style>
  <w:style w:type="character" w:customStyle="1" w:styleId="FontStyle59">
    <w:name w:val="Font Style59"/>
    <w:rsid w:val="00762FA1"/>
    <w:rPr>
      <w:rFonts w:ascii="Times New Roman" w:hAnsi="Times New Roman" w:cs="Times New Roman"/>
      <w:i/>
      <w:iCs/>
      <w:sz w:val="14"/>
      <w:szCs w:val="14"/>
    </w:rPr>
  </w:style>
  <w:style w:type="paragraph" w:customStyle="1" w:styleId="Style6">
    <w:name w:val="Style6"/>
    <w:basedOn w:val="Normalny"/>
    <w:rsid w:val="00762FA1"/>
    <w:pPr>
      <w:widowControl w:val="0"/>
      <w:suppressAutoHyphens w:val="0"/>
      <w:autoSpaceDE w:val="0"/>
      <w:autoSpaceDN w:val="0"/>
      <w:adjustRightInd w:val="0"/>
      <w:spacing w:line="277" w:lineRule="exact"/>
      <w:jc w:val="both"/>
    </w:pPr>
    <w:rPr>
      <w:rFonts w:ascii="Arial Black" w:hAnsi="Arial Black"/>
      <w:szCs w:val="24"/>
    </w:rPr>
  </w:style>
  <w:style w:type="paragraph" w:customStyle="1" w:styleId="Style9">
    <w:name w:val="Style9"/>
    <w:basedOn w:val="Normalny"/>
    <w:rsid w:val="00762FA1"/>
    <w:pPr>
      <w:widowControl w:val="0"/>
      <w:suppressAutoHyphens w:val="0"/>
      <w:autoSpaceDE w:val="0"/>
      <w:autoSpaceDN w:val="0"/>
      <w:adjustRightInd w:val="0"/>
      <w:spacing w:line="230" w:lineRule="exact"/>
      <w:jc w:val="both"/>
    </w:pPr>
    <w:rPr>
      <w:rFonts w:ascii="Arial Black" w:hAnsi="Arial Black"/>
      <w:szCs w:val="24"/>
    </w:rPr>
  </w:style>
  <w:style w:type="character" w:customStyle="1" w:styleId="FontStyle54">
    <w:name w:val="Font Style54"/>
    <w:rsid w:val="00762FA1"/>
    <w:rPr>
      <w:rFonts w:ascii="Times New Roman" w:hAnsi="Times New Roman" w:cs="Times New Roman"/>
      <w:i/>
      <w:iCs/>
      <w:sz w:val="18"/>
      <w:szCs w:val="18"/>
    </w:rPr>
  </w:style>
  <w:style w:type="character" w:customStyle="1" w:styleId="FontStyle63">
    <w:name w:val="Font Style63"/>
    <w:rsid w:val="00762FA1"/>
    <w:rPr>
      <w:rFonts w:ascii="Times New Roman" w:hAnsi="Times New Roman" w:cs="Times New Roman"/>
      <w:sz w:val="18"/>
      <w:szCs w:val="18"/>
    </w:rPr>
  </w:style>
  <w:style w:type="character" w:customStyle="1" w:styleId="FontStyle69">
    <w:name w:val="Font Style69"/>
    <w:rsid w:val="00762FA1"/>
    <w:rPr>
      <w:rFonts w:ascii="Times New Roman" w:hAnsi="Times New Roman" w:cs="Times New Roman"/>
      <w:sz w:val="22"/>
      <w:szCs w:val="22"/>
    </w:rPr>
  </w:style>
  <w:style w:type="paragraph" w:customStyle="1" w:styleId="Style8">
    <w:name w:val="Style8"/>
    <w:basedOn w:val="Normalny"/>
    <w:rsid w:val="00762FA1"/>
    <w:pPr>
      <w:widowControl w:val="0"/>
      <w:suppressAutoHyphens w:val="0"/>
      <w:autoSpaceDE w:val="0"/>
      <w:autoSpaceDN w:val="0"/>
      <w:adjustRightInd w:val="0"/>
      <w:spacing w:line="276" w:lineRule="exact"/>
      <w:jc w:val="both"/>
    </w:pPr>
    <w:rPr>
      <w:rFonts w:ascii="Arial Black" w:hAnsi="Arial Black"/>
      <w:szCs w:val="24"/>
    </w:rPr>
  </w:style>
  <w:style w:type="paragraph" w:customStyle="1" w:styleId="Style11">
    <w:name w:val="Style11"/>
    <w:basedOn w:val="Normalny"/>
    <w:rsid w:val="00762FA1"/>
    <w:pPr>
      <w:widowControl w:val="0"/>
      <w:suppressAutoHyphens w:val="0"/>
      <w:autoSpaceDE w:val="0"/>
      <w:autoSpaceDN w:val="0"/>
      <w:adjustRightInd w:val="0"/>
      <w:spacing w:line="278" w:lineRule="exact"/>
      <w:ind w:hanging="350"/>
      <w:jc w:val="both"/>
    </w:pPr>
    <w:rPr>
      <w:rFonts w:ascii="Arial Black" w:hAnsi="Arial Black"/>
      <w:szCs w:val="24"/>
    </w:rPr>
  </w:style>
  <w:style w:type="paragraph" w:customStyle="1" w:styleId="Style12">
    <w:name w:val="Style12"/>
    <w:basedOn w:val="Normalny"/>
    <w:rsid w:val="00762FA1"/>
    <w:pPr>
      <w:widowControl w:val="0"/>
      <w:suppressAutoHyphens w:val="0"/>
      <w:autoSpaceDE w:val="0"/>
      <w:autoSpaceDN w:val="0"/>
      <w:adjustRightInd w:val="0"/>
      <w:jc w:val="right"/>
    </w:pPr>
    <w:rPr>
      <w:rFonts w:ascii="Arial Black" w:hAnsi="Arial Black"/>
      <w:szCs w:val="24"/>
    </w:rPr>
  </w:style>
  <w:style w:type="paragraph" w:customStyle="1" w:styleId="Style15">
    <w:name w:val="Style15"/>
    <w:basedOn w:val="Normalny"/>
    <w:rsid w:val="00762FA1"/>
    <w:pPr>
      <w:widowControl w:val="0"/>
      <w:suppressAutoHyphens w:val="0"/>
      <w:autoSpaceDE w:val="0"/>
      <w:autoSpaceDN w:val="0"/>
      <w:adjustRightInd w:val="0"/>
    </w:pPr>
    <w:rPr>
      <w:rFonts w:ascii="Arial Black" w:hAnsi="Arial Black"/>
      <w:szCs w:val="24"/>
    </w:rPr>
  </w:style>
  <w:style w:type="character" w:customStyle="1" w:styleId="FontStyle68">
    <w:name w:val="Font Style68"/>
    <w:rsid w:val="00762FA1"/>
    <w:rPr>
      <w:rFonts w:ascii="Times New Roman" w:hAnsi="Times New Roman" w:cs="Times New Roman"/>
      <w:b/>
      <w:bCs/>
      <w:sz w:val="22"/>
      <w:szCs w:val="22"/>
    </w:rPr>
  </w:style>
  <w:style w:type="paragraph" w:customStyle="1" w:styleId="Style22">
    <w:name w:val="Style22"/>
    <w:basedOn w:val="Normalny"/>
    <w:rsid w:val="00762FA1"/>
    <w:pPr>
      <w:widowControl w:val="0"/>
      <w:suppressAutoHyphens w:val="0"/>
      <w:autoSpaceDE w:val="0"/>
      <w:autoSpaceDN w:val="0"/>
      <w:adjustRightInd w:val="0"/>
    </w:pPr>
    <w:rPr>
      <w:rFonts w:ascii="Arial Black" w:hAnsi="Arial Black"/>
      <w:szCs w:val="24"/>
    </w:rPr>
  </w:style>
  <w:style w:type="paragraph" w:customStyle="1" w:styleId="Style23">
    <w:name w:val="Style23"/>
    <w:basedOn w:val="Normalny"/>
    <w:rsid w:val="00762FA1"/>
    <w:pPr>
      <w:widowControl w:val="0"/>
      <w:suppressAutoHyphens w:val="0"/>
      <w:autoSpaceDE w:val="0"/>
      <w:autoSpaceDN w:val="0"/>
      <w:adjustRightInd w:val="0"/>
      <w:spacing w:line="274" w:lineRule="exact"/>
      <w:ind w:hanging="370"/>
    </w:pPr>
    <w:rPr>
      <w:rFonts w:ascii="Arial Black" w:hAnsi="Arial Black"/>
      <w:szCs w:val="24"/>
    </w:rPr>
  </w:style>
  <w:style w:type="paragraph" w:customStyle="1" w:styleId="Style10">
    <w:name w:val="Style10"/>
    <w:basedOn w:val="Normalny"/>
    <w:rsid w:val="00762FA1"/>
    <w:pPr>
      <w:widowControl w:val="0"/>
      <w:suppressAutoHyphens w:val="0"/>
      <w:autoSpaceDE w:val="0"/>
      <w:autoSpaceDN w:val="0"/>
      <w:adjustRightInd w:val="0"/>
      <w:spacing w:line="250" w:lineRule="exact"/>
      <w:ind w:hanging="725"/>
    </w:pPr>
    <w:rPr>
      <w:rFonts w:ascii="Arial Black" w:hAnsi="Arial Black"/>
      <w:szCs w:val="24"/>
    </w:rPr>
  </w:style>
  <w:style w:type="paragraph" w:customStyle="1" w:styleId="Style41">
    <w:name w:val="Style41"/>
    <w:basedOn w:val="Normalny"/>
    <w:rsid w:val="00762FA1"/>
    <w:pPr>
      <w:widowControl w:val="0"/>
      <w:suppressAutoHyphens w:val="0"/>
      <w:autoSpaceDE w:val="0"/>
      <w:autoSpaceDN w:val="0"/>
      <w:adjustRightInd w:val="0"/>
      <w:spacing w:line="254" w:lineRule="exact"/>
      <w:ind w:firstLine="216"/>
    </w:pPr>
    <w:rPr>
      <w:rFonts w:ascii="Arial Black" w:hAnsi="Arial Black"/>
      <w:szCs w:val="24"/>
    </w:rPr>
  </w:style>
  <w:style w:type="paragraph" w:customStyle="1" w:styleId="Style44">
    <w:name w:val="Style44"/>
    <w:basedOn w:val="Normalny"/>
    <w:rsid w:val="00762FA1"/>
    <w:pPr>
      <w:widowControl w:val="0"/>
      <w:suppressAutoHyphens w:val="0"/>
      <w:autoSpaceDE w:val="0"/>
      <w:autoSpaceDN w:val="0"/>
      <w:adjustRightInd w:val="0"/>
    </w:pPr>
    <w:rPr>
      <w:rFonts w:ascii="Arial Black" w:hAnsi="Arial Black"/>
      <w:szCs w:val="24"/>
    </w:rPr>
  </w:style>
  <w:style w:type="character" w:customStyle="1" w:styleId="FontStyle53">
    <w:name w:val="Font Style53"/>
    <w:rsid w:val="00762FA1"/>
    <w:rPr>
      <w:rFonts w:ascii="Times New Roman" w:hAnsi="Times New Roman" w:cs="Times New Roman"/>
      <w:i/>
      <w:iCs/>
      <w:sz w:val="22"/>
      <w:szCs w:val="22"/>
    </w:rPr>
  </w:style>
  <w:style w:type="paragraph" w:customStyle="1" w:styleId="Style28">
    <w:name w:val="Style28"/>
    <w:basedOn w:val="Normalny"/>
    <w:rsid w:val="00762FA1"/>
    <w:pPr>
      <w:widowControl w:val="0"/>
      <w:suppressAutoHyphens w:val="0"/>
      <w:autoSpaceDE w:val="0"/>
      <w:autoSpaceDN w:val="0"/>
      <w:adjustRightInd w:val="0"/>
      <w:spacing w:line="274" w:lineRule="exact"/>
    </w:pPr>
    <w:rPr>
      <w:rFonts w:ascii="Arial Black" w:hAnsi="Arial Black"/>
      <w:szCs w:val="24"/>
    </w:rPr>
  </w:style>
  <w:style w:type="paragraph" w:customStyle="1" w:styleId="Style39">
    <w:name w:val="Style39"/>
    <w:basedOn w:val="Normalny"/>
    <w:rsid w:val="00762FA1"/>
    <w:pPr>
      <w:widowControl w:val="0"/>
      <w:suppressAutoHyphens w:val="0"/>
      <w:autoSpaceDE w:val="0"/>
      <w:autoSpaceDN w:val="0"/>
      <w:adjustRightInd w:val="0"/>
    </w:pPr>
    <w:rPr>
      <w:rFonts w:ascii="Arial Black" w:hAnsi="Arial Black"/>
      <w:szCs w:val="24"/>
    </w:rPr>
  </w:style>
  <w:style w:type="paragraph" w:customStyle="1" w:styleId="Style19">
    <w:name w:val="Style19"/>
    <w:basedOn w:val="Normalny"/>
    <w:rsid w:val="00762FA1"/>
    <w:pPr>
      <w:widowControl w:val="0"/>
      <w:suppressAutoHyphens w:val="0"/>
      <w:autoSpaceDE w:val="0"/>
      <w:autoSpaceDN w:val="0"/>
      <w:adjustRightInd w:val="0"/>
    </w:pPr>
    <w:rPr>
      <w:rFonts w:ascii="Arial Black" w:hAnsi="Arial Black"/>
      <w:szCs w:val="24"/>
    </w:rPr>
  </w:style>
  <w:style w:type="paragraph" w:customStyle="1" w:styleId="PKTpunkt">
    <w:name w:val="PKT – punkt"/>
    <w:link w:val="PKTpunktZnak"/>
    <w:uiPriority w:val="16"/>
    <w:qFormat/>
    <w:rsid w:val="00762FA1"/>
    <w:pPr>
      <w:spacing w:line="360" w:lineRule="auto"/>
      <w:ind w:left="510" w:hanging="510"/>
      <w:jc w:val="both"/>
    </w:pPr>
    <w:rPr>
      <w:rFonts w:ascii="Times" w:hAnsi="Times"/>
      <w:bCs/>
      <w:sz w:val="24"/>
      <w:lang w:val="en-GB" w:eastAsia="en-GB"/>
    </w:rPr>
  </w:style>
  <w:style w:type="character" w:customStyle="1" w:styleId="PKTpunktZnak">
    <w:name w:val="PKT – punkt Znak"/>
    <w:link w:val="PKTpunkt"/>
    <w:uiPriority w:val="16"/>
    <w:locked/>
    <w:rsid w:val="00762FA1"/>
    <w:rPr>
      <w:rFonts w:ascii="Times" w:hAnsi="Times"/>
      <w:bCs/>
      <w:sz w:val="24"/>
      <w:lang w:val="en-GB" w:eastAsia="en-GB" w:bidi="ar-SA"/>
    </w:rPr>
  </w:style>
  <w:style w:type="paragraph" w:customStyle="1" w:styleId="CharChar2">
    <w:name w:val="Char Char2"/>
    <w:basedOn w:val="Normalny"/>
    <w:rsid w:val="00762FA1"/>
    <w:pPr>
      <w:suppressAutoHyphens w:val="0"/>
    </w:pPr>
    <w:rPr>
      <w:szCs w:val="24"/>
      <w:lang w:val="en-GB" w:eastAsia="en-US"/>
    </w:rPr>
  </w:style>
  <w:style w:type="character" w:customStyle="1" w:styleId="st">
    <w:name w:val="st"/>
    <w:rsid w:val="00762FA1"/>
  </w:style>
  <w:style w:type="paragraph" w:styleId="Nagwekspisutreci">
    <w:name w:val="TOC Heading"/>
    <w:basedOn w:val="Nagwek1"/>
    <w:next w:val="Normalny"/>
    <w:uiPriority w:val="39"/>
    <w:qFormat/>
    <w:rsid w:val="00762FA1"/>
    <w:pPr>
      <w:keepLines/>
      <w:numPr>
        <w:numId w:val="0"/>
      </w:numPr>
      <w:suppressAutoHyphens w:val="0"/>
      <w:spacing w:before="480" w:after="0" w:line="276" w:lineRule="auto"/>
      <w:outlineLvl w:val="9"/>
    </w:pPr>
    <w:rPr>
      <w:rFonts w:ascii="Cambria" w:hAnsi="Cambria"/>
      <w:color w:val="365F91"/>
      <w:kern w:val="0"/>
      <w:sz w:val="28"/>
      <w:szCs w:val="28"/>
      <w:lang w:val="pl-PL"/>
    </w:rPr>
  </w:style>
  <w:style w:type="paragraph" w:customStyle="1" w:styleId="ARTartustawynprozporzdzenia">
    <w:name w:val="ART(§) – art. ustawy (§ np. rozporządzenia)"/>
    <w:link w:val="ARTartustawynprozporzdzeniaZnak"/>
    <w:uiPriority w:val="14"/>
    <w:qFormat/>
    <w:rsid w:val="00762FA1"/>
    <w:pPr>
      <w:suppressAutoHyphens/>
      <w:autoSpaceDE w:val="0"/>
      <w:autoSpaceDN w:val="0"/>
      <w:adjustRightInd w:val="0"/>
      <w:spacing w:before="120" w:line="360" w:lineRule="auto"/>
      <w:ind w:firstLine="510"/>
      <w:jc w:val="both"/>
    </w:pPr>
    <w:rPr>
      <w:rFonts w:ascii="Times" w:hAnsi="Times"/>
      <w:sz w:val="24"/>
      <w:lang w:val="en-GB" w:eastAsia="en-GB"/>
    </w:rPr>
  </w:style>
  <w:style w:type="character" w:customStyle="1" w:styleId="ARTartustawynprozporzdzeniaZnak">
    <w:name w:val="ART(§) – art. ustawy (§ np. rozporządzenia) Znak"/>
    <w:link w:val="ARTartustawynprozporzdzenia"/>
    <w:uiPriority w:val="14"/>
    <w:locked/>
    <w:rsid w:val="00762FA1"/>
    <w:rPr>
      <w:rFonts w:ascii="Times" w:hAnsi="Times"/>
      <w:sz w:val="24"/>
      <w:lang w:val="en-GB" w:eastAsia="en-GB" w:bidi="ar-SA"/>
    </w:rPr>
  </w:style>
  <w:style w:type="paragraph" w:customStyle="1" w:styleId="USTustnpkodeksu">
    <w:name w:val="UST(§) – ust. (§ np. kodeksu)"/>
    <w:basedOn w:val="ARTartustawynprozporzdzenia"/>
    <w:link w:val="USTustnpkodeksuZnak"/>
    <w:uiPriority w:val="99"/>
    <w:qFormat/>
    <w:rsid w:val="00762FA1"/>
    <w:pPr>
      <w:spacing w:before="0"/>
    </w:pPr>
    <w:rPr>
      <w:bCs/>
      <w:lang w:val="x-none" w:eastAsia="x-none"/>
    </w:rPr>
  </w:style>
  <w:style w:type="character" w:customStyle="1" w:styleId="USTustnpkodeksuZnak">
    <w:name w:val="UST(§) – ust. (§ np. kodeksu) Znak"/>
    <w:link w:val="USTustnpkodeksu"/>
    <w:uiPriority w:val="99"/>
    <w:rsid w:val="00762FA1"/>
    <w:rPr>
      <w:rFonts w:ascii="Times" w:hAnsi="Times"/>
      <w:bCs/>
      <w:sz w:val="24"/>
      <w:lang w:val="x-none" w:eastAsia="x-none"/>
    </w:rPr>
  </w:style>
  <w:style w:type="paragraph" w:customStyle="1" w:styleId="Bullet0">
    <w:name w:val="Bullet 0"/>
    <w:basedOn w:val="Normalny"/>
    <w:rsid w:val="00762FA1"/>
    <w:pPr>
      <w:numPr>
        <w:numId w:val="14"/>
      </w:numPr>
      <w:suppressAutoHyphens w:val="0"/>
      <w:spacing w:before="120" w:after="120"/>
      <w:jc w:val="both"/>
    </w:pPr>
    <w:rPr>
      <w:rFonts w:eastAsia="Calibri"/>
      <w:lang w:val="en-GB" w:eastAsia="en-GB"/>
    </w:rPr>
  </w:style>
  <w:style w:type="paragraph" w:customStyle="1" w:styleId="Point0number">
    <w:name w:val="Point 0 (number)"/>
    <w:basedOn w:val="Normalny"/>
    <w:rsid w:val="00762FA1"/>
    <w:pPr>
      <w:numPr>
        <w:numId w:val="15"/>
      </w:numPr>
      <w:suppressAutoHyphens w:val="0"/>
      <w:spacing w:before="120" w:after="120"/>
      <w:jc w:val="both"/>
    </w:pPr>
    <w:rPr>
      <w:rFonts w:eastAsia="Calibri"/>
      <w:lang w:val="en-GB" w:eastAsia="en-GB"/>
    </w:rPr>
  </w:style>
  <w:style w:type="paragraph" w:customStyle="1" w:styleId="Point1number">
    <w:name w:val="Point 1 (number)"/>
    <w:basedOn w:val="Normalny"/>
    <w:rsid w:val="00762FA1"/>
    <w:pPr>
      <w:numPr>
        <w:ilvl w:val="2"/>
        <w:numId w:val="15"/>
      </w:numPr>
      <w:suppressAutoHyphens w:val="0"/>
      <w:spacing w:before="120" w:after="120"/>
      <w:jc w:val="both"/>
    </w:pPr>
    <w:rPr>
      <w:rFonts w:eastAsia="Calibri"/>
      <w:lang w:val="en-GB" w:eastAsia="en-GB"/>
    </w:rPr>
  </w:style>
  <w:style w:type="paragraph" w:customStyle="1" w:styleId="Point2number">
    <w:name w:val="Point 2 (number)"/>
    <w:basedOn w:val="Normalny"/>
    <w:rsid w:val="00762FA1"/>
    <w:pPr>
      <w:numPr>
        <w:ilvl w:val="4"/>
        <w:numId w:val="15"/>
      </w:numPr>
      <w:suppressAutoHyphens w:val="0"/>
      <w:spacing w:before="120" w:after="120"/>
      <w:jc w:val="both"/>
    </w:pPr>
    <w:rPr>
      <w:rFonts w:eastAsia="Calibri"/>
      <w:lang w:val="en-GB" w:eastAsia="en-GB"/>
    </w:rPr>
  </w:style>
  <w:style w:type="paragraph" w:customStyle="1" w:styleId="Point3number">
    <w:name w:val="Point 3 (number)"/>
    <w:basedOn w:val="Normalny"/>
    <w:rsid w:val="00762FA1"/>
    <w:pPr>
      <w:numPr>
        <w:ilvl w:val="6"/>
        <w:numId w:val="15"/>
      </w:numPr>
      <w:suppressAutoHyphens w:val="0"/>
      <w:spacing w:before="120" w:after="120"/>
      <w:jc w:val="both"/>
    </w:pPr>
    <w:rPr>
      <w:rFonts w:eastAsia="Calibri"/>
      <w:lang w:val="en-GB" w:eastAsia="en-GB"/>
    </w:rPr>
  </w:style>
  <w:style w:type="paragraph" w:customStyle="1" w:styleId="Point0letter">
    <w:name w:val="Point 0 (letter)"/>
    <w:basedOn w:val="Normalny"/>
    <w:rsid w:val="00762FA1"/>
    <w:pPr>
      <w:numPr>
        <w:ilvl w:val="1"/>
        <w:numId w:val="15"/>
      </w:numPr>
      <w:suppressAutoHyphens w:val="0"/>
      <w:spacing w:before="120" w:after="120"/>
      <w:jc w:val="both"/>
    </w:pPr>
    <w:rPr>
      <w:rFonts w:eastAsia="Calibri"/>
      <w:lang w:val="en-GB" w:eastAsia="en-GB"/>
    </w:rPr>
  </w:style>
  <w:style w:type="paragraph" w:customStyle="1" w:styleId="Point1letter">
    <w:name w:val="Point 1 (letter)"/>
    <w:basedOn w:val="Normalny"/>
    <w:rsid w:val="00762FA1"/>
    <w:pPr>
      <w:numPr>
        <w:ilvl w:val="3"/>
        <w:numId w:val="15"/>
      </w:numPr>
      <w:suppressAutoHyphens w:val="0"/>
      <w:spacing w:before="120" w:after="120"/>
      <w:jc w:val="both"/>
    </w:pPr>
    <w:rPr>
      <w:rFonts w:eastAsia="Calibri"/>
      <w:lang w:val="en-GB" w:eastAsia="en-GB"/>
    </w:rPr>
  </w:style>
  <w:style w:type="paragraph" w:customStyle="1" w:styleId="Point2letter">
    <w:name w:val="Point 2 (letter)"/>
    <w:basedOn w:val="Normalny"/>
    <w:rsid w:val="00762FA1"/>
    <w:pPr>
      <w:numPr>
        <w:ilvl w:val="5"/>
        <w:numId w:val="15"/>
      </w:numPr>
      <w:suppressAutoHyphens w:val="0"/>
      <w:spacing w:before="120" w:after="120"/>
      <w:jc w:val="both"/>
    </w:pPr>
    <w:rPr>
      <w:rFonts w:eastAsia="Calibri"/>
      <w:lang w:val="en-GB" w:eastAsia="en-GB"/>
    </w:rPr>
  </w:style>
  <w:style w:type="paragraph" w:customStyle="1" w:styleId="Point3letter">
    <w:name w:val="Point 3 (letter)"/>
    <w:basedOn w:val="Normalny"/>
    <w:rsid w:val="00762FA1"/>
    <w:pPr>
      <w:numPr>
        <w:ilvl w:val="7"/>
        <w:numId w:val="15"/>
      </w:numPr>
      <w:suppressAutoHyphens w:val="0"/>
      <w:spacing w:before="120" w:after="120"/>
      <w:jc w:val="both"/>
    </w:pPr>
    <w:rPr>
      <w:rFonts w:eastAsia="Calibri"/>
      <w:lang w:val="en-GB" w:eastAsia="en-GB"/>
    </w:rPr>
  </w:style>
  <w:style w:type="paragraph" w:customStyle="1" w:styleId="Point4letter">
    <w:name w:val="Point 4 (letter)"/>
    <w:basedOn w:val="Normalny"/>
    <w:rsid w:val="00762FA1"/>
    <w:pPr>
      <w:numPr>
        <w:ilvl w:val="8"/>
        <w:numId w:val="15"/>
      </w:numPr>
      <w:suppressAutoHyphens w:val="0"/>
      <w:spacing w:before="120" w:after="120"/>
      <w:jc w:val="both"/>
    </w:pPr>
    <w:rPr>
      <w:rFonts w:eastAsia="Calibri"/>
      <w:lang w:val="en-GB" w:eastAsia="en-GB"/>
    </w:rPr>
  </w:style>
  <w:style w:type="paragraph" w:customStyle="1" w:styleId="Point0">
    <w:name w:val="Point 0"/>
    <w:basedOn w:val="Normalny"/>
    <w:rsid w:val="00762FA1"/>
    <w:pPr>
      <w:suppressAutoHyphens w:val="0"/>
      <w:spacing w:before="120" w:after="120"/>
      <w:ind w:left="850" w:hanging="850"/>
      <w:jc w:val="both"/>
    </w:pPr>
    <w:rPr>
      <w:rFonts w:eastAsia="Calibri"/>
      <w:szCs w:val="22"/>
      <w:lang w:eastAsia="en-GB"/>
    </w:rPr>
  </w:style>
  <w:style w:type="paragraph" w:customStyle="1" w:styleId="Draftmaintext">
    <w:name w:val="Draft main text"/>
    <w:basedOn w:val="Normalny"/>
    <w:link w:val="DraftmaintextCarattere"/>
    <w:autoRedefine/>
    <w:qFormat/>
    <w:rsid w:val="000E6DC5"/>
    <w:pPr>
      <w:widowControl w:val="0"/>
      <w:numPr>
        <w:numId w:val="66"/>
      </w:numPr>
      <w:suppressAutoHyphens w:val="0"/>
      <w:spacing w:before="120" w:after="120" w:line="276" w:lineRule="auto"/>
      <w:ind w:left="0" w:firstLine="0"/>
    </w:pPr>
    <w:rPr>
      <w:rFonts w:asciiTheme="minorHAnsi" w:hAnsiTheme="minorHAnsi" w:cstheme="minorHAnsi"/>
      <w:szCs w:val="24"/>
      <w:lang w:val="en-GB" w:eastAsia="en-US"/>
    </w:rPr>
  </w:style>
  <w:style w:type="character" w:customStyle="1" w:styleId="DraftmaintextCarattere">
    <w:name w:val="Draft main text Carattere"/>
    <w:link w:val="Draftmaintext"/>
    <w:rsid w:val="000E6DC5"/>
    <w:rPr>
      <w:rFonts w:asciiTheme="minorHAnsi" w:hAnsiTheme="minorHAnsi" w:cstheme="minorHAnsi"/>
      <w:sz w:val="24"/>
      <w:szCs w:val="24"/>
      <w:lang w:val="en-GB" w:eastAsia="en-US"/>
    </w:rPr>
  </w:style>
  <w:style w:type="character" w:customStyle="1" w:styleId="Teksttreci">
    <w:name w:val="Tekst treści_"/>
    <w:link w:val="Teksttreci0"/>
    <w:rsid w:val="00762FA1"/>
    <w:rPr>
      <w:rFonts w:ascii="Palatino Linotype" w:eastAsia="Palatino Linotype" w:hAnsi="Palatino Linotype" w:cs="Palatino Linotype"/>
      <w:sz w:val="15"/>
      <w:szCs w:val="15"/>
      <w:shd w:val="clear" w:color="auto" w:fill="FFFFFF"/>
    </w:rPr>
  </w:style>
  <w:style w:type="character" w:customStyle="1" w:styleId="TeksttreciSylfaen8pt">
    <w:name w:val="Tekst treści + Sylfaen;8 pt"/>
    <w:rsid w:val="00762FA1"/>
    <w:rPr>
      <w:rFonts w:ascii="Sylfaen" w:eastAsia="Sylfaen" w:hAnsi="Sylfaen" w:cs="Sylfaen"/>
      <w:b w:val="0"/>
      <w:bCs w:val="0"/>
      <w:i w:val="0"/>
      <w:iCs w:val="0"/>
      <w:smallCaps w:val="0"/>
      <w:strike w:val="0"/>
      <w:color w:val="000000"/>
      <w:spacing w:val="0"/>
      <w:w w:val="100"/>
      <w:position w:val="0"/>
      <w:sz w:val="16"/>
      <w:szCs w:val="16"/>
      <w:u w:val="none"/>
      <w:lang w:val="pl-PL"/>
    </w:rPr>
  </w:style>
  <w:style w:type="paragraph" w:customStyle="1" w:styleId="Teksttreci0">
    <w:name w:val="Tekst treści"/>
    <w:basedOn w:val="Normalny"/>
    <w:link w:val="Teksttreci"/>
    <w:rsid w:val="00762FA1"/>
    <w:pPr>
      <w:widowControl w:val="0"/>
      <w:shd w:val="clear" w:color="auto" w:fill="FFFFFF"/>
      <w:suppressAutoHyphens w:val="0"/>
      <w:spacing w:after="360" w:line="0" w:lineRule="atLeast"/>
      <w:ind w:hanging="500"/>
      <w:jc w:val="both"/>
    </w:pPr>
    <w:rPr>
      <w:rFonts w:ascii="Palatino Linotype" w:eastAsia="Palatino Linotype" w:hAnsi="Palatino Linotype"/>
      <w:sz w:val="15"/>
      <w:szCs w:val="15"/>
      <w:lang w:val="x-none" w:eastAsia="x-none"/>
    </w:rPr>
  </w:style>
  <w:style w:type="paragraph" w:customStyle="1" w:styleId="Rozdzia">
    <w:name w:val="Rozdział"/>
    <w:basedOn w:val="RozdziaW"/>
    <w:link w:val="RozdziaZnak"/>
    <w:qFormat/>
    <w:rsid w:val="00762FA1"/>
    <w:pPr>
      <w:ind w:left="0"/>
      <w:jc w:val="center"/>
    </w:pPr>
  </w:style>
  <w:style w:type="paragraph" w:customStyle="1" w:styleId="KM-Rozdzia">
    <w:name w:val="KM - Rozdział"/>
    <w:basedOn w:val="Rozdzia"/>
    <w:link w:val="KM-RozdziaZnak"/>
    <w:qFormat/>
    <w:rsid w:val="00762FA1"/>
  </w:style>
  <w:style w:type="character" w:customStyle="1" w:styleId="RozdziaWZnak">
    <w:name w:val="Rozdział W Znak"/>
    <w:link w:val="RozdziaW"/>
    <w:rsid w:val="00762FA1"/>
    <w:rPr>
      <w:rFonts w:ascii="Arial" w:hAnsi="Arial" w:cs="Arial"/>
      <w:b/>
      <w:bCs/>
      <w:kern w:val="32"/>
      <w:sz w:val="24"/>
      <w:szCs w:val="32"/>
    </w:rPr>
  </w:style>
  <w:style w:type="character" w:customStyle="1" w:styleId="RozdziaZnak">
    <w:name w:val="Rozdział Znak"/>
    <w:link w:val="Rozdzia"/>
    <w:rsid w:val="00762FA1"/>
    <w:rPr>
      <w:rFonts w:ascii="Arial" w:hAnsi="Arial" w:cs="Arial"/>
      <w:b/>
      <w:bCs/>
      <w:kern w:val="32"/>
      <w:sz w:val="24"/>
      <w:szCs w:val="32"/>
    </w:rPr>
  </w:style>
  <w:style w:type="paragraph" w:customStyle="1" w:styleId="KM-Podrozdzia">
    <w:name w:val="KM - Podrozdział"/>
    <w:basedOn w:val="PodrozdziaW"/>
    <w:link w:val="KM-PodrozdziaZnak"/>
    <w:qFormat/>
    <w:rsid w:val="00762FA1"/>
  </w:style>
  <w:style w:type="character" w:customStyle="1" w:styleId="KM-RozdziaZnak">
    <w:name w:val="KM - Rozdział Znak"/>
    <w:link w:val="KM-Rozdzia"/>
    <w:rsid w:val="00762FA1"/>
    <w:rPr>
      <w:rFonts w:ascii="Arial" w:hAnsi="Arial" w:cs="Arial"/>
      <w:b/>
      <w:bCs/>
      <w:kern w:val="32"/>
      <w:sz w:val="24"/>
      <w:szCs w:val="32"/>
    </w:rPr>
  </w:style>
  <w:style w:type="paragraph" w:customStyle="1" w:styleId="KM-Zacznik">
    <w:name w:val="KM - Załącznik"/>
    <w:basedOn w:val="RozdziaW"/>
    <w:link w:val="KM-ZacznikZnak"/>
    <w:qFormat/>
    <w:rsid w:val="00762FA1"/>
    <w:pPr>
      <w:spacing w:line="320" w:lineRule="exact"/>
      <w:ind w:left="0"/>
    </w:pPr>
  </w:style>
  <w:style w:type="character" w:customStyle="1" w:styleId="PodrozdziaWZnak">
    <w:name w:val="Podrozdział W Znak"/>
    <w:link w:val="PodrozdziaW"/>
    <w:rsid w:val="00762FA1"/>
    <w:rPr>
      <w:rFonts w:ascii="Arial" w:hAnsi="Arial" w:cs="Arial"/>
      <w:b/>
      <w:bCs/>
      <w:i/>
      <w:iCs/>
      <w:sz w:val="24"/>
      <w:szCs w:val="24"/>
    </w:rPr>
  </w:style>
  <w:style w:type="character" w:customStyle="1" w:styleId="KM-PodrozdziaZnak">
    <w:name w:val="KM - Podrozdział Znak"/>
    <w:link w:val="KM-Podrozdzia"/>
    <w:rsid w:val="00762FA1"/>
    <w:rPr>
      <w:rFonts w:ascii="Arial" w:hAnsi="Arial" w:cs="Arial"/>
      <w:b/>
      <w:bCs/>
      <w:i/>
      <w:iCs/>
      <w:sz w:val="24"/>
      <w:szCs w:val="24"/>
    </w:rPr>
  </w:style>
  <w:style w:type="character" w:customStyle="1" w:styleId="KM-ZacznikZnak">
    <w:name w:val="KM - Załącznik Znak"/>
    <w:link w:val="KM-Zacznik"/>
    <w:rsid w:val="00762FA1"/>
    <w:rPr>
      <w:rFonts w:ascii="Arial" w:hAnsi="Arial" w:cs="Arial"/>
      <w:b/>
      <w:bCs/>
      <w:kern w:val="32"/>
      <w:sz w:val="24"/>
      <w:szCs w:val="32"/>
    </w:rPr>
  </w:style>
  <w:style w:type="numbering" w:customStyle="1" w:styleId="1111111">
    <w:name w:val="1 / 1.1 / 1.1.11"/>
    <w:basedOn w:val="Bezlisty"/>
    <w:next w:val="111111"/>
    <w:rsid w:val="009D75FF"/>
  </w:style>
  <w:style w:type="character" w:customStyle="1" w:styleId="AkapitzlistZnak">
    <w:name w:val="Akapit z listą Znak"/>
    <w:link w:val="Akapitzlist"/>
    <w:uiPriority w:val="34"/>
    <w:locked/>
    <w:rsid w:val="009639E6"/>
    <w:rPr>
      <w:rFonts w:ascii="Calibri" w:eastAsia="Calibri" w:hAnsi="Calibri"/>
      <w:sz w:val="22"/>
      <w:szCs w:val="22"/>
      <w:lang w:eastAsia="en-US"/>
    </w:rPr>
  </w:style>
  <w:style w:type="paragraph" w:customStyle="1" w:styleId="Tekstpodstawowy22">
    <w:name w:val="Tekst podstawowy 22"/>
    <w:basedOn w:val="Normalny"/>
    <w:rsid w:val="00C2071D"/>
    <w:pPr>
      <w:jc w:val="both"/>
    </w:pPr>
  </w:style>
  <w:style w:type="paragraph" w:customStyle="1" w:styleId="KM-podpunkt">
    <w:name w:val="KM - podpunkt"/>
    <w:basedOn w:val="Akapit"/>
    <w:link w:val="KM-podpunktZnak"/>
    <w:qFormat/>
    <w:rsid w:val="00C2071D"/>
    <w:pPr>
      <w:keepNext w:val="0"/>
      <w:numPr>
        <w:ilvl w:val="0"/>
        <w:numId w:val="0"/>
      </w:numPr>
      <w:tabs>
        <w:tab w:val="num" w:pos="720"/>
      </w:tabs>
      <w:ind w:left="720" w:hanging="360"/>
      <w:jc w:val="left"/>
    </w:pPr>
    <w:rPr>
      <w:rFonts w:cs="Arial"/>
      <w:sz w:val="24"/>
      <w:lang w:val="pl-PL"/>
    </w:rPr>
  </w:style>
  <w:style w:type="character" w:customStyle="1" w:styleId="KM-podpunktZnak">
    <w:name w:val="KM - podpunkt Znak"/>
    <w:link w:val="KM-podpunkt"/>
    <w:rsid w:val="00C2071D"/>
    <w:rPr>
      <w:rFonts w:ascii="Arial" w:hAnsi="Arial" w:cs="Arial"/>
      <w:bCs/>
      <w:sz w:val="24"/>
      <w:szCs w:val="24"/>
    </w:rPr>
  </w:style>
  <w:style w:type="paragraph" w:customStyle="1" w:styleId="KM-2punkt">
    <w:name w:val="KM - 2. punkt"/>
    <w:basedOn w:val="Normalny"/>
    <w:link w:val="KM-2punktZnak"/>
    <w:qFormat/>
    <w:rsid w:val="00C2071D"/>
    <w:pPr>
      <w:numPr>
        <w:numId w:val="47"/>
      </w:numPr>
      <w:suppressAutoHyphens w:val="0"/>
      <w:spacing w:line="360" w:lineRule="auto"/>
      <w:ind w:left="426" w:hanging="426"/>
    </w:pPr>
    <w:rPr>
      <w:rFonts w:ascii="Arial" w:hAnsi="Arial"/>
      <w:szCs w:val="24"/>
    </w:rPr>
  </w:style>
  <w:style w:type="character" w:customStyle="1" w:styleId="KM-2punktZnak">
    <w:name w:val="KM - 2. punkt Znak"/>
    <w:link w:val="KM-2punkt"/>
    <w:rsid w:val="00C2071D"/>
    <w:rPr>
      <w:rFonts w:ascii="Arial" w:hAnsi="Arial"/>
      <w:sz w:val="24"/>
      <w:szCs w:val="24"/>
    </w:rPr>
  </w:style>
  <w:style w:type="paragraph" w:customStyle="1" w:styleId="pf0">
    <w:name w:val="pf0"/>
    <w:basedOn w:val="Normalny"/>
    <w:rsid w:val="004A277E"/>
    <w:pPr>
      <w:suppressAutoHyphens w:val="0"/>
      <w:spacing w:before="100" w:beforeAutospacing="1" w:after="100" w:afterAutospacing="1"/>
      <w:ind w:left="1428"/>
    </w:pPr>
    <w:rPr>
      <w:szCs w:val="24"/>
    </w:rPr>
  </w:style>
  <w:style w:type="character" w:customStyle="1" w:styleId="cf01">
    <w:name w:val="cf01"/>
    <w:basedOn w:val="Domylnaczcionkaakapitu"/>
    <w:rsid w:val="004A277E"/>
    <w:rPr>
      <w:rFonts w:ascii="Segoe UI" w:hAnsi="Segoe UI" w:cs="Segoe UI" w:hint="default"/>
      <w:sz w:val="18"/>
      <w:szCs w:val="18"/>
    </w:rPr>
  </w:style>
  <w:style w:type="character" w:customStyle="1" w:styleId="cf11">
    <w:name w:val="cf11"/>
    <w:basedOn w:val="Domylnaczcionkaakapitu"/>
    <w:rsid w:val="004A277E"/>
    <w:rPr>
      <w:rFonts w:ascii="Segoe UI" w:hAnsi="Segoe UI" w:cs="Segoe UI" w:hint="default"/>
      <w:sz w:val="18"/>
      <w:szCs w:val="18"/>
    </w:rPr>
  </w:style>
  <w:style w:type="character" w:customStyle="1" w:styleId="cf21">
    <w:name w:val="cf21"/>
    <w:basedOn w:val="Domylnaczcionkaakapitu"/>
    <w:rsid w:val="004A277E"/>
    <w:rPr>
      <w:rFonts w:ascii="Segoe UI" w:hAnsi="Segoe UI" w:cs="Segoe UI" w:hint="default"/>
      <w:sz w:val="18"/>
      <w:szCs w:val="18"/>
    </w:rPr>
  </w:style>
  <w:style w:type="paragraph" w:customStyle="1" w:styleId="Styl1">
    <w:name w:val="Styl1"/>
    <w:link w:val="Styl1Znak"/>
    <w:qFormat/>
    <w:rsid w:val="00593DAA"/>
    <w:rPr>
      <w:rFonts w:asciiTheme="minorHAnsi" w:hAnsiTheme="minorHAnsi"/>
      <w:b/>
      <w:bCs/>
      <w:sz w:val="28"/>
      <w:szCs w:val="26"/>
      <w:lang w:val="x-none"/>
    </w:rPr>
  </w:style>
  <w:style w:type="character" w:customStyle="1" w:styleId="Styl1Znak">
    <w:name w:val="Styl1 Znak"/>
    <w:basedOn w:val="Domylnaczcionkaakapitu"/>
    <w:link w:val="Styl1"/>
    <w:rsid w:val="00593DAA"/>
    <w:rPr>
      <w:rFonts w:asciiTheme="minorHAnsi" w:hAnsiTheme="minorHAnsi"/>
      <w:b/>
      <w:bCs/>
      <w:sz w:val="28"/>
      <w:szCs w:val="26"/>
      <w:lang w:val="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570888">
      <w:bodyDiv w:val="1"/>
      <w:marLeft w:val="0"/>
      <w:marRight w:val="0"/>
      <w:marTop w:val="0"/>
      <w:marBottom w:val="0"/>
      <w:divBdr>
        <w:top w:val="none" w:sz="0" w:space="0" w:color="auto"/>
        <w:left w:val="none" w:sz="0" w:space="0" w:color="auto"/>
        <w:bottom w:val="none" w:sz="0" w:space="0" w:color="auto"/>
        <w:right w:val="none" w:sz="0" w:space="0" w:color="auto"/>
      </w:divBdr>
      <w:divsChild>
        <w:div w:id="80032880">
          <w:marLeft w:val="0"/>
          <w:marRight w:val="0"/>
          <w:marTop w:val="0"/>
          <w:marBottom w:val="0"/>
          <w:divBdr>
            <w:top w:val="none" w:sz="0" w:space="0" w:color="auto"/>
            <w:left w:val="none" w:sz="0" w:space="0" w:color="auto"/>
            <w:bottom w:val="none" w:sz="0" w:space="0" w:color="auto"/>
            <w:right w:val="none" w:sz="0" w:space="0" w:color="auto"/>
          </w:divBdr>
        </w:div>
        <w:div w:id="320735941">
          <w:marLeft w:val="0"/>
          <w:marRight w:val="0"/>
          <w:marTop w:val="0"/>
          <w:marBottom w:val="0"/>
          <w:divBdr>
            <w:top w:val="none" w:sz="0" w:space="0" w:color="auto"/>
            <w:left w:val="none" w:sz="0" w:space="0" w:color="auto"/>
            <w:bottom w:val="none" w:sz="0" w:space="0" w:color="auto"/>
            <w:right w:val="none" w:sz="0" w:space="0" w:color="auto"/>
          </w:divBdr>
        </w:div>
        <w:div w:id="364143029">
          <w:marLeft w:val="0"/>
          <w:marRight w:val="0"/>
          <w:marTop w:val="0"/>
          <w:marBottom w:val="0"/>
          <w:divBdr>
            <w:top w:val="none" w:sz="0" w:space="0" w:color="auto"/>
            <w:left w:val="none" w:sz="0" w:space="0" w:color="auto"/>
            <w:bottom w:val="none" w:sz="0" w:space="0" w:color="auto"/>
            <w:right w:val="none" w:sz="0" w:space="0" w:color="auto"/>
          </w:divBdr>
        </w:div>
        <w:div w:id="370502246">
          <w:marLeft w:val="0"/>
          <w:marRight w:val="0"/>
          <w:marTop w:val="0"/>
          <w:marBottom w:val="0"/>
          <w:divBdr>
            <w:top w:val="none" w:sz="0" w:space="0" w:color="auto"/>
            <w:left w:val="none" w:sz="0" w:space="0" w:color="auto"/>
            <w:bottom w:val="none" w:sz="0" w:space="0" w:color="auto"/>
            <w:right w:val="none" w:sz="0" w:space="0" w:color="auto"/>
          </w:divBdr>
        </w:div>
        <w:div w:id="534656717">
          <w:marLeft w:val="0"/>
          <w:marRight w:val="0"/>
          <w:marTop w:val="0"/>
          <w:marBottom w:val="0"/>
          <w:divBdr>
            <w:top w:val="none" w:sz="0" w:space="0" w:color="auto"/>
            <w:left w:val="none" w:sz="0" w:space="0" w:color="auto"/>
            <w:bottom w:val="none" w:sz="0" w:space="0" w:color="auto"/>
            <w:right w:val="none" w:sz="0" w:space="0" w:color="auto"/>
          </w:divBdr>
        </w:div>
        <w:div w:id="633560422">
          <w:marLeft w:val="0"/>
          <w:marRight w:val="0"/>
          <w:marTop w:val="0"/>
          <w:marBottom w:val="0"/>
          <w:divBdr>
            <w:top w:val="none" w:sz="0" w:space="0" w:color="auto"/>
            <w:left w:val="none" w:sz="0" w:space="0" w:color="auto"/>
            <w:bottom w:val="none" w:sz="0" w:space="0" w:color="auto"/>
            <w:right w:val="none" w:sz="0" w:space="0" w:color="auto"/>
          </w:divBdr>
        </w:div>
        <w:div w:id="663048246">
          <w:marLeft w:val="0"/>
          <w:marRight w:val="0"/>
          <w:marTop w:val="0"/>
          <w:marBottom w:val="0"/>
          <w:divBdr>
            <w:top w:val="none" w:sz="0" w:space="0" w:color="auto"/>
            <w:left w:val="none" w:sz="0" w:space="0" w:color="auto"/>
            <w:bottom w:val="none" w:sz="0" w:space="0" w:color="auto"/>
            <w:right w:val="none" w:sz="0" w:space="0" w:color="auto"/>
          </w:divBdr>
        </w:div>
        <w:div w:id="852305777">
          <w:marLeft w:val="0"/>
          <w:marRight w:val="0"/>
          <w:marTop w:val="0"/>
          <w:marBottom w:val="0"/>
          <w:divBdr>
            <w:top w:val="none" w:sz="0" w:space="0" w:color="auto"/>
            <w:left w:val="none" w:sz="0" w:space="0" w:color="auto"/>
            <w:bottom w:val="none" w:sz="0" w:space="0" w:color="auto"/>
            <w:right w:val="none" w:sz="0" w:space="0" w:color="auto"/>
          </w:divBdr>
        </w:div>
        <w:div w:id="897738780">
          <w:marLeft w:val="0"/>
          <w:marRight w:val="0"/>
          <w:marTop w:val="0"/>
          <w:marBottom w:val="0"/>
          <w:divBdr>
            <w:top w:val="none" w:sz="0" w:space="0" w:color="auto"/>
            <w:left w:val="none" w:sz="0" w:space="0" w:color="auto"/>
            <w:bottom w:val="none" w:sz="0" w:space="0" w:color="auto"/>
            <w:right w:val="none" w:sz="0" w:space="0" w:color="auto"/>
          </w:divBdr>
        </w:div>
        <w:div w:id="908080607">
          <w:marLeft w:val="0"/>
          <w:marRight w:val="0"/>
          <w:marTop w:val="0"/>
          <w:marBottom w:val="0"/>
          <w:divBdr>
            <w:top w:val="none" w:sz="0" w:space="0" w:color="auto"/>
            <w:left w:val="none" w:sz="0" w:space="0" w:color="auto"/>
            <w:bottom w:val="none" w:sz="0" w:space="0" w:color="auto"/>
            <w:right w:val="none" w:sz="0" w:space="0" w:color="auto"/>
          </w:divBdr>
        </w:div>
        <w:div w:id="996374041">
          <w:marLeft w:val="0"/>
          <w:marRight w:val="0"/>
          <w:marTop w:val="0"/>
          <w:marBottom w:val="0"/>
          <w:divBdr>
            <w:top w:val="none" w:sz="0" w:space="0" w:color="auto"/>
            <w:left w:val="none" w:sz="0" w:space="0" w:color="auto"/>
            <w:bottom w:val="none" w:sz="0" w:space="0" w:color="auto"/>
            <w:right w:val="none" w:sz="0" w:space="0" w:color="auto"/>
          </w:divBdr>
        </w:div>
        <w:div w:id="1017660274">
          <w:marLeft w:val="0"/>
          <w:marRight w:val="0"/>
          <w:marTop w:val="0"/>
          <w:marBottom w:val="0"/>
          <w:divBdr>
            <w:top w:val="none" w:sz="0" w:space="0" w:color="auto"/>
            <w:left w:val="none" w:sz="0" w:space="0" w:color="auto"/>
            <w:bottom w:val="none" w:sz="0" w:space="0" w:color="auto"/>
            <w:right w:val="none" w:sz="0" w:space="0" w:color="auto"/>
          </w:divBdr>
        </w:div>
        <w:div w:id="1036391641">
          <w:marLeft w:val="0"/>
          <w:marRight w:val="0"/>
          <w:marTop w:val="0"/>
          <w:marBottom w:val="0"/>
          <w:divBdr>
            <w:top w:val="none" w:sz="0" w:space="0" w:color="auto"/>
            <w:left w:val="none" w:sz="0" w:space="0" w:color="auto"/>
            <w:bottom w:val="none" w:sz="0" w:space="0" w:color="auto"/>
            <w:right w:val="none" w:sz="0" w:space="0" w:color="auto"/>
          </w:divBdr>
        </w:div>
        <w:div w:id="1040284072">
          <w:marLeft w:val="0"/>
          <w:marRight w:val="0"/>
          <w:marTop w:val="0"/>
          <w:marBottom w:val="0"/>
          <w:divBdr>
            <w:top w:val="none" w:sz="0" w:space="0" w:color="auto"/>
            <w:left w:val="none" w:sz="0" w:space="0" w:color="auto"/>
            <w:bottom w:val="none" w:sz="0" w:space="0" w:color="auto"/>
            <w:right w:val="none" w:sz="0" w:space="0" w:color="auto"/>
          </w:divBdr>
        </w:div>
        <w:div w:id="1218660311">
          <w:marLeft w:val="0"/>
          <w:marRight w:val="0"/>
          <w:marTop w:val="0"/>
          <w:marBottom w:val="0"/>
          <w:divBdr>
            <w:top w:val="none" w:sz="0" w:space="0" w:color="auto"/>
            <w:left w:val="none" w:sz="0" w:space="0" w:color="auto"/>
            <w:bottom w:val="none" w:sz="0" w:space="0" w:color="auto"/>
            <w:right w:val="none" w:sz="0" w:space="0" w:color="auto"/>
          </w:divBdr>
        </w:div>
        <w:div w:id="1239513792">
          <w:marLeft w:val="0"/>
          <w:marRight w:val="0"/>
          <w:marTop w:val="0"/>
          <w:marBottom w:val="0"/>
          <w:divBdr>
            <w:top w:val="none" w:sz="0" w:space="0" w:color="auto"/>
            <w:left w:val="none" w:sz="0" w:space="0" w:color="auto"/>
            <w:bottom w:val="none" w:sz="0" w:space="0" w:color="auto"/>
            <w:right w:val="none" w:sz="0" w:space="0" w:color="auto"/>
          </w:divBdr>
        </w:div>
        <w:div w:id="1267035235">
          <w:marLeft w:val="0"/>
          <w:marRight w:val="0"/>
          <w:marTop w:val="0"/>
          <w:marBottom w:val="0"/>
          <w:divBdr>
            <w:top w:val="none" w:sz="0" w:space="0" w:color="auto"/>
            <w:left w:val="none" w:sz="0" w:space="0" w:color="auto"/>
            <w:bottom w:val="none" w:sz="0" w:space="0" w:color="auto"/>
            <w:right w:val="none" w:sz="0" w:space="0" w:color="auto"/>
          </w:divBdr>
        </w:div>
        <w:div w:id="1318027070">
          <w:marLeft w:val="0"/>
          <w:marRight w:val="0"/>
          <w:marTop w:val="0"/>
          <w:marBottom w:val="0"/>
          <w:divBdr>
            <w:top w:val="none" w:sz="0" w:space="0" w:color="auto"/>
            <w:left w:val="none" w:sz="0" w:space="0" w:color="auto"/>
            <w:bottom w:val="none" w:sz="0" w:space="0" w:color="auto"/>
            <w:right w:val="none" w:sz="0" w:space="0" w:color="auto"/>
          </w:divBdr>
        </w:div>
        <w:div w:id="1452743186">
          <w:marLeft w:val="0"/>
          <w:marRight w:val="0"/>
          <w:marTop w:val="0"/>
          <w:marBottom w:val="0"/>
          <w:divBdr>
            <w:top w:val="none" w:sz="0" w:space="0" w:color="auto"/>
            <w:left w:val="none" w:sz="0" w:space="0" w:color="auto"/>
            <w:bottom w:val="none" w:sz="0" w:space="0" w:color="auto"/>
            <w:right w:val="none" w:sz="0" w:space="0" w:color="auto"/>
          </w:divBdr>
        </w:div>
        <w:div w:id="1520582024">
          <w:marLeft w:val="0"/>
          <w:marRight w:val="0"/>
          <w:marTop w:val="0"/>
          <w:marBottom w:val="0"/>
          <w:divBdr>
            <w:top w:val="none" w:sz="0" w:space="0" w:color="auto"/>
            <w:left w:val="none" w:sz="0" w:space="0" w:color="auto"/>
            <w:bottom w:val="none" w:sz="0" w:space="0" w:color="auto"/>
            <w:right w:val="none" w:sz="0" w:space="0" w:color="auto"/>
          </w:divBdr>
        </w:div>
        <w:div w:id="1892963522">
          <w:marLeft w:val="0"/>
          <w:marRight w:val="0"/>
          <w:marTop w:val="0"/>
          <w:marBottom w:val="0"/>
          <w:divBdr>
            <w:top w:val="none" w:sz="0" w:space="0" w:color="auto"/>
            <w:left w:val="none" w:sz="0" w:space="0" w:color="auto"/>
            <w:bottom w:val="none" w:sz="0" w:space="0" w:color="auto"/>
            <w:right w:val="none" w:sz="0" w:space="0" w:color="auto"/>
          </w:divBdr>
        </w:div>
        <w:div w:id="2089765501">
          <w:marLeft w:val="0"/>
          <w:marRight w:val="0"/>
          <w:marTop w:val="0"/>
          <w:marBottom w:val="0"/>
          <w:divBdr>
            <w:top w:val="none" w:sz="0" w:space="0" w:color="auto"/>
            <w:left w:val="none" w:sz="0" w:space="0" w:color="auto"/>
            <w:bottom w:val="none" w:sz="0" w:space="0" w:color="auto"/>
            <w:right w:val="none" w:sz="0" w:space="0" w:color="auto"/>
          </w:divBdr>
        </w:div>
      </w:divsChild>
    </w:div>
    <w:div w:id="110589031">
      <w:bodyDiv w:val="1"/>
      <w:marLeft w:val="0"/>
      <w:marRight w:val="0"/>
      <w:marTop w:val="0"/>
      <w:marBottom w:val="0"/>
      <w:divBdr>
        <w:top w:val="none" w:sz="0" w:space="0" w:color="auto"/>
        <w:left w:val="none" w:sz="0" w:space="0" w:color="auto"/>
        <w:bottom w:val="none" w:sz="0" w:space="0" w:color="auto"/>
        <w:right w:val="none" w:sz="0" w:space="0" w:color="auto"/>
      </w:divBdr>
      <w:divsChild>
        <w:div w:id="58136516">
          <w:marLeft w:val="0"/>
          <w:marRight w:val="0"/>
          <w:marTop w:val="0"/>
          <w:marBottom w:val="0"/>
          <w:divBdr>
            <w:top w:val="none" w:sz="0" w:space="0" w:color="auto"/>
            <w:left w:val="none" w:sz="0" w:space="0" w:color="auto"/>
            <w:bottom w:val="none" w:sz="0" w:space="0" w:color="auto"/>
            <w:right w:val="none" w:sz="0" w:space="0" w:color="auto"/>
          </w:divBdr>
        </w:div>
        <w:div w:id="228536483">
          <w:marLeft w:val="0"/>
          <w:marRight w:val="0"/>
          <w:marTop w:val="0"/>
          <w:marBottom w:val="0"/>
          <w:divBdr>
            <w:top w:val="none" w:sz="0" w:space="0" w:color="auto"/>
            <w:left w:val="none" w:sz="0" w:space="0" w:color="auto"/>
            <w:bottom w:val="none" w:sz="0" w:space="0" w:color="auto"/>
            <w:right w:val="none" w:sz="0" w:space="0" w:color="auto"/>
          </w:divBdr>
        </w:div>
        <w:div w:id="454180141">
          <w:marLeft w:val="0"/>
          <w:marRight w:val="0"/>
          <w:marTop w:val="0"/>
          <w:marBottom w:val="0"/>
          <w:divBdr>
            <w:top w:val="none" w:sz="0" w:space="0" w:color="auto"/>
            <w:left w:val="none" w:sz="0" w:space="0" w:color="auto"/>
            <w:bottom w:val="none" w:sz="0" w:space="0" w:color="auto"/>
            <w:right w:val="none" w:sz="0" w:space="0" w:color="auto"/>
          </w:divBdr>
        </w:div>
        <w:div w:id="498354817">
          <w:marLeft w:val="0"/>
          <w:marRight w:val="0"/>
          <w:marTop w:val="0"/>
          <w:marBottom w:val="0"/>
          <w:divBdr>
            <w:top w:val="none" w:sz="0" w:space="0" w:color="auto"/>
            <w:left w:val="none" w:sz="0" w:space="0" w:color="auto"/>
            <w:bottom w:val="none" w:sz="0" w:space="0" w:color="auto"/>
            <w:right w:val="none" w:sz="0" w:space="0" w:color="auto"/>
          </w:divBdr>
        </w:div>
        <w:div w:id="620766891">
          <w:marLeft w:val="0"/>
          <w:marRight w:val="0"/>
          <w:marTop w:val="0"/>
          <w:marBottom w:val="0"/>
          <w:divBdr>
            <w:top w:val="none" w:sz="0" w:space="0" w:color="auto"/>
            <w:left w:val="none" w:sz="0" w:space="0" w:color="auto"/>
            <w:bottom w:val="none" w:sz="0" w:space="0" w:color="auto"/>
            <w:right w:val="none" w:sz="0" w:space="0" w:color="auto"/>
          </w:divBdr>
        </w:div>
        <w:div w:id="637951796">
          <w:marLeft w:val="0"/>
          <w:marRight w:val="0"/>
          <w:marTop w:val="0"/>
          <w:marBottom w:val="0"/>
          <w:divBdr>
            <w:top w:val="none" w:sz="0" w:space="0" w:color="auto"/>
            <w:left w:val="none" w:sz="0" w:space="0" w:color="auto"/>
            <w:bottom w:val="none" w:sz="0" w:space="0" w:color="auto"/>
            <w:right w:val="none" w:sz="0" w:space="0" w:color="auto"/>
          </w:divBdr>
        </w:div>
        <w:div w:id="1043139844">
          <w:marLeft w:val="0"/>
          <w:marRight w:val="0"/>
          <w:marTop w:val="0"/>
          <w:marBottom w:val="0"/>
          <w:divBdr>
            <w:top w:val="none" w:sz="0" w:space="0" w:color="auto"/>
            <w:left w:val="none" w:sz="0" w:space="0" w:color="auto"/>
            <w:bottom w:val="none" w:sz="0" w:space="0" w:color="auto"/>
            <w:right w:val="none" w:sz="0" w:space="0" w:color="auto"/>
          </w:divBdr>
        </w:div>
        <w:div w:id="1283072490">
          <w:marLeft w:val="0"/>
          <w:marRight w:val="0"/>
          <w:marTop w:val="0"/>
          <w:marBottom w:val="0"/>
          <w:divBdr>
            <w:top w:val="none" w:sz="0" w:space="0" w:color="auto"/>
            <w:left w:val="none" w:sz="0" w:space="0" w:color="auto"/>
            <w:bottom w:val="none" w:sz="0" w:space="0" w:color="auto"/>
            <w:right w:val="none" w:sz="0" w:space="0" w:color="auto"/>
          </w:divBdr>
        </w:div>
        <w:div w:id="1313487809">
          <w:marLeft w:val="0"/>
          <w:marRight w:val="0"/>
          <w:marTop w:val="0"/>
          <w:marBottom w:val="0"/>
          <w:divBdr>
            <w:top w:val="none" w:sz="0" w:space="0" w:color="auto"/>
            <w:left w:val="none" w:sz="0" w:space="0" w:color="auto"/>
            <w:bottom w:val="none" w:sz="0" w:space="0" w:color="auto"/>
            <w:right w:val="none" w:sz="0" w:space="0" w:color="auto"/>
          </w:divBdr>
        </w:div>
        <w:div w:id="1567179536">
          <w:marLeft w:val="0"/>
          <w:marRight w:val="0"/>
          <w:marTop w:val="0"/>
          <w:marBottom w:val="0"/>
          <w:divBdr>
            <w:top w:val="none" w:sz="0" w:space="0" w:color="auto"/>
            <w:left w:val="none" w:sz="0" w:space="0" w:color="auto"/>
            <w:bottom w:val="none" w:sz="0" w:space="0" w:color="auto"/>
            <w:right w:val="none" w:sz="0" w:space="0" w:color="auto"/>
          </w:divBdr>
        </w:div>
        <w:div w:id="1693608421">
          <w:marLeft w:val="0"/>
          <w:marRight w:val="0"/>
          <w:marTop w:val="0"/>
          <w:marBottom w:val="0"/>
          <w:divBdr>
            <w:top w:val="none" w:sz="0" w:space="0" w:color="auto"/>
            <w:left w:val="none" w:sz="0" w:space="0" w:color="auto"/>
            <w:bottom w:val="none" w:sz="0" w:space="0" w:color="auto"/>
            <w:right w:val="none" w:sz="0" w:space="0" w:color="auto"/>
          </w:divBdr>
        </w:div>
        <w:div w:id="1698265780">
          <w:marLeft w:val="0"/>
          <w:marRight w:val="0"/>
          <w:marTop w:val="0"/>
          <w:marBottom w:val="0"/>
          <w:divBdr>
            <w:top w:val="none" w:sz="0" w:space="0" w:color="auto"/>
            <w:left w:val="none" w:sz="0" w:space="0" w:color="auto"/>
            <w:bottom w:val="none" w:sz="0" w:space="0" w:color="auto"/>
            <w:right w:val="none" w:sz="0" w:space="0" w:color="auto"/>
          </w:divBdr>
        </w:div>
        <w:div w:id="1700815084">
          <w:marLeft w:val="0"/>
          <w:marRight w:val="0"/>
          <w:marTop w:val="0"/>
          <w:marBottom w:val="0"/>
          <w:divBdr>
            <w:top w:val="none" w:sz="0" w:space="0" w:color="auto"/>
            <w:left w:val="none" w:sz="0" w:space="0" w:color="auto"/>
            <w:bottom w:val="none" w:sz="0" w:space="0" w:color="auto"/>
            <w:right w:val="none" w:sz="0" w:space="0" w:color="auto"/>
          </w:divBdr>
        </w:div>
        <w:div w:id="1739089071">
          <w:marLeft w:val="0"/>
          <w:marRight w:val="0"/>
          <w:marTop w:val="0"/>
          <w:marBottom w:val="0"/>
          <w:divBdr>
            <w:top w:val="none" w:sz="0" w:space="0" w:color="auto"/>
            <w:left w:val="none" w:sz="0" w:space="0" w:color="auto"/>
            <w:bottom w:val="none" w:sz="0" w:space="0" w:color="auto"/>
            <w:right w:val="none" w:sz="0" w:space="0" w:color="auto"/>
          </w:divBdr>
        </w:div>
        <w:div w:id="1777291819">
          <w:marLeft w:val="0"/>
          <w:marRight w:val="0"/>
          <w:marTop w:val="0"/>
          <w:marBottom w:val="0"/>
          <w:divBdr>
            <w:top w:val="none" w:sz="0" w:space="0" w:color="auto"/>
            <w:left w:val="none" w:sz="0" w:space="0" w:color="auto"/>
            <w:bottom w:val="none" w:sz="0" w:space="0" w:color="auto"/>
            <w:right w:val="none" w:sz="0" w:space="0" w:color="auto"/>
          </w:divBdr>
        </w:div>
        <w:div w:id="1811747985">
          <w:marLeft w:val="0"/>
          <w:marRight w:val="0"/>
          <w:marTop w:val="0"/>
          <w:marBottom w:val="0"/>
          <w:divBdr>
            <w:top w:val="none" w:sz="0" w:space="0" w:color="auto"/>
            <w:left w:val="none" w:sz="0" w:space="0" w:color="auto"/>
            <w:bottom w:val="none" w:sz="0" w:space="0" w:color="auto"/>
            <w:right w:val="none" w:sz="0" w:space="0" w:color="auto"/>
          </w:divBdr>
        </w:div>
        <w:div w:id="1815289854">
          <w:marLeft w:val="0"/>
          <w:marRight w:val="0"/>
          <w:marTop w:val="0"/>
          <w:marBottom w:val="0"/>
          <w:divBdr>
            <w:top w:val="none" w:sz="0" w:space="0" w:color="auto"/>
            <w:left w:val="none" w:sz="0" w:space="0" w:color="auto"/>
            <w:bottom w:val="none" w:sz="0" w:space="0" w:color="auto"/>
            <w:right w:val="none" w:sz="0" w:space="0" w:color="auto"/>
          </w:divBdr>
        </w:div>
        <w:div w:id="1947538743">
          <w:marLeft w:val="0"/>
          <w:marRight w:val="0"/>
          <w:marTop w:val="0"/>
          <w:marBottom w:val="0"/>
          <w:divBdr>
            <w:top w:val="none" w:sz="0" w:space="0" w:color="auto"/>
            <w:left w:val="none" w:sz="0" w:space="0" w:color="auto"/>
            <w:bottom w:val="none" w:sz="0" w:space="0" w:color="auto"/>
            <w:right w:val="none" w:sz="0" w:space="0" w:color="auto"/>
          </w:divBdr>
        </w:div>
        <w:div w:id="1970239139">
          <w:marLeft w:val="0"/>
          <w:marRight w:val="0"/>
          <w:marTop w:val="0"/>
          <w:marBottom w:val="0"/>
          <w:divBdr>
            <w:top w:val="none" w:sz="0" w:space="0" w:color="auto"/>
            <w:left w:val="none" w:sz="0" w:space="0" w:color="auto"/>
            <w:bottom w:val="none" w:sz="0" w:space="0" w:color="auto"/>
            <w:right w:val="none" w:sz="0" w:space="0" w:color="auto"/>
          </w:divBdr>
        </w:div>
        <w:div w:id="1973443710">
          <w:marLeft w:val="0"/>
          <w:marRight w:val="0"/>
          <w:marTop w:val="0"/>
          <w:marBottom w:val="0"/>
          <w:divBdr>
            <w:top w:val="none" w:sz="0" w:space="0" w:color="auto"/>
            <w:left w:val="none" w:sz="0" w:space="0" w:color="auto"/>
            <w:bottom w:val="none" w:sz="0" w:space="0" w:color="auto"/>
            <w:right w:val="none" w:sz="0" w:space="0" w:color="auto"/>
          </w:divBdr>
        </w:div>
        <w:div w:id="2062434069">
          <w:marLeft w:val="0"/>
          <w:marRight w:val="0"/>
          <w:marTop w:val="0"/>
          <w:marBottom w:val="0"/>
          <w:divBdr>
            <w:top w:val="none" w:sz="0" w:space="0" w:color="auto"/>
            <w:left w:val="none" w:sz="0" w:space="0" w:color="auto"/>
            <w:bottom w:val="none" w:sz="0" w:space="0" w:color="auto"/>
            <w:right w:val="none" w:sz="0" w:space="0" w:color="auto"/>
          </w:divBdr>
        </w:div>
        <w:div w:id="2123961080">
          <w:marLeft w:val="0"/>
          <w:marRight w:val="0"/>
          <w:marTop w:val="0"/>
          <w:marBottom w:val="0"/>
          <w:divBdr>
            <w:top w:val="none" w:sz="0" w:space="0" w:color="auto"/>
            <w:left w:val="none" w:sz="0" w:space="0" w:color="auto"/>
            <w:bottom w:val="none" w:sz="0" w:space="0" w:color="auto"/>
            <w:right w:val="none" w:sz="0" w:space="0" w:color="auto"/>
          </w:divBdr>
        </w:div>
      </w:divsChild>
    </w:div>
    <w:div w:id="222106094">
      <w:bodyDiv w:val="1"/>
      <w:marLeft w:val="0"/>
      <w:marRight w:val="0"/>
      <w:marTop w:val="0"/>
      <w:marBottom w:val="0"/>
      <w:divBdr>
        <w:top w:val="none" w:sz="0" w:space="0" w:color="auto"/>
        <w:left w:val="none" w:sz="0" w:space="0" w:color="auto"/>
        <w:bottom w:val="none" w:sz="0" w:space="0" w:color="auto"/>
        <w:right w:val="none" w:sz="0" w:space="0" w:color="auto"/>
      </w:divBdr>
    </w:div>
    <w:div w:id="270094941">
      <w:bodyDiv w:val="1"/>
      <w:marLeft w:val="0"/>
      <w:marRight w:val="0"/>
      <w:marTop w:val="0"/>
      <w:marBottom w:val="0"/>
      <w:divBdr>
        <w:top w:val="none" w:sz="0" w:space="0" w:color="auto"/>
        <w:left w:val="none" w:sz="0" w:space="0" w:color="auto"/>
        <w:bottom w:val="none" w:sz="0" w:space="0" w:color="auto"/>
        <w:right w:val="none" w:sz="0" w:space="0" w:color="auto"/>
      </w:divBdr>
    </w:div>
    <w:div w:id="296374591">
      <w:bodyDiv w:val="1"/>
      <w:marLeft w:val="0"/>
      <w:marRight w:val="0"/>
      <w:marTop w:val="0"/>
      <w:marBottom w:val="0"/>
      <w:divBdr>
        <w:top w:val="none" w:sz="0" w:space="0" w:color="auto"/>
        <w:left w:val="none" w:sz="0" w:space="0" w:color="auto"/>
        <w:bottom w:val="none" w:sz="0" w:space="0" w:color="auto"/>
        <w:right w:val="none" w:sz="0" w:space="0" w:color="auto"/>
      </w:divBdr>
    </w:div>
    <w:div w:id="318576176">
      <w:bodyDiv w:val="1"/>
      <w:marLeft w:val="0"/>
      <w:marRight w:val="0"/>
      <w:marTop w:val="0"/>
      <w:marBottom w:val="0"/>
      <w:divBdr>
        <w:top w:val="none" w:sz="0" w:space="0" w:color="auto"/>
        <w:left w:val="none" w:sz="0" w:space="0" w:color="auto"/>
        <w:bottom w:val="none" w:sz="0" w:space="0" w:color="auto"/>
        <w:right w:val="none" w:sz="0" w:space="0" w:color="auto"/>
      </w:divBdr>
    </w:div>
    <w:div w:id="388309241">
      <w:bodyDiv w:val="1"/>
      <w:marLeft w:val="0"/>
      <w:marRight w:val="0"/>
      <w:marTop w:val="0"/>
      <w:marBottom w:val="0"/>
      <w:divBdr>
        <w:top w:val="none" w:sz="0" w:space="0" w:color="auto"/>
        <w:left w:val="none" w:sz="0" w:space="0" w:color="auto"/>
        <w:bottom w:val="none" w:sz="0" w:space="0" w:color="auto"/>
        <w:right w:val="none" w:sz="0" w:space="0" w:color="auto"/>
      </w:divBdr>
      <w:divsChild>
        <w:div w:id="1506089536">
          <w:marLeft w:val="0"/>
          <w:marRight w:val="0"/>
          <w:marTop w:val="0"/>
          <w:marBottom w:val="0"/>
          <w:divBdr>
            <w:top w:val="none" w:sz="0" w:space="0" w:color="auto"/>
            <w:left w:val="none" w:sz="0" w:space="0" w:color="auto"/>
            <w:bottom w:val="none" w:sz="0" w:space="0" w:color="auto"/>
            <w:right w:val="none" w:sz="0" w:space="0" w:color="auto"/>
          </w:divBdr>
        </w:div>
      </w:divsChild>
    </w:div>
    <w:div w:id="423189809">
      <w:bodyDiv w:val="1"/>
      <w:marLeft w:val="0"/>
      <w:marRight w:val="0"/>
      <w:marTop w:val="0"/>
      <w:marBottom w:val="0"/>
      <w:divBdr>
        <w:top w:val="none" w:sz="0" w:space="0" w:color="auto"/>
        <w:left w:val="none" w:sz="0" w:space="0" w:color="auto"/>
        <w:bottom w:val="none" w:sz="0" w:space="0" w:color="auto"/>
        <w:right w:val="none" w:sz="0" w:space="0" w:color="auto"/>
      </w:divBdr>
    </w:div>
    <w:div w:id="424958294">
      <w:bodyDiv w:val="1"/>
      <w:marLeft w:val="0"/>
      <w:marRight w:val="0"/>
      <w:marTop w:val="0"/>
      <w:marBottom w:val="0"/>
      <w:divBdr>
        <w:top w:val="none" w:sz="0" w:space="0" w:color="auto"/>
        <w:left w:val="none" w:sz="0" w:space="0" w:color="auto"/>
        <w:bottom w:val="none" w:sz="0" w:space="0" w:color="auto"/>
        <w:right w:val="none" w:sz="0" w:space="0" w:color="auto"/>
      </w:divBdr>
    </w:div>
    <w:div w:id="428819296">
      <w:bodyDiv w:val="1"/>
      <w:marLeft w:val="0"/>
      <w:marRight w:val="0"/>
      <w:marTop w:val="0"/>
      <w:marBottom w:val="0"/>
      <w:divBdr>
        <w:top w:val="none" w:sz="0" w:space="0" w:color="auto"/>
        <w:left w:val="none" w:sz="0" w:space="0" w:color="auto"/>
        <w:bottom w:val="none" w:sz="0" w:space="0" w:color="auto"/>
        <w:right w:val="none" w:sz="0" w:space="0" w:color="auto"/>
      </w:divBdr>
    </w:div>
    <w:div w:id="593363831">
      <w:bodyDiv w:val="1"/>
      <w:marLeft w:val="0"/>
      <w:marRight w:val="0"/>
      <w:marTop w:val="0"/>
      <w:marBottom w:val="0"/>
      <w:divBdr>
        <w:top w:val="none" w:sz="0" w:space="0" w:color="auto"/>
        <w:left w:val="none" w:sz="0" w:space="0" w:color="auto"/>
        <w:bottom w:val="none" w:sz="0" w:space="0" w:color="auto"/>
        <w:right w:val="none" w:sz="0" w:space="0" w:color="auto"/>
      </w:divBdr>
      <w:divsChild>
        <w:div w:id="39719270">
          <w:marLeft w:val="0"/>
          <w:marRight w:val="0"/>
          <w:marTop w:val="0"/>
          <w:marBottom w:val="0"/>
          <w:divBdr>
            <w:top w:val="none" w:sz="0" w:space="0" w:color="auto"/>
            <w:left w:val="none" w:sz="0" w:space="0" w:color="auto"/>
            <w:bottom w:val="none" w:sz="0" w:space="0" w:color="auto"/>
            <w:right w:val="none" w:sz="0" w:space="0" w:color="auto"/>
          </w:divBdr>
        </w:div>
        <w:div w:id="67463946">
          <w:marLeft w:val="0"/>
          <w:marRight w:val="0"/>
          <w:marTop w:val="0"/>
          <w:marBottom w:val="0"/>
          <w:divBdr>
            <w:top w:val="none" w:sz="0" w:space="0" w:color="auto"/>
            <w:left w:val="none" w:sz="0" w:space="0" w:color="auto"/>
            <w:bottom w:val="none" w:sz="0" w:space="0" w:color="auto"/>
            <w:right w:val="none" w:sz="0" w:space="0" w:color="auto"/>
          </w:divBdr>
        </w:div>
        <w:div w:id="110324521">
          <w:marLeft w:val="0"/>
          <w:marRight w:val="0"/>
          <w:marTop w:val="0"/>
          <w:marBottom w:val="0"/>
          <w:divBdr>
            <w:top w:val="none" w:sz="0" w:space="0" w:color="auto"/>
            <w:left w:val="none" w:sz="0" w:space="0" w:color="auto"/>
            <w:bottom w:val="none" w:sz="0" w:space="0" w:color="auto"/>
            <w:right w:val="none" w:sz="0" w:space="0" w:color="auto"/>
          </w:divBdr>
        </w:div>
        <w:div w:id="119888369">
          <w:marLeft w:val="0"/>
          <w:marRight w:val="0"/>
          <w:marTop w:val="0"/>
          <w:marBottom w:val="0"/>
          <w:divBdr>
            <w:top w:val="none" w:sz="0" w:space="0" w:color="auto"/>
            <w:left w:val="none" w:sz="0" w:space="0" w:color="auto"/>
            <w:bottom w:val="none" w:sz="0" w:space="0" w:color="auto"/>
            <w:right w:val="none" w:sz="0" w:space="0" w:color="auto"/>
          </w:divBdr>
        </w:div>
        <w:div w:id="122160952">
          <w:marLeft w:val="0"/>
          <w:marRight w:val="0"/>
          <w:marTop w:val="0"/>
          <w:marBottom w:val="0"/>
          <w:divBdr>
            <w:top w:val="none" w:sz="0" w:space="0" w:color="auto"/>
            <w:left w:val="none" w:sz="0" w:space="0" w:color="auto"/>
            <w:bottom w:val="none" w:sz="0" w:space="0" w:color="auto"/>
            <w:right w:val="none" w:sz="0" w:space="0" w:color="auto"/>
          </w:divBdr>
        </w:div>
        <w:div w:id="185290541">
          <w:marLeft w:val="0"/>
          <w:marRight w:val="0"/>
          <w:marTop w:val="0"/>
          <w:marBottom w:val="0"/>
          <w:divBdr>
            <w:top w:val="none" w:sz="0" w:space="0" w:color="auto"/>
            <w:left w:val="none" w:sz="0" w:space="0" w:color="auto"/>
            <w:bottom w:val="none" w:sz="0" w:space="0" w:color="auto"/>
            <w:right w:val="none" w:sz="0" w:space="0" w:color="auto"/>
          </w:divBdr>
        </w:div>
        <w:div w:id="222179669">
          <w:marLeft w:val="0"/>
          <w:marRight w:val="0"/>
          <w:marTop w:val="0"/>
          <w:marBottom w:val="0"/>
          <w:divBdr>
            <w:top w:val="none" w:sz="0" w:space="0" w:color="auto"/>
            <w:left w:val="none" w:sz="0" w:space="0" w:color="auto"/>
            <w:bottom w:val="none" w:sz="0" w:space="0" w:color="auto"/>
            <w:right w:val="none" w:sz="0" w:space="0" w:color="auto"/>
          </w:divBdr>
        </w:div>
        <w:div w:id="234704608">
          <w:marLeft w:val="0"/>
          <w:marRight w:val="0"/>
          <w:marTop w:val="0"/>
          <w:marBottom w:val="0"/>
          <w:divBdr>
            <w:top w:val="none" w:sz="0" w:space="0" w:color="auto"/>
            <w:left w:val="none" w:sz="0" w:space="0" w:color="auto"/>
            <w:bottom w:val="none" w:sz="0" w:space="0" w:color="auto"/>
            <w:right w:val="none" w:sz="0" w:space="0" w:color="auto"/>
          </w:divBdr>
        </w:div>
        <w:div w:id="272325587">
          <w:marLeft w:val="0"/>
          <w:marRight w:val="0"/>
          <w:marTop w:val="0"/>
          <w:marBottom w:val="0"/>
          <w:divBdr>
            <w:top w:val="none" w:sz="0" w:space="0" w:color="auto"/>
            <w:left w:val="none" w:sz="0" w:space="0" w:color="auto"/>
            <w:bottom w:val="none" w:sz="0" w:space="0" w:color="auto"/>
            <w:right w:val="none" w:sz="0" w:space="0" w:color="auto"/>
          </w:divBdr>
        </w:div>
        <w:div w:id="300186630">
          <w:marLeft w:val="0"/>
          <w:marRight w:val="0"/>
          <w:marTop w:val="0"/>
          <w:marBottom w:val="0"/>
          <w:divBdr>
            <w:top w:val="none" w:sz="0" w:space="0" w:color="auto"/>
            <w:left w:val="none" w:sz="0" w:space="0" w:color="auto"/>
            <w:bottom w:val="none" w:sz="0" w:space="0" w:color="auto"/>
            <w:right w:val="none" w:sz="0" w:space="0" w:color="auto"/>
          </w:divBdr>
        </w:div>
        <w:div w:id="305479455">
          <w:marLeft w:val="0"/>
          <w:marRight w:val="0"/>
          <w:marTop w:val="0"/>
          <w:marBottom w:val="0"/>
          <w:divBdr>
            <w:top w:val="none" w:sz="0" w:space="0" w:color="auto"/>
            <w:left w:val="none" w:sz="0" w:space="0" w:color="auto"/>
            <w:bottom w:val="none" w:sz="0" w:space="0" w:color="auto"/>
            <w:right w:val="none" w:sz="0" w:space="0" w:color="auto"/>
          </w:divBdr>
        </w:div>
        <w:div w:id="340089890">
          <w:marLeft w:val="0"/>
          <w:marRight w:val="0"/>
          <w:marTop w:val="0"/>
          <w:marBottom w:val="0"/>
          <w:divBdr>
            <w:top w:val="none" w:sz="0" w:space="0" w:color="auto"/>
            <w:left w:val="none" w:sz="0" w:space="0" w:color="auto"/>
            <w:bottom w:val="none" w:sz="0" w:space="0" w:color="auto"/>
            <w:right w:val="none" w:sz="0" w:space="0" w:color="auto"/>
          </w:divBdr>
        </w:div>
        <w:div w:id="370804917">
          <w:marLeft w:val="0"/>
          <w:marRight w:val="0"/>
          <w:marTop w:val="0"/>
          <w:marBottom w:val="0"/>
          <w:divBdr>
            <w:top w:val="none" w:sz="0" w:space="0" w:color="auto"/>
            <w:left w:val="none" w:sz="0" w:space="0" w:color="auto"/>
            <w:bottom w:val="none" w:sz="0" w:space="0" w:color="auto"/>
            <w:right w:val="none" w:sz="0" w:space="0" w:color="auto"/>
          </w:divBdr>
        </w:div>
        <w:div w:id="468132553">
          <w:marLeft w:val="0"/>
          <w:marRight w:val="0"/>
          <w:marTop w:val="0"/>
          <w:marBottom w:val="0"/>
          <w:divBdr>
            <w:top w:val="none" w:sz="0" w:space="0" w:color="auto"/>
            <w:left w:val="none" w:sz="0" w:space="0" w:color="auto"/>
            <w:bottom w:val="none" w:sz="0" w:space="0" w:color="auto"/>
            <w:right w:val="none" w:sz="0" w:space="0" w:color="auto"/>
          </w:divBdr>
        </w:div>
        <w:div w:id="503471725">
          <w:marLeft w:val="0"/>
          <w:marRight w:val="0"/>
          <w:marTop w:val="0"/>
          <w:marBottom w:val="0"/>
          <w:divBdr>
            <w:top w:val="none" w:sz="0" w:space="0" w:color="auto"/>
            <w:left w:val="none" w:sz="0" w:space="0" w:color="auto"/>
            <w:bottom w:val="none" w:sz="0" w:space="0" w:color="auto"/>
            <w:right w:val="none" w:sz="0" w:space="0" w:color="auto"/>
          </w:divBdr>
        </w:div>
        <w:div w:id="543911436">
          <w:marLeft w:val="0"/>
          <w:marRight w:val="0"/>
          <w:marTop w:val="0"/>
          <w:marBottom w:val="0"/>
          <w:divBdr>
            <w:top w:val="none" w:sz="0" w:space="0" w:color="auto"/>
            <w:left w:val="none" w:sz="0" w:space="0" w:color="auto"/>
            <w:bottom w:val="none" w:sz="0" w:space="0" w:color="auto"/>
            <w:right w:val="none" w:sz="0" w:space="0" w:color="auto"/>
          </w:divBdr>
        </w:div>
        <w:div w:id="576213229">
          <w:marLeft w:val="0"/>
          <w:marRight w:val="0"/>
          <w:marTop w:val="0"/>
          <w:marBottom w:val="0"/>
          <w:divBdr>
            <w:top w:val="none" w:sz="0" w:space="0" w:color="auto"/>
            <w:left w:val="none" w:sz="0" w:space="0" w:color="auto"/>
            <w:bottom w:val="none" w:sz="0" w:space="0" w:color="auto"/>
            <w:right w:val="none" w:sz="0" w:space="0" w:color="auto"/>
          </w:divBdr>
        </w:div>
        <w:div w:id="591204571">
          <w:marLeft w:val="0"/>
          <w:marRight w:val="0"/>
          <w:marTop w:val="0"/>
          <w:marBottom w:val="0"/>
          <w:divBdr>
            <w:top w:val="none" w:sz="0" w:space="0" w:color="auto"/>
            <w:left w:val="none" w:sz="0" w:space="0" w:color="auto"/>
            <w:bottom w:val="none" w:sz="0" w:space="0" w:color="auto"/>
            <w:right w:val="none" w:sz="0" w:space="0" w:color="auto"/>
          </w:divBdr>
        </w:div>
        <w:div w:id="649334424">
          <w:marLeft w:val="0"/>
          <w:marRight w:val="0"/>
          <w:marTop w:val="0"/>
          <w:marBottom w:val="0"/>
          <w:divBdr>
            <w:top w:val="none" w:sz="0" w:space="0" w:color="auto"/>
            <w:left w:val="none" w:sz="0" w:space="0" w:color="auto"/>
            <w:bottom w:val="none" w:sz="0" w:space="0" w:color="auto"/>
            <w:right w:val="none" w:sz="0" w:space="0" w:color="auto"/>
          </w:divBdr>
        </w:div>
        <w:div w:id="650213553">
          <w:marLeft w:val="0"/>
          <w:marRight w:val="0"/>
          <w:marTop w:val="0"/>
          <w:marBottom w:val="0"/>
          <w:divBdr>
            <w:top w:val="none" w:sz="0" w:space="0" w:color="auto"/>
            <w:left w:val="none" w:sz="0" w:space="0" w:color="auto"/>
            <w:bottom w:val="none" w:sz="0" w:space="0" w:color="auto"/>
            <w:right w:val="none" w:sz="0" w:space="0" w:color="auto"/>
          </w:divBdr>
        </w:div>
        <w:div w:id="715393211">
          <w:marLeft w:val="0"/>
          <w:marRight w:val="0"/>
          <w:marTop w:val="0"/>
          <w:marBottom w:val="0"/>
          <w:divBdr>
            <w:top w:val="none" w:sz="0" w:space="0" w:color="auto"/>
            <w:left w:val="none" w:sz="0" w:space="0" w:color="auto"/>
            <w:bottom w:val="none" w:sz="0" w:space="0" w:color="auto"/>
            <w:right w:val="none" w:sz="0" w:space="0" w:color="auto"/>
          </w:divBdr>
        </w:div>
        <w:div w:id="765268982">
          <w:marLeft w:val="0"/>
          <w:marRight w:val="0"/>
          <w:marTop w:val="0"/>
          <w:marBottom w:val="0"/>
          <w:divBdr>
            <w:top w:val="none" w:sz="0" w:space="0" w:color="auto"/>
            <w:left w:val="none" w:sz="0" w:space="0" w:color="auto"/>
            <w:bottom w:val="none" w:sz="0" w:space="0" w:color="auto"/>
            <w:right w:val="none" w:sz="0" w:space="0" w:color="auto"/>
          </w:divBdr>
        </w:div>
        <w:div w:id="829902260">
          <w:marLeft w:val="0"/>
          <w:marRight w:val="0"/>
          <w:marTop w:val="0"/>
          <w:marBottom w:val="0"/>
          <w:divBdr>
            <w:top w:val="none" w:sz="0" w:space="0" w:color="auto"/>
            <w:left w:val="none" w:sz="0" w:space="0" w:color="auto"/>
            <w:bottom w:val="none" w:sz="0" w:space="0" w:color="auto"/>
            <w:right w:val="none" w:sz="0" w:space="0" w:color="auto"/>
          </w:divBdr>
        </w:div>
        <w:div w:id="842353316">
          <w:marLeft w:val="0"/>
          <w:marRight w:val="0"/>
          <w:marTop w:val="0"/>
          <w:marBottom w:val="0"/>
          <w:divBdr>
            <w:top w:val="none" w:sz="0" w:space="0" w:color="auto"/>
            <w:left w:val="none" w:sz="0" w:space="0" w:color="auto"/>
            <w:bottom w:val="none" w:sz="0" w:space="0" w:color="auto"/>
            <w:right w:val="none" w:sz="0" w:space="0" w:color="auto"/>
          </w:divBdr>
        </w:div>
        <w:div w:id="851993076">
          <w:marLeft w:val="0"/>
          <w:marRight w:val="0"/>
          <w:marTop w:val="0"/>
          <w:marBottom w:val="0"/>
          <w:divBdr>
            <w:top w:val="none" w:sz="0" w:space="0" w:color="auto"/>
            <w:left w:val="none" w:sz="0" w:space="0" w:color="auto"/>
            <w:bottom w:val="none" w:sz="0" w:space="0" w:color="auto"/>
            <w:right w:val="none" w:sz="0" w:space="0" w:color="auto"/>
          </w:divBdr>
        </w:div>
        <w:div w:id="870386651">
          <w:marLeft w:val="0"/>
          <w:marRight w:val="0"/>
          <w:marTop w:val="0"/>
          <w:marBottom w:val="0"/>
          <w:divBdr>
            <w:top w:val="none" w:sz="0" w:space="0" w:color="auto"/>
            <w:left w:val="none" w:sz="0" w:space="0" w:color="auto"/>
            <w:bottom w:val="none" w:sz="0" w:space="0" w:color="auto"/>
            <w:right w:val="none" w:sz="0" w:space="0" w:color="auto"/>
          </w:divBdr>
        </w:div>
        <w:div w:id="873805133">
          <w:marLeft w:val="0"/>
          <w:marRight w:val="0"/>
          <w:marTop w:val="0"/>
          <w:marBottom w:val="0"/>
          <w:divBdr>
            <w:top w:val="none" w:sz="0" w:space="0" w:color="auto"/>
            <w:left w:val="none" w:sz="0" w:space="0" w:color="auto"/>
            <w:bottom w:val="none" w:sz="0" w:space="0" w:color="auto"/>
            <w:right w:val="none" w:sz="0" w:space="0" w:color="auto"/>
          </w:divBdr>
        </w:div>
        <w:div w:id="982199736">
          <w:marLeft w:val="0"/>
          <w:marRight w:val="0"/>
          <w:marTop w:val="0"/>
          <w:marBottom w:val="0"/>
          <w:divBdr>
            <w:top w:val="none" w:sz="0" w:space="0" w:color="auto"/>
            <w:left w:val="none" w:sz="0" w:space="0" w:color="auto"/>
            <w:bottom w:val="none" w:sz="0" w:space="0" w:color="auto"/>
            <w:right w:val="none" w:sz="0" w:space="0" w:color="auto"/>
          </w:divBdr>
        </w:div>
        <w:div w:id="1040206514">
          <w:marLeft w:val="0"/>
          <w:marRight w:val="0"/>
          <w:marTop w:val="0"/>
          <w:marBottom w:val="0"/>
          <w:divBdr>
            <w:top w:val="none" w:sz="0" w:space="0" w:color="auto"/>
            <w:left w:val="none" w:sz="0" w:space="0" w:color="auto"/>
            <w:bottom w:val="none" w:sz="0" w:space="0" w:color="auto"/>
            <w:right w:val="none" w:sz="0" w:space="0" w:color="auto"/>
          </w:divBdr>
        </w:div>
        <w:div w:id="1062673680">
          <w:marLeft w:val="0"/>
          <w:marRight w:val="0"/>
          <w:marTop w:val="0"/>
          <w:marBottom w:val="0"/>
          <w:divBdr>
            <w:top w:val="none" w:sz="0" w:space="0" w:color="auto"/>
            <w:left w:val="none" w:sz="0" w:space="0" w:color="auto"/>
            <w:bottom w:val="none" w:sz="0" w:space="0" w:color="auto"/>
            <w:right w:val="none" w:sz="0" w:space="0" w:color="auto"/>
          </w:divBdr>
        </w:div>
        <w:div w:id="1153062238">
          <w:marLeft w:val="0"/>
          <w:marRight w:val="0"/>
          <w:marTop w:val="0"/>
          <w:marBottom w:val="0"/>
          <w:divBdr>
            <w:top w:val="none" w:sz="0" w:space="0" w:color="auto"/>
            <w:left w:val="none" w:sz="0" w:space="0" w:color="auto"/>
            <w:bottom w:val="none" w:sz="0" w:space="0" w:color="auto"/>
            <w:right w:val="none" w:sz="0" w:space="0" w:color="auto"/>
          </w:divBdr>
        </w:div>
        <w:div w:id="1182205499">
          <w:marLeft w:val="0"/>
          <w:marRight w:val="0"/>
          <w:marTop w:val="0"/>
          <w:marBottom w:val="0"/>
          <w:divBdr>
            <w:top w:val="none" w:sz="0" w:space="0" w:color="auto"/>
            <w:left w:val="none" w:sz="0" w:space="0" w:color="auto"/>
            <w:bottom w:val="none" w:sz="0" w:space="0" w:color="auto"/>
            <w:right w:val="none" w:sz="0" w:space="0" w:color="auto"/>
          </w:divBdr>
        </w:div>
        <w:div w:id="1241872558">
          <w:marLeft w:val="0"/>
          <w:marRight w:val="0"/>
          <w:marTop w:val="0"/>
          <w:marBottom w:val="0"/>
          <w:divBdr>
            <w:top w:val="none" w:sz="0" w:space="0" w:color="auto"/>
            <w:left w:val="none" w:sz="0" w:space="0" w:color="auto"/>
            <w:bottom w:val="none" w:sz="0" w:space="0" w:color="auto"/>
            <w:right w:val="none" w:sz="0" w:space="0" w:color="auto"/>
          </w:divBdr>
        </w:div>
        <w:div w:id="1264076339">
          <w:marLeft w:val="0"/>
          <w:marRight w:val="0"/>
          <w:marTop w:val="0"/>
          <w:marBottom w:val="0"/>
          <w:divBdr>
            <w:top w:val="none" w:sz="0" w:space="0" w:color="auto"/>
            <w:left w:val="none" w:sz="0" w:space="0" w:color="auto"/>
            <w:bottom w:val="none" w:sz="0" w:space="0" w:color="auto"/>
            <w:right w:val="none" w:sz="0" w:space="0" w:color="auto"/>
          </w:divBdr>
        </w:div>
        <w:div w:id="1366372105">
          <w:marLeft w:val="0"/>
          <w:marRight w:val="0"/>
          <w:marTop w:val="0"/>
          <w:marBottom w:val="0"/>
          <w:divBdr>
            <w:top w:val="none" w:sz="0" w:space="0" w:color="auto"/>
            <w:left w:val="none" w:sz="0" w:space="0" w:color="auto"/>
            <w:bottom w:val="none" w:sz="0" w:space="0" w:color="auto"/>
            <w:right w:val="none" w:sz="0" w:space="0" w:color="auto"/>
          </w:divBdr>
        </w:div>
        <w:div w:id="1374303642">
          <w:marLeft w:val="0"/>
          <w:marRight w:val="0"/>
          <w:marTop w:val="0"/>
          <w:marBottom w:val="0"/>
          <w:divBdr>
            <w:top w:val="none" w:sz="0" w:space="0" w:color="auto"/>
            <w:left w:val="none" w:sz="0" w:space="0" w:color="auto"/>
            <w:bottom w:val="none" w:sz="0" w:space="0" w:color="auto"/>
            <w:right w:val="none" w:sz="0" w:space="0" w:color="auto"/>
          </w:divBdr>
        </w:div>
        <w:div w:id="1385373185">
          <w:marLeft w:val="0"/>
          <w:marRight w:val="0"/>
          <w:marTop w:val="0"/>
          <w:marBottom w:val="0"/>
          <w:divBdr>
            <w:top w:val="none" w:sz="0" w:space="0" w:color="auto"/>
            <w:left w:val="none" w:sz="0" w:space="0" w:color="auto"/>
            <w:bottom w:val="none" w:sz="0" w:space="0" w:color="auto"/>
            <w:right w:val="none" w:sz="0" w:space="0" w:color="auto"/>
          </w:divBdr>
        </w:div>
        <w:div w:id="1428498064">
          <w:marLeft w:val="0"/>
          <w:marRight w:val="0"/>
          <w:marTop w:val="0"/>
          <w:marBottom w:val="0"/>
          <w:divBdr>
            <w:top w:val="none" w:sz="0" w:space="0" w:color="auto"/>
            <w:left w:val="none" w:sz="0" w:space="0" w:color="auto"/>
            <w:bottom w:val="none" w:sz="0" w:space="0" w:color="auto"/>
            <w:right w:val="none" w:sz="0" w:space="0" w:color="auto"/>
          </w:divBdr>
        </w:div>
        <w:div w:id="1503351218">
          <w:marLeft w:val="0"/>
          <w:marRight w:val="0"/>
          <w:marTop w:val="0"/>
          <w:marBottom w:val="0"/>
          <w:divBdr>
            <w:top w:val="none" w:sz="0" w:space="0" w:color="auto"/>
            <w:left w:val="none" w:sz="0" w:space="0" w:color="auto"/>
            <w:bottom w:val="none" w:sz="0" w:space="0" w:color="auto"/>
            <w:right w:val="none" w:sz="0" w:space="0" w:color="auto"/>
          </w:divBdr>
        </w:div>
        <w:div w:id="1647857369">
          <w:marLeft w:val="0"/>
          <w:marRight w:val="0"/>
          <w:marTop w:val="0"/>
          <w:marBottom w:val="0"/>
          <w:divBdr>
            <w:top w:val="none" w:sz="0" w:space="0" w:color="auto"/>
            <w:left w:val="none" w:sz="0" w:space="0" w:color="auto"/>
            <w:bottom w:val="none" w:sz="0" w:space="0" w:color="auto"/>
            <w:right w:val="none" w:sz="0" w:space="0" w:color="auto"/>
          </w:divBdr>
        </w:div>
        <w:div w:id="1658535434">
          <w:marLeft w:val="0"/>
          <w:marRight w:val="0"/>
          <w:marTop w:val="0"/>
          <w:marBottom w:val="0"/>
          <w:divBdr>
            <w:top w:val="none" w:sz="0" w:space="0" w:color="auto"/>
            <w:left w:val="none" w:sz="0" w:space="0" w:color="auto"/>
            <w:bottom w:val="none" w:sz="0" w:space="0" w:color="auto"/>
            <w:right w:val="none" w:sz="0" w:space="0" w:color="auto"/>
          </w:divBdr>
        </w:div>
        <w:div w:id="1716932774">
          <w:marLeft w:val="0"/>
          <w:marRight w:val="0"/>
          <w:marTop w:val="0"/>
          <w:marBottom w:val="0"/>
          <w:divBdr>
            <w:top w:val="none" w:sz="0" w:space="0" w:color="auto"/>
            <w:left w:val="none" w:sz="0" w:space="0" w:color="auto"/>
            <w:bottom w:val="none" w:sz="0" w:space="0" w:color="auto"/>
            <w:right w:val="none" w:sz="0" w:space="0" w:color="auto"/>
          </w:divBdr>
        </w:div>
        <w:div w:id="1782606764">
          <w:marLeft w:val="0"/>
          <w:marRight w:val="0"/>
          <w:marTop w:val="0"/>
          <w:marBottom w:val="0"/>
          <w:divBdr>
            <w:top w:val="none" w:sz="0" w:space="0" w:color="auto"/>
            <w:left w:val="none" w:sz="0" w:space="0" w:color="auto"/>
            <w:bottom w:val="none" w:sz="0" w:space="0" w:color="auto"/>
            <w:right w:val="none" w:sz="0" w:space="0" w:color="auto"/>
          </w:divBdr>
        </w:div>
        <w:div w:id="1853641523">
          <w:marLeft w:val="0"/>
          <w:marRight w:val="0"/>
          <w:marTop w:val="0"/>
          <w:marBottom w:val="0"/>
          <w:divBdr>
            <w:top w:val="none" w:sz="0" w:space="0" w:color="auto"/>
            <w:left w:val="none" w:sz="0" w:space="0" w:color="auto"/>
            <w:bottom w:val="none" w:sz="0" w:space="0" w:color="auto"/>
            <w:right w:val="none" w:sz="0" w:space="0" w:color="auto"/>
          </w:divBdr>
        </w:div>
        <w:div w:id="1899628806">
          <w:marLeft w:val="0"/>
          <w:marRight w:val="0"/>
          <w:marTop w:val="0"/>
          <w:marBottom w:val="0"/>
          <w:divBdr>
            <w:top w:val="none" w:sz="0" w:space="0" w:color="auto"/>
            <w:left w:val="none" w:sz="0" w:space="0" w:color="auto"/>
            <w:bottom w:val="none" w:sz="0" w:space="0" w:color="auto"/>
            <w:right w:val="none" w:sz="0" w:space="0" w:color="auto"/>
          </w:divBdr>
        </w:div>
        <w:div w:id="1918636671">
          <w:marLeft w:val="0"/>
          <w:marRight w:val="0"/>
          <w:marTop w:val="0"/>
          <w:marBottom w:val="0"/>
          <w:divBdr>
            <w:top w:val="none" w:sz="0" w:space="0" w:color="auto"/>
            <w:left w:val="none" w:sz="0" w:space="0" w:color="auto"/>
            <w:bottom w:val="none" w:sz="0" w:space="0" w:color="auto"/>
            <w:right w:val="none" w:sz="0" w:space="0" w:color="auto"/>
          </w:divBdr>
        </w:div>
        <w:div w:id="1922331930">
          <w:marLeft w:val="0"/>
          <w:marRight w:val="0"/>
          <w:marTop w:val="0"/>
          <w:marBottom w:val="0"/>
          <w:divBdr>
            <w:top w:val="none" w:sz="0" w:space="0" w:color="auto"/>
            <w:left w:val="none" w:sz="0" w:space="0" w:color="auto"/>
            <w:bottom w:val="none" w:sz="0" w:space="0" w:color="auto"/>
            <w:right w:val="none" w:sz="0" w:space="0" w:color="auto"/>
          </w:divBdr>
        </w:div>
        <w:div w:id="1927810338">
          <w:marLeft w:val="0"/>
          <w:marRight w:val="0"/>
          <w:marTop w:val="0"/>
          <w:marBottom w:val="0"/>
          <w:divBdr>
            <w:top w:val="none" w:sz="0" w:space="0" w:color="auto"/>
            <w:left w:val="none" w:sz="0" w:space="0" w:color="auto"/>
            <w:bottom w:val="none" w:sz="0" w:space="0" w:color="auto"/>
            <w:right w:val="none" w:sz="0" w:space="0" w:color="auto"/>
          </w:divBdr>
        </w:div>
        <w:div w:id="1988705801">
          <w:marLeft w:val="0"/>
          <w:marRight w:val="0"/>
          <w:marTop w:val="0"/>
          <w:marBottom w:val="0"/>
          <w:divBdr>
            <w:top w:val="none" w:sz="0" w:space="0" w:color="auto"/>
            <w:left w:val="none" w:sz="0" w:space="0" w:color="auto"/>
            <w:bottom w:val="none" w:sz="0" w:space="0" w:color="auto"/>
            <w:right w:val="none" w:sz="0" w:space="0" w:color="auto"/>
          </w:divBdr>
        </w:div>
        <w:div w:id="2000571022">
          <w:marLeft w:val="0"/>
          <w:marRight w:val="0"/>
          <w:marTop w:val="0"/>
          <w:marBottom w:val="0"/>
          <w:divBdr>
            <w:top w:val="none" w:sz="0" w:space="0" w:color="auto"/>
            <w:left w:val="none" w:sz="0" w:space="0" w:color="auto"/>
            <w:bottom w:val="none" w:sz="0" w:space="0" w:color="auto"/>
            <w:right w:val="none" w:sz="0" w:space="0" w:color="auto"/>
          </w:divBdr>
        </w:div>
        <w:div w:id="2068844279">
          <w:marLeft w:val="0"/>
          <w:marRight w:val="0"/>
          <w:marTop w:val="0"/>
          <w:marBottom w:val="0"/>
          <w:divBdr>
            <w:top w:val="none" w:sz="0" w:space="0" w:color="auto"/>
            <w:left w:val="none" w:sz="0" w:space="0" w:color="auto"/>
            <w:bottom w:val="none" w:sz="0" w:space="0" w:color="auto"/>
            <w:right w:val="none" w:sz="0" w:space="0" w:color="auto"/>
          </w:divBdr>
        </w:div>
        <w:div w:id="2085252920">
          <w:marLeft w:val="0"/>
          <w:marRight w:val="0"/>
          <w:marTop w:val="0"/>
          <w:marBottom w:val="0"/>
          <w:divBdr>
            <w:top w:val="none" w:sz="0" w:space="0" w:color="auto"/>
            <w:left w:val="none" w:sz="0" w:space="0" w:color="auto"/>
            <w:bottom w:val="none" w:sz="0" w:space="0" w:color="auto"/>
            <w:right w:val="none" w:sz="0" w:space="0" w:color="auto"/>
          </w:divBdr>
        </w:div>
        <w:div w:id="2119833487">
          <w:marLeft w:val="0"/>
          <w:marRight w:val="0"/>
          <w:marTop w:val="0"/>
          <w:marBottom w:val="0"/>
          <w:divBdr>
            <w:top w:val="none" w:sz="0" w:space="0" w:color="auto"/>
            <w:left w:val="none" w:sz="0" w:space="0" w:color="auto"/>
            <w:bottom w:val="none" w:sz="0" w:space="0" w:color="auto"/>
            <w:right w:val="none" w:sz="0" w:space="0" w:color="auto"/>
          </w:divBdr>
        </w:div>
      </w:divsChild>
    </w:div>
    <w:div w:id="704138678">
      <w:bodyDiv w:val="1"/>
      <w:marLeft w:val="0"/>
      <w:marRight w:val="0"/>
      <w:marTop w:val="0"/>
      <w:marBottom w:val="0"/>
      <w:divBdr>
        <w:top w:val="none" w:sz="0" w:space="0" w:color="auto"/>
        <w:left w:val="none" w:sz="0" w:space="0" w:color="auto"/>
        <w:bottom w:val="none" w:sz="0" w:space="0" w:color="auto"/>
        <w:right w:val="none" w:sz="0" w:space="0" w:color="auto"/>
      </w:divBdr>
    </w:div>
    <w:div w:id="734477260">
      <w:bodyDiv w:val="1"/>
      <w:marLeft w:val="0"/>
      <w:marRight w:val="0"/>
      <w:marTop w:val="0"/>
      <w:marBottom w:val="0"/>
      <w:divBdr>
        <w:top w:val="none" w:sz="0" w:space="0" w:color="auto"/>
        <w:left w:val="none" w:sz="0" w:space="0" w:color="auto"/>
        <w:bottom w:val="none" w:sz="0" w:space="0" w:color="auto"/>
        <w:right w:val="none" w:sz="0" w:space="0" w:color="auto"/>
      </w:divBdr>
    </w:div>
    <w:div w:id="758017505">
      <w:bodyDiv w:val="1"/>
      <w:marLeft w:val="0"/>
      <w:marRight w:val="0"/>
      <w:marTop w:val="0"/>
      <w:marBottom w:val="0"/>
      <w:divBdr>
        <w:top w:val="none" w:sz="0" w:space="0" w:color="auto"/>
        <w:left w:val="none" w:sz="0" w:space="0" w:color="auto"/>
        <w:bottom w:val="none" w:sz="0" w:space="0" w:color="auto"/>
        <w:right w:val="none" w:sz="0" w:space="0" w:color="auto"/>
      </w:divBdr>
    </w:div>
    <w:div w:id="763067361">
      <w:bodyDiv w:val="1"/>
      <w:marLeft w:val="0"/>
      <w:marRight w:val="0"/>
      <w:marTop w:val="0"/>
      <w:marBottom w:val="0"/>
      <w:divBdr>
        <w:top w:val="none" w:sz="0" w:space="0" w:color="auto"/>
        <w:left w:val="none" w:sz="0" w:space="0" w:color="auto"/>
        <w:bottom w:val="none" w:sz="0" w:space="0" w:color="auto"/>
        <w:right w:val="none" w:sz="0" w:space="0" w:color="auto"/>
      </w:divBdr>
      <w:divsChild>
        <w:div w:id="7031339">
          <w:marLeft w:val="0"/>
          <w:marRight w:val="0"/>
          <w:marTop w:val="0"/>
          <w:marBottom w:val="0"/>
          <w:divBdr>
            <w:top w:val="none" w:sz="0" w:space="0" w:color="auto"/>
            <w:left w:val="none" w:sz="0" w:space="0" w:color="auto"/>
            <w:bottom w:val="none" w:sz="0" w:space="0" w:color="auto"/>
            <w:right w:val="none" w:sz="0" w:space="0" w:color="auto"/>
          </w:divBdr>
        </w:div>
        <w:div w:id="60907526">
          <w:marLeft w:val="0"/>
          <w:marRight w:val="0"/>
          <w:marTop w:val="0"/>
          <w:marBottom w:val="0"/>
          <w:divBdr>
            <w:top w:val="none" w:sz="0" w:space="0" w:color="auto"/>
            <w:left w:val="none" w:sz="0" w:space="0" w:color="auto"/>
            <w:bottom w:val="none" w:sz="0" w:space="0" w:color="auto"/>
            <w:right w:val="none" w:sz="0" w:space="0" w:color="auto"/>
          </w:divBdr>
        </w:div>
        <w:div w:id="149102759">
          <w:marLeft w:val="0"/>
          <w:marRight w:val="0"/>
          <w:marTop w:val="0"/>
          <w:marBottom w:val="0"/>
          <w:divBdr>
            <w:top w:val="none" w:sz="0" w:space="0" w:color="auto"/>
            <w:left w:val="none" w:sz="0" w:space="0" w:color="auto"/>
            <w:bottom w:val="none" w:sz="0" w:space="0" w:color="auto"/>
            <w:right w:val="none" w:sz="0" w:space="0" w:color="auto"/>
          </w:divBdr>
        </w:div>
        <w:div w:id="162863275">
          <w:marLeft w:val="0"/>
          <w:marRight w:val="0"/>
          <w:marTop w:val="0"/>
          <w:marBottom w:val="0"/>
          <w:divBdr>
            <w:top w:val="none" w:sz="0" w:space="0" w:color="auto"/>
            <w:left w:val="none" w:sz="0" w:space="0" w:color="auto"/>
            <w:bottom w:val="none" w:sz="0" w:space="0" w:color="auto"/>
            <w:right w:val="none" w:sz="0" w:space="0" w:color="auto"/>
          </w:divBdr>
        </w:div>
        <w:div w:id="182285098">
          <w:marLeft w:val="0"/>
          <w:marRight w:val="0"/>
          <w:marTop w:val="0"/>
          <w:marBottom w:val="0"/>
          <w:divBdr>
            <w:top w:val="none" w:sz="0" w:space="0" w:color="auto"/>
            <w:left w:val="none" w:sz="0" w:space="0" w:color="auto"/>
            <w:bottom w:val="none" w:sz="0" w:space="0" w:color="auto"/>
            <w:right w:val="none" w:sz="0" w:space="0" w:color="auto"/>
          </w:divBdr>
        </w:div>
        <w:div w:id="271013809">
          <w:marLeft w:val="0"/>
          <w:marRight w:val="0"/>
          <w:marTop w:val="0"/>
          <w:marBottom w:val="0"/>
          <w:divBdr>
            <w:top w:val="none" w:sz="0" w:space="0" w:color="auto"/>
            <w:left w:val="none" w:sz="0" w:space="0" w:color="auto"/>
            <w:bottom w:val="none" w:sz="0" w:space="0" w:color="auto"/>
            <w:right w:val="none" w:sz="0" w:space="0" w:color="auto"/>
          </w:divBdr>
        </w:div>
        <w:div w:id="349569439">
          <w:marLeft w:val="0"/>
          <w:marRight w:val="0"/>
          <w:marTop w:val="0"/>
          <w:marBottom w:val="0"/>
          <w:divBdr>
            <w:top w:val="none" w:sz="0" w:space="0" w:color="auto"/>
            <w:left w:val="none" w:sz="0" w:space="0" w:color="auto"/>
            <w:bottom w:val="none" w:sz="0" w:space="0" w:color="auto"/>
            <w:right w:val="none" w:sz="0" w:space="0" w:color="auto"/>
          </w:divBdr>
        </w:div>
        <w:div w:id="373772404">
          <w:marLeft w:val="0"/>
          <w:marRight w:val="0"/>
          <w:marTop w:val="0"/>
          <w:marBottom w:val="0"/>
          <w:divBdr>
            <w:top w:val="none" w:sz="0" w:space="0" w:color="auto"/>
            <w:left w:val="none" w:sz="0" w:space="0" w:color="auto"/>
            <w:bottom w:val="none" w:sz="0" w:space="0" w:color="auto"/>
            <w:right w:val="none" w:sz="0" w:space="0" w:color="auto"/>
          </w:divBdr>
        </w:div>
        <w:div w:id="391975627">
          <w:marLeft w:val="0"/>
          <w:marRight w:val="0"/>
          <w:marTop w:val="0"/>
          <w:marBottom w:val="0"/>
          <w:divBdr>
            <w:top w:val="none" w:sz="0" w:space="0" w:color="auto"/>
            <w:left w:val="none" w:sz="0" w:space="0" w:color="auto"/>
            <w:bottom w:val="none" w:sz="0" w:space="0" w:color="auto"/>
            <w:right w:val="none" w:sz="0" w:space="0" w:color="auto"/>
          </w:divBdr>
        </w:div>
        <w:div w:id="416757292">
          <w:marLeft w:val="0"/>
          <w:marRight w:val="0"/>
          <w:marTop w:val="0"/>
          <w:marBottom w:val="0"/>
          <w:divBdr>
            <w:top w:val="none" w:sz="0" w:space="0" w:color="auto"/>
            <w:left w:val="none" w:sz="0" w:space="0" w:color="auto"/>
            <w:bottom w:val="none" w:sz="0" w:space="0" w:color="auto"/>
            <w:right w:val="none" w:sz="0" w:space="0" w:color="auto"/>
          </w:divBdr>
        </w:div>
        <w:div w:id="479658687">
          <w:marLeft w:val="0"/>
          <w:marRight w:val="0"/>
          <w:marTop w:val="0"/>
          <w:marBottom w:val="0"/>
          <w:divBdr>
            <w:top w:val="none" w:sz="0" w:space="0" w:color="auto"/>
            <w:left w:val="none" w:sz="0" w:space="0" w:color="auto"/>
            <w:bottom w:val="none" w:sz="0" w:space="0" w:color="auto"/>
            <w:right w:val="none" w:sz="0" w:space="0" w:color="auto"/>
          </w:divBdr>
        </w:div>
        <w:div w:id="534462874">
          <w:marLeft w:val="0"/>
          <w:marRight w:val="0"/>
          <w:marTop w:val="0"/>
          <w:marBottom w:val="0"/>
          <w:divBdr>
            <w:top w:val="none" w:sz="0" w:space="0" w:color="auto"/>
            <w:left w:val="none" w:sz="0" w:space="0" w:color="auto"/>
            <w:bottom w:val="none" w:sz="0" w:space="0" w:color="auto"/>
            <w:right w:val="none" w:sz="0" w:space="0" w:color="auto"/>
          </w:divBdr>
        </w:div>
        <w:div w:id="537208699">
          <w:marLeft w:val="0"/>
          <w:marRight w:val="0"/>
          <w:marTop w:val="0"/>
          <w:marBottom w:val="0"/>
          <w:divBdr>
            <w:top w:val="none" w:sz="0" w:space="0" w:color="auto"/>
            <w:left w:val="none" w:sz="0" w:space="0" w:color="auto"/>
            <w:bottom w:val="none" w:sz="0" w:space="0" w:color="auto"/>
            <w:right w:val="none" w:sz="0" w:space="0" w:color="auto"/>
          </w:divBdr>
        </w:div>
        <w:div w:id="587156270">
          <w:marLeft w:val="0"/>
          <w:marRight w:val="0"/>
          <w:marTop w:val="0"/>
          <w:marBottom w:val="0"/>
          <w:divBdr>
            <w:top w:val="none" w:sz="0" w:space="0" w:color="auto"/>
            <w:left w:val="none" w:sz="0" w:space="0" w:color="auto"/>
            <w:bottom w:val="none" w:sz="0" w:space="0" w:color="auto"/>
            <w:right w:val="none" w:sz="0" w:space="0" w:color="auto"/>
          </w:divBdr>
        </w:div>
        <w:div w:id="632633593">
          <w:marLeft w:val="0"/>
          <w:marRight w:val="0"/>
          <w:marTop w:val="0"/>
          <w:marBottom w:val="0"/>
          <w:divBdr>
            <w:top w:val="none" w:sz="0" w:space="0" w:color="auto"/>
            <w:left w:val="none" w:sz="0" w:space="0" w:color="auto"/>
            <w:bottom w:val="none" w:sz="0" w:space="0" w:color="auto"/>
            <w:right w:val="none" w:sz="0" w:space="0" w:color="auto"/>
          </w:divBdr>
        </w:div>
        <w:div w:id="650183136">
          <w:marLeft w:val="0"/>
          <w:marRight w:val="0"/>
          <w:marTop w:val="0"/>
          <w:marBottom w:val="0"/>
          <w:divBdr>
            <w:top w:val="none" w:sz="0" w:space="0" w:color="auto"/>
            <w:left w:val="none" w:sz="0" w:space="0" w:color="auto"/>
            <w:bottom w:val="none" w:sz="0" w:space="0" w:color="auto"/>
            <w:right w:val="none" w:sz="0" w:space="0" w:color="auto"/>
          </w:divBdr>
        </w:div>
        <w:div w:id="687677085">
          <w:marLeft w:val="0"/>
          <w:marRight w:val="0"/>
          <w:marTop w:val="0"/>
          <w:marBottom w:val="0"/>
          <w:divBdr>
            <w:top w:val="none" w:sz="0" w:space="0" w:color="auto"/>
            <w:left w:val="none" w:sz="0" w:space="0" w:color="auto"/>
            <w:bottom w:val="none" w:sz="0" w:space="0" w:color="auto"/>
            <w:right w:val="none" w:sz="0" w:space="0" w:color="auto"/>
          </w:divBdr>
        </w:div>
        <w:div w:id="800659212">
          <w:marLeft w:val="0"/>
          <w:marRight w:val="0"/>
          <w:marTop w:val="0"/>
          <w:marBottom w:val="0"/>
          <w:divBdr>
            <w:top w:val="none" w:sz="0" w:space="0" w:color="auto"/>
            <w:left w:val="none" w:sz="0" w:space="0" w:color="auto"/>
            <w:bottom w:val="none" w:sz="0" w:space="0" w:color="auto"/>
            <w:right w:val="none" w:sz="0" w:space="0" w:color="auto"/>
          </w:divBdr>
        </w:div>
        <w:div w:id="817965619">
          <w:marLeft w:val="0"/>
          <w:marRight w:val="0"/>
          <w:marTop w:val="0"/>
          <w:marBottom w:val="0"/>
          <w:divBdr>
            <w:top w:val="none" w:sz="0" w:space="0" w:color="auto"/>
            <w:left w:val="none" w:sz="0" w:space="0" w:color="auto"/>
            <w:bottom w:val="none" w:sz="0" w:space="0" w:color="auto"/>
            <w:right w:val="none" w:sz="0" w:space="0" w:color="auto"/>
          </w:divBdr>
        </w:div>
        <w:div w:id="874924443">
          <w:marLeft w:val="0"/>
          <w:marRight w:val="0"/>
          <w:marTop w:val="0"/>
          <w:marBottom w:val="0"/>
          <w:divBdr>
            <w:top w:val="none" w:sz="0" w:space="0" w:color="auto"/>
            <w:left w:val="none" w:sz="0" w:space="0" w:color="auto"/>
            <w:bottom w:val="none" w:sz="0" w:space="0" w:color="auto"/>
            <w:right w:val="none" w:sz="0" w:space="0" w:color="auto"/>
          </w:divBdr>
        </w:div>
        <w:div w:id="916285093">
          <w:marLeft w:val="0"/>
          <w:marRight w:val="0"/>
          <w:marTop w:val="0"/>
          <w:marBottom w:val="0"/>
          <w:divBdr>
            <w:top w:val="none" w:sz="0" w:space="0" w:color="auto"/>
            <w:left w:val="none" w:sz="0" w:space="0" w:color="auto"/>
            <w:bottom w:val="none" w:sz="0" w:space="0" w:color="auto"/>
            <w:right w:val="none" w:sz="0" w:space="0" w:color="auto"/>
          </w:divBdr>
        </w:div>
        <w:div w:id="947659150">
          <w:marLeft w:val="0"/>
          <w:marRight w:val="0"/>
          <w:marTop w:val="0"/>
          <w:marBottom w:val="0"/>
          <w:divBdr>
            <w:top w:val="none" w:sz="0" w:space="0" w:color="auto"/>
            <w:left w:val="none" w:sz="0" w:space="0" w:color="auto"/>
            <w:bottom w:val="none" w:sz="0" w:space="0" w:color="auto"/>
            <w:right w:val="none" w:sz="0" w:space="0" w:color="auto"/>
          </w:divBdr>
        </w:div>
        <w:div w:id="967128037">
          <w:marLeft w:val="0"/>
          <w:marRight w:val="0"/>
          <w:marTop w:val="0"/>
          <w:marBottom w:val="0"/>
          <w:divBdr>
            <w:top w:val="none" w:sz="0" w:space="0" w:color="auto"/>
            <w:left w:val="none" w:sz="0" w:space="0" w:color="auto"/>
            <w:bottom w:val="none" w:sz="0" w:space="0" w:color="auto"/>
            <w:right w:val="none" w:sz="0" w:space="0" w:color="auto"/>
          </w:divBdr>
        </w:div>
        <w:div w:id="1050878619">
          <w:marLeft w:val="0"/>
          <w:marRight w:val="0"/>
          <w:marTop w:val="0"/>
          <w:marBottom w:val="0"/>
          <w:divBdr>
            <w:top w:val="none" w:sz="0" w:space="0" w:color="auto"/>
            <w:left w:val="none" w:sz="0" w:space="0" w:color="auto"/>
            <w:bottom w:val="none" w:sz="0" w:space="0" w:color="auto"/>
            <w:right w:val="none" w:sz="0" w:space="0" w:color="auto"/>
          </w:divBdr>
        </w:div>
        <w:div w:id="1098868293">
          <w:marLeft w:val="0"/>
          <w:marRight w:val="0"/>
          <w:marTop w:val="0"/>
          <w:marBottom w:val="0"/>
          <w:divBdr>
            <w:top w:val="none" w:sz="0" w:space="0" w:color="auto"/>
            <w:left w:val="none" w:sz="0" w:space="0" w:color="auto"/>
            <w:bottom w:val="none" w:sz="0" w:space="0" w:color="auto"/>
            <w:right w:val="none" w:sz="0" w:space="0" w:color="auto"/>
          </w:divBdr>
        </w:div>
        <w:div w:id="1137574291">
          <w:marLeft w:val="0"/>
          <w:marRight w:val="0"/>
          <w:marTop w:val="0"/>
          <w:marBottom w:val="0"/>
          <w:divBdr>
            <w:top w:val="none" w:sz="0" w:space="0" w:color="auto"/>
            <w:left w:val="none" w:sz="0" w:space="0" w:color="auto"/>
            <w:bottom w:val="none" w:sz="0" w:space="0" w:color="auto"/>
            <w:right w:val="none" w:sz="0" w:space="0" w:color="auto"/>
          </w:divBdr>
        </w:div>
        <w:div w:id="1175848041">
          <w:marLeft w:val="0"/>
          <w:marRight w:val="0"/>
          <w:marTop w:val="0"/>
          <w:marBottom w:val="0"/>
          <w:divBdr>
            <w:top w:val="none" w:sz="0" w:space="0" w:color="auto"/>
            <w:left w:val="none" w:sz="0" w:space="0" w:color="auto"/>
            <w:bottom w:val="none" w:sz="0" w:space="0" w:color="auto"/>
            <w:right w:val="none" w:sz="0" w:space="0" w:color="auto"/>
          </w:divBdr>
        </w:div>
        <w:div w:id="1186553552">
          <w:marLeft w:val="0"/>
          <w:marRight w:val="0"/>
          <w:marTop w:val="0"/>
          <w:marBottom w:val="0"/>
          <w:divBdr>
            <w:top w:val="none" w:sz="0" w:space="0" w:color="auto"/>
            <w:left w:val="none" w:sz="0" w:space="0" w:color="auto"/>
            <w:bottom w:val="none" w:sz="0" w:space="0" w:color="auto"/>
            <w:right w:val="none" w:sz="0" w:space="0" w:color="auto"/>
          </w:divBdr>
        </w:div>
        <w:div w:id="1284075491">
          <w:marLeft w:val="0"/>
          <w:marRight w:val="0"/>
          <w:marTop w:val="0"/>
          <w:marBottom w:val="0"/>
          <w:divBdr>
            <w:top w:val="none" w:sz="0" w:space="0" w:color="auto"/>
            <w:left w:val="none" w:sz="0" w:space="0" w:color="auto"/>
            <w:bottom w:val="none" w:sz="0" w:space="0" w:color="auto"/>
            <w:right w:val="none" w:sz="0" w:space="0" w:color="auto"/>
          </w:divBdr>
        </w:div>
        <w:div w:id="1376193294">
          <w:marLeft w:val="0"/>
          <w:marRight w:val="0"/>
          <w:marTop w:val="0"/>
          <w:marBottom w:val="0"/>
          <w:divBdr>
            <w:top w:val="none" w:sz="0" w:space="0" w:color="auto"/>
            <w:left w:val="none" w:sz="0" w:space="0" w:color="auto"/>
            <w:bottom w:val="none" w:sz="0" w:space="0" w:color="auto"/>
            <w:right w:val="none" w:sz="0" w:space="0" w:color="auto"/>
          </w:divBdr>
        </w:div>
        <w:div w:id="1444812480">
          <w:marLeft w:val="0"/>
          <w:marRight w:val="0"/>
          <w:marTop w:val="0"/>
          <w:marBottom w:val="0"/>
          <w:divBdr>
            <w:top w:val="none" w:sz="0" w:space="0" w:color="auto"/>
            <w:left w:val="none" w:sz="0" w:space="0" w:color="auto"/>
            <w:bottom w:val="none" w:sz="0" w:space="0" w:color="auto"/>
            <w:right w:val="none" w:sz="0" w:space="0" w:color="auto"/>
          </w:divBdr>
        </w:div>
        <w:div w:id="1450783992">
          <w:marLeft w:val="0"/>
          <w:marRight w:val="0"/>
          <w:marTop w:val="0"/>
          <w:marBottom w:val="0"/>
          <w:divBdr>
            <w:top w:val="none" w:sz="0" w:space="0" w:color="auto"/>
            <w:left w:val="none" w:sz="0" w:space="0" w:color="auto"/>
            <w:bottom w:val="none" w:sz="0" w:space="0" w:color="auto"/>
            <w:right w:val="none" w:sz="0" w:space="0" w:color="auto"/>
          </w:divBdr>
        </w:div>
        <w:div w:id="1465078483">
          <w:marLeft w:val="0"/>
          <w:marRight w:val="0"/>
          <w:marTop w:val="0"/>
          <w:marBottom w:val="0"/>
          <w:divBdr>
            <w:top w:val="none" w:sz="0" w:space="0" w:color="auto"/>
            <w:left w:val="none" w:sz="0" w:space="0" w:color="auto"/>
            <w:bottom w:val="none" w:sz="0" w:space="0" w:color="auto"/>
            <w:right w:val="none" w:sz="0" w:space="0" w:color="auto"/>
          </w:divBdr>
        </w:div>
        <w:div w:id="1521161760">
          <w:marLeft w:val="0"/>
          <w:marRight w:val="0"/>
          <w:marTop w:val="0"/>
          <w:marBottom w:val="0"/>
          <w:divBdr>
            <w:top w:val="none" w:sz="0" w:space="0" w:color="auto"/>
            <w:left w:val="none" w:sz="0" w:space="0" w:color="auto"/>
            <w:bottom w:val="none" w:sz="0" w:space="0" w:color="auto"/>
            <w:right w:val="none" w:sz="0" w:space="0" w:color="auto"/>
          </w:divBdr>
        </w:div>
        <w:div w:id="1569414459">
          <w:marLeft w:val="0"/>
          <w:marRight w:val="0"/>
          <w:marTop w:val="0"/>
          <w:marBottom w:val="0"/>
          <w:divBdr>
            <w:top w:val="none" w:sz="0" w:space="0" w:color="auto"/>
            <w:left w:val="none" w:sz="0" w:space="0" w:color="auto"/>
            <w:bottom w:val="none" w:sz="0" w:space="0" w:color="auto"/>
            <w:right w:val="none" w:sz="0" w:space="0" w:color="auto"/>
          </w:divBdr>
        </w:div>
        <w:div w:id="1615285326">
          <w:marLeft w:val="0"/>
          <w:marRight w:val="0"/>
          <w:marTop w:val="0"/>
          <w:marBottom w:val="0"/>
          <w:divBdr>
            <w:top w:val="none" w:sz="0" w:space="0" w:color="auto"/>
            <w:left w:val="none" w:sz="0" w:space="0" w:color="auto"/>
            <w:bottom w:val="none" w:sz="0" w:space="0" w:color="auto"/>
            <w:right w:val="none" w:sz="0" w:space="0" w:color="auto"/>
          </w:divBdr>
        </w:div>
        <w:div w:id="1635408821">
          <w:marLeft w:val="0"/>
          <w:marRight w:val="0"/>
          <w:marTop w:val="0"/>
          <w:marBottom w:val="0"/>
          <w:divBdr>
            <w:top w:val="none" w:sz="0" w:space="0" w:color="auto"/>
            <w:left w:val="none" w:sz="0" w:space="0" w:color="auto"/>
            <w:bottom w:val="none" w:sz="0" w:space="0" w:color="auto"/>
            <w:right w:val="none" w:sz="0" w:space="0" w:color="auto"/>
          </w:divBdr>
        </w:div>
        <w:div w:id="1663240773">
          <w:marLeft w:val="0"/>
          <w:marRight w:val="0"/>
          <w:marTop w:val="0"/>
          <w:marBottom w:val="0"/>
          <w:divBdr>
            <w:top w:val="none" w:sz="0" w:space="0" w:color="auto"/>
            <w:left w:val="none" w:sz="0" w:space="0" w:color="auto"/>
            <w:bottom w:val="none" w:sz="0" w:space="0" w:color="auto"/>
            <w:right w:val="none" w:sz="0" w:space="0" w:color="auto"/>
          </w:divBdr>
        </w:div>
        <w:div w:id="1686789763">
          <w:marLeft w:val="0"/>
          <w:marRight w:val="0"/>
          <w:marTop w:val="0"/>
          <w:marBottom w:val="0"/>
          <w:divBdr>
            <w:top w:val="none" w:sz="0" w:space="0" w:color="auto"/>
            <w:left w:val="none" w:sz="0" w:space="0" w:color="auto"/>
            <w:bottom w:val="none" w:sz="0" w:space="0" w:color="auto"/>
            <w:right w:val="none" w:sz="0" w:space="0" w:color="auto"/>
          </w:divBdr>
        </w:div>
        <w:div w:id="1773209714">
          <w:marLeft w:val="0"/>
          <w:marRight w:val="0"/>
          <w:marTop w:val="0"/>
          <w:marBottom w:val="0"/>
          <w:divBdr>
            <w:top w:val="none" w:sz="0" w:space="0" w:color="auto"/>
            <w:left w:val="none" w:sz="0" w:space="0" w:color="auto"/>
            <w:bottom w:val="none" w:sz="0" w:space="0" w:color="auto"/>
            <w:right w:val="none" w:sz="0" w:space="0" w:color="auto"/>
          </w:divBdr>
        </w:div>
        <w:div w:id="1819347271">
          <w:marLeft w:val="0"/>
          <w:marRight w:val="0"/>
          <w:marTop w:val="0"/>
          <w:marBottom w:val="0"/>
          <w:divBdr>
            <w:top w:val="none" w:sz="0" w:space="0" w:color="auto"/>
            <w:left w:val="none" w:sz="0" w:space="0" w:color="auto"/>
            <w:bottom w:val="none" w:sz="0" w:space="0" w:color="auto"/>
            <w:right w:val="none" w:sz="0" w:space="0" w:color="auto"/>
          </w:divBdr>
        </w:div>
        <w:div w:id="1900558303">
          <w:marLeft w:val="0"/>
          <w:marRight w:val="0"/>
          <w:marTop w:val="0"/>
          <w:marBottom w:val="0"/>
          <w:divBdr>
            <w:top w:val="none" w:sz="0" w:space="0" w:color="auto"/>
            <w:left w:val="none" w:sz="0" w:space="0" w:color="auto"/>
            <w:bottom w:val="none" w:sz="0" w:space="0" w:color="auto"/>
            <w:right w:val="none" w:sz="0" w:space="0" w:color="auto"/>
          </w:divBdr>
        </w:div>
        <w:div w:id="1912353607">
          <w:marLeft w:val="0"/>
          <w:marRight w:val="0"/>
          <w:marTop w:val="0"/>
          <w:marBottom w:val="0"/>
          <w:divBdr>
            <w:top w:val="none" w:sz="0" w:space="0" w:color="auto"/>
            <w:left w:val="none" w:sz="0" w:space="0" w:color="auto"/>
            <w:bottom w:val="none" w:sz="0" w:space="0" w:color="auto"/>
            <w:right w:val="none" w:sz="0" w:space="0" w:color="auto"/>
          </w:divBdr>
        </w:div>
        <w:div w:id="1913393396">
          <w:marLeft w:val="0"/>
          <w:marRight w:val="0"/>
          <w:marTop w:val="0"/>
          <w:marBottom w:val="0"/>
          <w:divBdr>
            <w:top w:val="none" w:sz="0" w:space="0" w:color="auto"/>
            <w:left w:val="none" w:sz="0" w:space="0" w:color="auto"/>
            <w:bottom w:val="none" w:sz="0" w:space="0" w:color="auto"/>
            <w:right w:val="none" w:sz="0" w:space="0" w:color="auto"/>
          </w:divBdr>
        </w:div>
        <w:div w:id="1977448961">
          <w:marLeft w:val="0"/>
          <w:marRight w:val="0"/>
          <w:marTop w:val="0"/>
          <w:marBottom w:val="0"/>
          <w:divBdr>
            <w:top w:val="none" w:sz="0" w:space="0" w:color="auto"/>
            <w:left w:val="none" w:sz="0" w:space="0" w:color="auto"/>
            <w:bottom w:val="none" w:sz="0" w:space="0" w:color="auto"/>
            <w:right w:val="none" w:sz="0" w:space="0" w:color="auto"/>
          </w:divBdr>
        </w:div>
        <w:div w:id="2021852374">
          <w:marLeft w:val="0"/>
          <w:marRight w:val="0"/>
          <w:marTop w:val="0"/>
          <w:marBottom w:val="0"/>
          <w:divBdr>
            <w:top w:val="none" w:sz="0" w:space="0" w:color="auto"/>
            <w:left w:val="none" w:sz="0" w:space="0" w:color="auto"/>
            <w:bottom w:val="none" w:sz="0" w:space="0" w:color="auto"/>
            <w:right w:val="none" w:sz="0" w:space="0" w:color="auto"/>
          </w:divBdr>
        </w:div>
        <w:div w:id="2028829902">
          <w:marLeft w:val="0"/>
          <w:marRight w:val="0"/>
          <w:marTop w:val="0"/>
          <w:marBottom w:val="0"/>
          <w:divBdr>
            <w:top w:val="none" w:sz="0" w:space="0" w:color="auto"/>
            <w:left w:val="none" w:sz="0" w:space="0" w:color="auto"/>
            <w:bottom w:val="none" w:sz="0" w:space="0" w:color="auto"/>
            <w:right w:val="none" w:sz="0" w:space="0" w:color="auto"/>
          </w:divBdr>
        </w:div>
        <w:div w:id="2035374979">
          <w:marLeft w:val="0"/>
          <w:marRight w:val="0"/>
          <w:marTop w:val="0"/>
          <w:marBottom w:val="0"/>
          <w:divBdr>
            <w:top w:val="none" w:sz="0" w:space="0" w:color="auto"/>
            <w:left w:val="none" w:sz="0" w:space="0" w:color="auto"/>
            <w:bottom w:val="none" w:sz="0" w:space="0" w:color="auto"/>
            <w:right w:val="none" w:sz="0" w:space="0" w:color="auto"/>
          </w:divBdr>
        </w:div>
        <w:div w:id="2055695443">
          <w:marLeft w:val="0"/>
          <w:marRight w:val="0"/>
          <w:marTop w:val="0"/>
          <w:marBottom w:val="0"/>
          <w:divBdr>
            <w:top w:val="none" w:sz="0" w:space="0" w:color="auto"/>
            <w:left w:val="none" w:sz="0" w:space="0" w:color="auto"/>
            <w:bottom w:val="none" w:sz="0" w:space="0" w:color="auto"/>
            <w:right w:val="none" w:sz="0" w:space="0" w:color="auto"/>
          </w:divBdr>
        </w:div>
        <w:div w:id="2055962203">
          <w:marLeft w:val="0"/>
          <w:marRight w:val="0"/>
          <w:marTop w:val="0"/>
          <w:marBottom w:val="0"/>
          <w:divBdr>
            <w:top w:val="none" w:sz="0" w:space="0" w:color="auto"/>
            <w:left w:val="none" w:sz="0" w:space="0" w:color="auto"/>
            <w:bottom w:val="none" w:sz="0" w:space="0" w:color="auto"/>
            <w:right w:val="none" w:sz="0" w:space="0" w:color="auto"/>
          </w:divBdr>
        </w:div>
        <w:div w:id="2062241444">
          <w:marLeft w:val="0"/>
          <w:marRight w:val="0"/>
          <w:marTop w:val="0"/>
          <w:marBottom w:val="0"/>
          <w:divBdr>
            <w:top w:val="none" w:sz="0" w:space="0" w:color="auto"/>
            <w:left w:val="none" w:sz="0" w:space="0" w:color="auto"/>
            <w:bottom w:val="none" w:sz="0" w:space="0" w:color="auto"/>
            <w:right w:val="none" w:sz="0" w:space="0" w:color="auto"/>
          </w:divBdr>
        </w:div>
        <w:div w:id="2066488693">
          <w:marLeft w:val="0"/>
          <w:marRight w:val="0"/>
          <w:marTop w:val="0"/>
          <w:marBottom w:val="0"/>
          <w:divBdr>
            <w:top w:val="none" w:sz="0" w:space="0" w:color="auto"/>
            <w:left w:val="none" w:sz="0" w:space="0" w:color="auto"/>
            <w:bottom w:val="none" w:sz="0" w:space="0" w:color="auto"/>
            <w:right w:val="none" w:sz="0" w:space="0" w:color="auto"/>
          </w:divBdr>
        </w:div>
        <w:div w:id="2136172913">
          <w:marLeft w:val="0"/>
          <w:marRight w:val="0"/>
          <w:marTop w:val="0"/>
          <w:marBottom w:val="0"/>
          <w:divBdr>
            <w:top w:val="none" w:sz="0" w:space="0" w:color="auto"/>
            <w:left w:val="none" w:sz="0" w:space="0" w:color="auto"/>
            <w:bottom w:val="none" w:sz="0" w:space="0" w:color="auto"/>
            <w:right w:val="none" w:sz="0" w:space="0" w:color="auto"/>
          </w:divBdr>
        </w:div>
      </w:divsChild>
    </w:div>
    <w:div w:id="770734578">
      <w:bodyDiv w:val="1"/>
      <w:marLeft w:val="0"/>
      <w:marRight w:val="0"/>
      <w:marTop w:val="0"/>
      <w:marBottom w:val="0"/>
      <w:divBdr>
        <w:top w:val="none" w:sz="0" w:space="0" w:color="auto"/>
        <w:left w:val="none" w:sz="0" w:space="0" w:color="auto"/>
        <w:bottom w:val="none" w:sz="0" w:space="0" w:color="auto"/>
        <w:right w:val="none" w:sz="0" w:space="0" w:color="auto"/>
      </w:divBdr>
    </w:div>
    <w:div w:id="815873277">
      <w:bodyDiv w:val="1"/>
      <w:marLeft w:val="0"/>
      <w:marRight w:val="0"/>
      <w:marTop w:val="0"/>
      <w:marBottom w:val="0"/>
      <w:divBdr>
        <w:top w:val="none" w:sz="0" w:space="0" w:color="auto"/>
        <w:left w:val="none" w:sz="0" w:space="0" w:color="auto"/>
        <w:bottom w:val="none" w:sz="0" w:space="0" w:color="auto"/>
        <w:right w:val="none" w:sz="0" w:space="0" w:color="auto"/>
      </w:divBdr>
    </w:div>
    <w:div w:id="826016091">
      <w:bodyDiv w:val="1"/>
      <w:marLeft w:val="0"/>
      <w:marRight w:val="0"/>
      <w:marTop w:val="0"/>
      <w:marBottom w:val="0"/>
      <w:divBdr>
        <w:top w:val="none" w:sz="0" w:space="0" w:color="auto"/>
        <w:left w:val="none" w:sz="0" w:space="0" w:color="auto"/>
        <w:bottom w:val="none" w:sz="0" w:space="0" w:color="auto"/>
        <w:right w:val="none" w:sz="0" w:space="0" w:color="auto"/>
      </w:divBdr>
    </w:div>
    <w:div w:id="935790291">
      <w:bodyDiv w:val="1"/>
      <w:marLeft w:val="0"/>
      <w:marRight w:val="0"/>
      <w:marTop w:val="0"/>
      <w:marBottom w:val="0"/>
      <w:divBdr>
        <w:top w:val="none" w:sz="0" w:space="0" w:color="auto"/>
        <w:left w:val="none" w:sz="0" w:space="0" w:color="auto"/>
        <w:bottom w:val="none" w:sz="0" w:space="0" w:color="auto"/>
        <w:right w:val="none" w:sz="0" w:space="0" w:color="auto"/>
      </w:divBdr>
    </w:div>
    <w:div w:id="994606437">
      <w:bodyDiv w:val="1"/>
      <w:marLeft w:val="0"/>
      <w:marRight w:val="0"/>
      <w:marTop w:val="0"/>
      <w:marBottom w:val="0"/>
      <w:divBdr>
        <w:top w:val="none" w:sz="0" w:space="0" w:color="auto"/>
        <w:left w:val="none" w:sz="0" w:space="0" w:color="auto"/>
        <w:bottom w:val="none" w:sz="0" w:space="0" w:color="auto"/>
        <w:right w:val="none" w:sz="0" w:space="0" w:color="auto"/>
      </w:divBdr>
      <w:divsChild>
        <w:div w:id="24448306">
          <w:marLeft w:val="0"/>
          <w:marRight w:val="0"/>
          <w:marTop w:val="0"/>
          <w:marBottom w:val="0"/>
          <w:divBdr>
            <w:top w:val="none" w:sz="0" w:space="0" w:color="auto"/>
            <w:left w:val="none" w:sz="0" w:space="0" w:color="auto"/>
            <w:bottom w:val="none" w:sz="0" w:space="0" w:color="auto"/>
            <w:right w:val="none" w:sz="0" w:space="0" w:color="auto"/>
          </w:divBdr>
        </w:div>
      </w:divsChild>
    </w:div>
    <w:div w:id="1008756766">
      <w:bodyDiv w:val="1"/>
      <w:marLeft w:val="0"/>
      <w:marRight w:val="0"/>
      <w:marTop w:val="0"/>
      <w:marBottom w:val="0"/>
      <w:divBdr>
        <w:top w:val="none" w:sz="0" w:space="0" w:color="auto"/>
        <w:left w:val="none" w:sz="0" w:space="0" w:color="auto"/>
        <w:bottom w:val="none" w:sz="0" w:space="0" w:color="auto"/>
        <w:right w:val="none" w:sz="0" w:space="0" w:color="auto"/>
      </w:divBdr>
    </w:div>
    <w:div w:id="1045713600">
      <w:bodyDiv w:val="1"/>
      <w:marLeft w:val="0"/>
      <w:marRight w:val="0"/>
      <w:marTop w:val="0"/>
      <w:marBottom w:val="0"/>
      <w:divBdr>
        <w:top w:val="none" w:sz="0" w:space="0" w:color="auto"/>
        <w:left w:val="none" w:sz="0" w:space="0" w:color="auto"/>
        <w:bottom w:val="none" w:sz="0" w:space="0" w:color="auto"/>
        <w:right w:val="none" w:sz="0" w:space="0" w:color="auto"/>
      </w:divBdr>
      <w:divsChild>
        <w:div w:id="833835332">
          <w:marLeft w:val="0"/>
          <w:marRight w:val="0"/>
          <w:marTop w:val="0"/>
          <w:marBottom w:val="0"/>
          <w:divBdr>
            <w:top w:val="none" w:sz="0" w:space="0" w:color="auto"/>
            <w:left w:val="none" w:sz="0" w:space="0" w:color="auto"/>
            <w:bottom w:val="none" w:sz="0" w:space="0" w:color="auto"/>
            <w:right w:val="none" w:sz="0" w:space="0" w:color="auto"/>
          </w:divBdr>
        </w:div>
      </w:divsChild>
    </w:div>
    <w:div w:id="1140731119">
      <w:bodyDiv w:val="1"/>
      <w:marLeft w:val="0"/>
      <w:marRight w:val="0"/>
      <w:marTop w:val="0"/>
      <w:marBottom w:val="0"/>
      <w:divBdr>
        <w:top w:val="none" w:sz="0" w:space="0" w:color="auto"/>
        <w:left w:val="none" w:sz="0" w:space="0" w:color="auto"/>
        <w:bottom w:val="none" w:sz="0" w:space="0" w:color="auto"/>
        <w:right w:val="none" w:sz="0" w:space="0" w:color="auto"/>
      </w:divBdr>
    </w:div>
    <w:div w:id="1170948969">
      <w:bodyDiv w:val="1"/>
      <w:marLeft w:val="0"/>
      <w:marRight w:val="0"/>
      <w:marTop w:val="0"/>
      <w:marBottom w:val="0"/>
      <w:divBdr>
        <w:top w:val="none" w:sz="0" w:space="0" w:color="auto"/>
        <w:left w:val="none" w:sz="0" w:space="0" w:color="auto"/>
        <w:bottom w:val="none" w:sz="0" w:space="0" w:color="auto"/>
        <w:right w:val="none" w:sz="0" w:space="0" w:color="auto"/>
      </w:divBdr>
    </w:div>
    <w:div w:id="1181243030">
      <w:bodyDiv w:val="1"/>
      <w:marLeft w:val="0"/>
      <w:marRight w:val="0"/>
      <w:marTop w:val="0"/>
      <w:marBottom w:val="0"/>
      <w:divBdr>
        <w:top w:val="none" w:sz="0" w:space="0" w:color="auto"/>
        <w:left w:val="none" w:sz="0" w:space="0" w:color="auto"/>
        <w:bottom w:val="none" w:sz="0" w:space="0" w:color="auto"/>
        <w:right w:val="none" w:sz="0" w:space="0" w:color="auto"/>
      </w:divBdr>
    </w:div>
    <w:div w:id="1198544968">
      <w:bodyDiv w:val="1"/>
      <w:marLeft w:val="0"/>
      <w:marRight w:val="0"/>
      <w:marTop w:val="0"/>
      <w:marBottom w:val="0"/>
      <w:divBdr>
        <w:top w:val="none" w:sz="0" w:space="0" w:color="auto"/>
        <w:left w:val="none" w:sz="0" w:space="0" w:color="auto"/>
        <w:bottom w:val="none" w:sz="0" w:space="0" w:color="auto"/>
        <w:right w:val="none" w:sz="0" w:space="0" w:color="auto"/>
      </w:divBdr>
    </w:div>
    <w:div w:id="1214080316">
      <w:bodyDiv w:val="1"/>
      <w:marLeft w:val="0"/>
      <w:marRight w:val="0"/>
      <w:marTop w:val="0"/>
      <w:marBottom w:val="0"/>
      <w:divBdr>
        <w:top w:val="none" w:sz="0" w:space="0" w:color="auto"/>
        <w:left w:val="none" w:sz="0" w:space="0" w:color="auto"/>
        <w:bottom w:val="none" w:sz="0" w:space="0" w:color="auto"/>
        <w:right w:val="none" w:sz="0" w:space="0" w:color="auto"/>
      </w:divBdr>
      <w:divsChild>
        <w:div w:id="775095665">
          <w:marLeft w:val="0"/>
          <w:marRight w:val="0"/>
          <w:marTop w:val="0"/>
          <w:marBottom w:val="0"/>
          <w:divBdr>
            <w:top w:val="none" w:sz="0" w:space="0" w:color="auto"/>
            <w:left w:val="none" w:sz="0" w:space="0" w:color="auto"/>
            <w:bottom w:val="none" w:sz="0" w:space="0" w:color="auto"/>
            <w:right w:val="none" w:sz="0" w:space="0" w:color="auto"/>
          </w:divBdr>
        </w:div>
      </w:divsChild>
    </w:div>
    <w:div w:id="1240627951">
      <w:bodyDiv w:val="1"/>
      <w:marLeft w:val="0"/>
      <w:marRight w:val="0"/>
      <w:marTop w:val="0"/>
      <w:marBottom w:val="0"/>
      <w:divBdr>
        <w:top w:val="none" w:sz="0" w:space="0" w:color="auto"/>
        <w:left w:val="none" w:sz="0" w:space="0" w:color="auto"/>
        <w:bottom w:val="none" w:sz="0" w:space="0" w:color="auto"/>
        <w:right w:val="none" w:sz="0" w:space="0" w:color="auto"/>
      </w:divBdr>
    </w:div>
    <w:div w:id="1353265126">
      <w:bodyDiv w:val="1"/>
      <w:marLeft w:val="0"/>
      <w:marRight w:val="0"/>
      <w:marTop w:val="0"/>
      <w:marBottom w:val="0"/>
      <w:divBdr>
        <w:top w:val="none" w:sz="0" w:space="0" w:color="auto"/>
        <w:left w:val="none" w:sz="0" w:space="0" w:color="auto"/>
        <w:bottom w:val="none" w:sz="0" w:space="0" w:color="auto"/>
        <w:right w:val="none" w:sz="0" w:space="0" w:color="auto"/>
      </w:divBdr>
    </w:div>
    <w:div w:id="1605072255">
      <w:bodyDiv w:val="1"/>
      <w:marLeft w:val="0"/>
      <w:marRight w:val="0"/>
      <w:marTop w:val="0"/>
      <w:marBottom w:val="0"/>
      <w:divBdr>
        <w:top w:val="none" w:sz="0" w:space="0" w:color="auto"/>
        <w:left w:val="none" w:sz="0" w:space="0" w:color="auto"/>
        <w:bottom w:val="none" w:sz="0" w:space="0" w:color="auto"/>
        <w:right w:val="none" w:sz="0" w:space="0" w:color="auto"/>
      </w:divBdr>
    </w:div>
    <w:div w:id="1663386063">
      <w:bodyDiv w:val="1"/>
      <w:marLeft w:val="0"/>
      <w:marRight w:val="0"/>
      <w:marTop w:val="0"/>
      <w:marBottom w:val="0"/>
      <w:divBdr>
        <w:top w:val="none" w:sz="0" w:space="0" w:color="auto"/>
        <w:left w:val="none" w:sz="0" w:space="0" w:color="auto"/>
        <w:bottom w:val="none" w:sz="0" w:space="0" w:color="auto"/>
        <w:right w:val="none" w:sz="0" w:space="0" w:color="auto"/>
      </w:divBdr>
    </w:div>
    <w:div w:id="1670790894">
      <w:bodyDiv w:val="1"/>
      <w:marLeft w:val="0"/>
      <w:marRight w:val="0"/>
      <w:marTop w:val="0"/>
      <w:marBottom w:val="0"/>
      <w:divBdr>
        <w:top w:val="none" w:sz="0" w:space="0" w:color="auto"/>
        <w:left w:val="none" w:sz="0" w:space="0" w:color="auto"/>
        <w:bottom w:val="none" w:sz="0" w:space="0" w:color="auto"/>
        <w:right w:val="none" w:sz="0" w:space="0" w:color="auto"/>
      </w:divBdr>
      <w:divsChild>
        <w:div w:id="720059787">
          <w:marLeft w:val="0"/>
          <w:marRight w:val="0"/>
          <w:marTop w:val="240"/>
          <w:marBottom w:val="0"/>
          <w:divBdr>
            <w:top w:val="none" w:sz="0" w:space="0" w:color="auto"/>
            <w:left w:val="none" w:sz="0" w:space="0" w:color="auto"/>
            <w:bottom w:val="none" w:sz="0" w:space="0" w:color="auto"/>
            <w:right w:val="none" w:sz="0" w:space="0" w:color="auto"/>
          </w:divBdr>
        </w:div>
        <w:div w:id="214129079">
          <w:marLeft w:val="0"/>
          <w:marRight w:val="0"/>
          <w:marTop w:val="240"/>
          <w:marBottom w:val="0"/>
          <w:divBdr>
            <w:top w:val="none" w:sz="0" w:space="0" w:color="auto"/>
            <w:left w:val="none" w:sz="0" w:space="0" w:color="auto"/>
            <w:bottom w:val="none" w:sz="0" w:space="0" w:color="auto"/>
            <w:right w:val="none" w:sz="0" w:space="0" w:color="auto"/>
          </w:divBdr>
        </w:div>
      </w:divsChild>
    </w:div>
    <w:div w:id="1714036911">
      <w:bodyDiv w:val="1"/>
      <w:marLeft w:val="0"/>
      <w:marRight w:val="0"/>
      <w:marTop w:val="0"/>
      <w:marBottom w:val="0"/>
      <w:divBdr>
        <w:top w:val="none" w:sz="0" w:space="0" w:color="auto"/>
        <w:left w:val="none" w:sz="0" w:space="0" w:color="auto"/>
        <w:bottom w:val="none" w:sz="0" w:space="0" w:color="auto"/>
        <w:right w:val="none" w:sz="0" w:space="0" w:color="auto"/>
      </w:divBdr>
    </w:div>
    <w:div w:id="1717585260">
      <w:bodyDiv w:val="1"/>
      <w:marLeft w:val="0"/>
      <w:marRight w:val="0"/>
      <w:marTop w:val="0"/>
      <w:marBottom w:val="0"/>
      <w:divBdr>
        <w:top w:val="none" w:sz="0" w:space="0" w:color="auto"/>
        <w:left w:val="none" w:sz="0" w:space="0" w:color="auto"/>
        <w:bottom w:val="none" w:sz="0" w:space="0" w:color="auto"/>
        <w:right w:val="none" w:sz="0" w:space="0" w:color="auto"/>
      </w:divBdr>
    </w:div>
    <w:div w:id="1740133255">
      <w:bodyDiv w:val="1"/>
      <w:marLeft w:val="0"/>
      <w:marRight w:val="0"/>
      <w:marTop w:val="0"/>
      <w:marBottom w:val="0"/>
      <w:divBdr>
        <w:top w:val="none" w:sz="0" w:space="0" w:color="auto"/>
        <w:left w:val="none" w:sz="0" w:space="0" w:color="auto"/>
        <w:bottom w:val="none" w:sz="0" w:space="0" w:color="auto"/>
        <w:right w:val="none" w:sz="0" w:space="0" w:color="auto"/>
      </w:divBdr>
      <w:divsChild>
        <w:div w:id="727415055">
          <w:marLeft w:val="0"/>
          <w:marRight w:val="0"/>
          <w:marTop w:val="0"/>
          <w:marBottom w:val="0"/>
          <w:divBdr>
            <w:top w:val="none" w:sz="0" w:space="0" w:color="auto"/>
            <w:left w:val="none" w:sz="0" w:space="0" w:color="auto"/>
            <w:bottom w:val="none" w:sz="0" w:space="0" w:color="auto"/>
            <w:right w:val="none" w:sz="0" w:space="0" w:color="auto"/>
          </w:divBdr>
        </w:div>
        <w:div w:id="857431992">
          <w:marLeft w:val="0"/>
          <w:marRight w:val="0"/>
          <w:marTop w:val="0"/>
          <w:marBottom w:val="0"/>
          <w:divBdr>
            <w:top w:val="none" w:sz="0" w:space="0" w:color="auto"/>
            <w:left w:val="none" w:sz="0" w:space="0" w:color="auto"/>
            <w:bottom w:val="none" w:sz="0" w:space="0" w:color="auto"/>
            <w:right w:val="none" w:sz="0" w:space="0" w:color="auto"/>
          </w:divBdr>
        </w:div>
        <w:div w:id="886406128">
          <w:marLeft w:val="0"/>
          <w:marRight w:val="0"/>
          <w:marTop w:val="0"/>
          <w:marBottom w:val="0"/>
          <w:divBdr>
            <w:top w:val="none" w:sz="0" w:space="0" w:color="auto"/>
            <w:left w:val="none" w:sz="0" w:space="0" w:color="auto"/>
            <w:bottom w:val="none" w:sz="0" w:space="0" w:color="auto"/>
            <w:right w:val="none" w:sz="0" w:space="0" w:color="auto"/>
          </w:divBdr>
        </w:div>
        <w:div w:id="889926696">
          <w:marLeft w:val="0"/>
          <w:marRight w:val="0"/>
          <w:marTop w:val="0"/>
          <w:marBottom w:val="0"/>
          <w:divBdr>
            <w:top w:val="none" w:sz="0" w:space="0" w:color="auto"/>
            <w:left w:val="none" w:sz="0" w:space="0" w:color="auto"/>
            <w:bottom w:val="none" w:sz="0" w:space="0" w:color="auto"/>
            <w:right w:val="none" w:sz="0" w:space="0" w:color="auto"/>
          </w:divBdr>
        </w:div>
        <w:div w:id="1197279250">
          <w:marLeft w:val="0"/>
          <w:marRight w:val="0"/>
          <w:marTop w:val="0"/>
          <w:marBottom w:val="0"/>
          <w:divBdr>
            <w:top w:val="none" w:sz="0" w:space="0" w:color="auto"/>
            <w:left w:val="none" w:sz="0" w:space="0" w:color="auto"/>
            <w:bottom w:val="none" w:sz="0" w:space="0" w:color="auto"/>
            <w:right w:val="none" w:sz="0" w:space="0" w:color="auto"/>
          </w:divBdr>
        </w:div>
        <w:div w:id="1206256094">
          <w:marLeft w:val="0"/>
          <w:marRight w:val="0"/>
          <w:marTop w:val="0"/>
          <w:marBottom w:val="0"/>
          <w:divBdr>
            <w:top w:val="none" w:sz="0" w:space="0" w:color="auto"/>
            <w:left w:val="none" w:sz="0" w:space="0" w:color="auto"/>
            <w:bottom w:val="none" w:sz="0" w:space="0" w:color="auto"/>
            <w:right w:val="none" w:sz="0" w:space="0" w:color="auto"/>
          </w:divBdr>
        </w:div>
        <w:div w:id="1279945988">
          <w:marLeft w:val="0"/>
          <w:marRight w:val="0"/>
          <w:marTop w:val="0"/>
          <w:marBottom w:val="0"/>
          <w:divBdr>
            <w:top w:val="none" w:sz="0" w:space="0" w:color="auto"/>
            <w:left w:val="none" w:sz="0" w:space="0" w:color="auto"/>
            <w:bottom w:val="none" w:sz="0" w:space="0" w:color="auto"/>
            <w:right w:val="none" w:sz="0" w:space="0" w:color="auto"/>
          </w:divBdr>
        </w:div>
        <w:div w:id="1391731947">
          <w:marLeft w:val="0"/>
          <w:marRight w:val="0"/>
          <w:marTop w:val="0"/>
          <w:marBottom w:val="0"/>
          <w:divBdr>
            <w:top w:val="none" w:sz="0" w:space="0" w:color="auto"/>
            <w:left w:val="none" w:sz="0" w:space="0" w:color="auto"/>
            <w:bottom w:val="none" w:sz="0" w:space="0" w:color="auto"/>
            <w:right w:val="none" w:sz="0" w:space="0" w:color="auto"/>
          </w:divBdr>
        </w:div>
        <w:div w:id="1430008166">
          <w:marLeft w:val="0"/>
          <w:marRight w:val="0"/>
          <w:marTop w:val="0"/>
          <w:marBottom w:val="0"/>
          <w:divBdr>
            <w:top w:val="none" w:sz="0" w:space="0" w:color="auto"/>
            <w:left w:val="none" w:sz="0" w:space="0" w:color="auto"/>
            <w:bottom w:val="none" w:sz="0" w:space="0" w:color="auto"/>
            <w:right w:val="none" w:sz="0" w:space="0" w:color="auto"/>
          </w:divBdr>
        </w:div>
        <w:div w:id="1591229464">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27630360">
          <w:marLeft w:val="0"/>
          <w:marRight w:val="0"/>
          <w:marTop w:val="0"/>
          <w:marBottom w:val="0"/>
          <w:divBdr>
            <w:top w:val="none" w:sz="0" w:space="0" w:color="auto"/>
            <w:left w:val="none" w:sz="0" w:space="0" w:color="auto"/>
            <w:bottom w:val="none" w:sz="0" w:space="0" w:color="auto"/>
            <w:right w:val="none" w:sz="0" w:space="0" w:color="auto"/>
          </w:divBdr>
        </w:div>
        <w:div w:id="1848204600">
          <w:marLeft w:val="0"/>
          <w:marRight w:val="0"/>
          <w:marTop w:val="0"/>
          <w:marBottom w:val="0"/>
          <w:divBdr>
            <w:top w:val="none" w:sz="0" w:space="0" w:color="auto"/>
            <w:left w:val="none" w:sz="0" w:space="0" w:color="auto"/>
            <w:bottom w:val="none" w:sz="0" w:space="0" w:color="auto"/>
            <w:right w:val="none" w:sz="0" w:space="0" w:color="auto"/>
          </w:divBdr>
        </w:div>
        <w:div w:id="1910384464">
          <w:marLeft w:val="0"/>
          <w:marRight w:val="0"/>
          <w:marTop w:val="0"/>
          <w:marBottom w:val="0"/>
          <w:divBdr>
            <w:top w:val="none" w:sz="0" w:space="0" w:color="auto"/>
            <w:left w:val="none" w:sz="0" w:space="0" w:color="auto"/>
            <w:bottom w:val="none" w:sz="0" w:space="0" w:color="auto"/>
            <w:right w:val="none" w:sz="0" w:space="0" w:color="auto"/>
          </w:divBdr>
        </w:div>
      </w:divsChild>
    </w:div>
    <w:div w:id="1769622996">
      <w:bodyDiv w:val="1"/>
      <w:marLeft w:val="0"/>
      <w:marRight w:val="0"/>
      <w:marTop w:val="0"/>
      <w:marBottom w:val="0"/>
      <w:divBdr>
        <w:top w:val="none" w:sz="0" w:space="0" w:color="auto"/>
        <w:left w:val="none" w:sz="0" w:space="0" w:color="auto"/>
        <w:bottom w:val="none" w:sz="0" w:space="0" w:color="auto"/>
        <w:right w:val="none" w:sz="0" w:space="0" w:color="auto"/>
      </w:divBdr>
    </w:div>
    <w:div w:id="1821382541">
      <w:bodyDiv w:val="1"/>
      <w:marLeft w:val="0"/>
      <w:marRight w:val="0"/>
      <w:marTop w:val="0"/>
      <w:marBottom w:val="0"/>
      <w:divBdr>
        <w:top w:val="none" w:sz="0" w:space="0" w:color="auto"/>
        <w:left w:val="none" w:sz="0" w:space="0" w:color="auto"/>
        <w:bottom w:val="none" w:sz="0" w:space="0" w:color="auto"/>
        <w:right w:val="none" w:sz="0" w:space="0" w:color="auto"/>
      </w:divBdr>
    </w:div>
    <w:div w:id="1865745058">
      <w:bodyDiv w:val="1"/>
      <w:marLeft w:val="0"/>
      <w:marRight w:val="0"/>
      <w:marTop w:val="0"/>
      <w:marBottom w:val="0"/>
      <w:divBdr>
        <w:top w:val="none" w:sz="0" w:space="0" w:color="auto"/>
        <w:left w:val="none" w:sz="0" w:space="0" w:color="auto"/>
        <w:bottom w:val="none" w:sz="0" w:space="0" w:color="auto"/>
        <w:right w:val="none" w:sz="0" w:space="0" w:color="auto"/>
      </w:divBdr>
    </w:div>
    <w:div w:id="1975674207">
      <w:bodyDiv w:val="1"/>
      <w:marLeft w:val="0"/>
      <w:marRight w:val="0"/>
      <w:marTop w:val="0"/>
      <w:marBottom w:val="0"/>
      <w:divBdr>
        <w:top w:val="none" w:sz="0" w:space="0" w:color="auto"/>
        <w:left w:val="none" w:sz="0" w:space="0" w:color="auto"/>
        <w:bottom w:val="none" w:sz="0" w:space="0" w:color="auto"/>
        <w:right w:val="none" w:sz="0" w:space="0" w:color="auto"/>
      </w:divBdr>
      <w:divsChild>
        <w:div w:id="144400402">
          <w:marLeft w:val="0"/>
          <w:marRight w:val="0"/>
          <w:marTop w:val="0"/>
          <w:marBottom w:val="0"/>
          <w:divBdr>
            <w:top w:val="none" w:sz="0" w:space="0" w:color="auto"/>
            <w:left w:val="none" w:sz="0" w:space="0" w:color="auto"/>
            <w:bottom w:val="none" w:sz="0" w:space="0" w:color="auto"/>
            <w:right w:val="none" w:sz="0" w:space="0" w:color="auto"/>
          </w:divBdr>
        </w:div>
        <w:div w:id="148205963">
          <w:marLeft w:val="0"/>
          <w:marRight w:val="0"/>
          <w:marTop w:val="0"/>
          <w:marBottom w:val="0"/>
          <w:divBdr>
            <w:top w:val="none" w:sz="0" w:space="0" w:color="auto"/>
            <w:left w:val="none" w:sz="0" w:space="0" w:color="auto"/>
            <w:bottom w:val="none" w:sz="0" w:space="0" w:color="auto"/>
            <w:right w:val="none" w:sz="0" w:space="0" w:color="auto"/>
          </w:divBdr>
        </w:div>
        <w:div w:id="269826938">
          <w:marLeft w:val="0"/>
          <w:marRight w:val="0"/>
          <w:marTop w:val="0"/>
          <w:marBottom w:val="0"/>
          <w:divBdr>
            <w:top w:val="none" w:sz="0" w:space="0" w:color="auto"/>
            <w:left w:val="none" w:sz="0" w:space="0" w:color="auto"/>
            <w:bottom w:val="none" w:sz="0" w:space="0" w:color="auto"/>
            <w:right w:val="none" w:sz="0" w:space="0" w:color="auto"/>
          </w:divBdr>
        </w:div>
        <w:div w:id="734281962">
          <w:marLeft w:val="0"/>
          <w:marRight w:val="0"/>
          <w:marTop w:val="0"/>
          <w:marBottom w:val="0"/>
          <w:divBdr>
            <w:top w:val="none" w:sz="0" w:space="0" w:color="auto"/>
            <w:left w:val="none" w:sz="0" w:space="0" w:color="auto"/>
            <w:bottom w:val="none" w:sz="0" w:space="0" w:color="auto"/>
            <w:right w:val="none" w:sz="0" w:space="0" w:color="auto"/>
          </w:divBdr>
        </w:div>
        <w:div w:id="844898587">
          <w:marLeft w:val="0"/>
          <w:marRight w:val="0"/>
          <w:marTop w:val="0"/>
          <w:marBottom w:val="0"/>
          <w:divBdr>
            <w:top w:val="none" w:sz="0" w:space="0" w:color="auto"/>
            <w:left w:val="none" w:sz="0" w:space="0" w:color="auto"/>
            <w:bottom w:val="none" w:sz="0" w:space="0" w:color="auto"/>
            <w:right w:val="none" w:sz="0" w:space="0" w:color="auto"/>
          </w:divBdr>
        </w:div>
        <w:div w:id="863010581">
          <w:marLeft w:val="0"/>
          <w:marRight w:val="0"/>
          <w:marTop w:val="0"/>
          <w:marBottom w:val="0"/>
          <w:divBdr>
            <w:top w:val="none" w:sz="0" w:space="0" w:color="auto"/>
            <w:left w:val="none" w:sz="0" w:space="0" w:color="auto"/>
            <w:bottom w:val="none" w:sz="0" w:space="0" w:color="auto"/>
            <w:right w:val="none" w:sz="0" w:space="0" w:color="auto"/>
          </w:divBdr>
        </w:div>
        <w:div w:id="1131242903">
          <w:marLeft w:val="0"/>
          <w:marRight w:val="0"/>
          <w:marTop w:val="0"/>
          <w:marBottom w:val="0"/>
          <w:divBdr>
            <w:top w:val="none" w:sz="0" w:space="0" w:color="auto"/>
            <w:left w:val="none" w:sz="0" w:space="0" w:color="auto"/>
            <w:bottom w:val="none" w:sz="0" w:space="0" w:color="auto"/>
            <w:right w:val="none" w:sz="0" w:space="0" w:color="auto"/>
          </w:divBdr>
        </w:div>
        <w:div w:id="1239708301">
          <w:marLeft w:val="0"/>
          <w:marRight w:val="0"/>
          <w:marTop w:val="0"/>
          <w:marBottom w:val="0"/>
          <w:divBdr>
            <w:top w:val="none" w:sz="0" w:space="0" w:color="auto"/>
            <w:left w:val="none" w:sz="0" w:space="0" w:color="auto"/>
            <w:bottom w:val="none" w:sz="0" w:space="0" w:color="auto"/>
            <w:right w:val="none" w:sz="0" w:space="0" w:color="auto"/>
          </w:divBdr>
        </w:div>
        <w:div w:id="1473209571">
          <w:marLeft w:val="0"/>
          <w:marRight w:val="0"/>
          <w:marTop w:val="0"/>
          <w:marBottom w:val="0"/>
          <w:divBdr>
            <w:top w:val="none" w:sz="0" w:space="0" w:color="auto"/>
            <w:left w:val="none" w:sz="0" w:space="0" w:color="auto"/>
            <w:bottom w:val="none" w:sz="0" w:space="0" w:color="auto"/>
            <w:right w:val="none" w:sz="0" w:space="0" w:color="auto"/>
          </w:divBdr>
        </w:div>
        <w:div w:id="1805780210">
          <w:marLeft w:val="0"/>
          <w:marRight w:val="0"/>
          <w:marTop w:val="0"/>
          <w:marBottom w:val="0"/>
          <w:divBdr>
            <w:top w:val="none" w:sz="0" w:space="0" w:color="auto"/>
            <w:left w:val="none" w:sz="0" w:space="0" w:color="auto"/>
            <w:bottom w:val="none" w:sz="0" w:space="0" w:color="auto"/>
            <w:right w:val="none" w:sz="0" w:space="0" w:color="auto"/>
          </w:divBdr>
        </w:div>
        <w:div w:id="1858538149">
          <w:marLeft w:val="0"/>
          <w:marRight w:val="0"/>
          <w:marTop w:val="0"/>
          <w:marBottom w:val="0"/>
          <w:divBdr>
            <w:top w:val="none" w:sz="0" w:space="0" w:color="auto"/>
            <w:left w:val="none" w:sz="0" w:space="0" w:color="auto"/>
            <w:bottom w:val="none" w:sz="0" w:space="0" w:color="auto"/>
            <w:right w:val="none" w:sz="0" w:space="0" w:color="auto"/>
          </w:divBdr>
        </w:div>
        <w:div w:id="1918512055">
          <w:marLeft w:val="0"/>
          <w:marRight w:val="0"/>
          <w:marTop w:val="0"/>
          <w:marBottom w:val="0"/>
          <w:divBdr>
            <w:top w:val="none" w:sz="0" w:space="0" w:color="auto"/>
            <w:left w:val="none" w:sz="0" w:space="0" w:color="auto"/>
            <w:bottom w:val="none" w:sz="0" w:space="0" w:color="auto"/>
            <w:right w:val="none" w:sz="0" w:space="0" w:color="auto"/>
          </w:divBdr>
        </w:div>
        <w:div w:id="1928999875">
          <w:marLeft w:val="0"/>
          <w:marRight w:val="0"/>
          <w:marTop w:val="0"/>
          <w:marBottom w:val="0"/>
          <w:divBdr>
            <w:top w:val="none" w:sz="0" w:space="0" w:color="auto"/>
            <w:left w:val="none" w:sz="0" w:space="0" w:color="auto"/>
            <w:bottom w:val="none" w:sz="0" w:space="0" w:color="auto"/>
            <w:right w:val="none" w:sz="0" w:space="0" w:color="auto"/>
          </w:divBdr>
        </w:div>
        <w:div w:id="1970428203">
          <w:marLeft w:val="0"/>
          <w:marRight w:val="0"/>
          <w:marTop w:val="0"/>
          <w:marBottom w:val="0"/>
          <w:divBdr>
            <w:top w:val="none" w:sz="0" w:space="0" w:color="auto"/>
            <w:left w:val="none" w:sz="0" w:space="0" w:color="auto"/>
            <w:bottom w:val="none" w:sz="0" w:space="0" w:color="auto"/>
            <w:right w:val="none" w:sz="0" w:space="0" w:color="auto"/>
          </w:divBdr>
        </w:div>
      </w:divsChild>
    </w:div>
    <w:div w:id="2079400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emf"/><Relationship Id="rId18" Type="http://schemas.openxmlformats.org/officeDocument/2006/relationships/image" Target="media/image11.emf"/><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emf"/><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header" Target="header2.xml"/><Relationship Id="rId10" Type="http://schemas.openxmlformats.org/officeDocument/2006/relationships/image" Target="media/image3.emf"/><Relationship Id="rId19" Type="http://schemas.openxmlformats.org/officeDocument/2006/relationships/image" Target="media/image12.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funduszeeuropejskie.gov.pl/strony/o-funduszach/dokumenty/wytyczne-ministra-infrastruktury-i-rozwoju-w-zakresie-zagadnien-zwiazanych-z-przygotowaniem-projektow-inwestycyjnych-w-tym-projektow-generujacych-dochod-i-projektow-hybrydowych-na-lata-2014-2020-1/"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CD922A-036D-4EBA-B024-9686F93D28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628</TotalTime>
  <Pages>72</Pages>
  <Words>24886</Words>
  <Characters>149321</Characters>
  <Application>Microsoft Office Word</Application>
  <DocSecurity>0</DocSecurity>
  <Lines>1244</Lines>
  <Paragraphs>347</Paragraphs>
  <ScaleCrop>false</ScaleCrop>
  <HeadingPairs>
    <vt:vector size="2" baseType="variant">
      <vt:variant>
        <vt:lpstr>Tytuł</vt:lpstr>
      </vt:variant>
      <vt:variant>
        <vt:i4>1</vt:i4>
      </vt:variant>
    </vt:vector>
  </HeadingPairs>
  <TitlesOfParts>
    <vt:vector size="1" baseType="lpstr">
      <vt:lpstr/>
    </vt:vector>
  </TitlesOfParts>
  <Company>Lenovo</Company>
  <LinksUpToDate>false</LinksUpToDate>
  <CharactersWithSpaces>173860</CharactersWithSpaces>
  <SharedDoc>false</SharedDoc>
  <HLinks>
    <vt:vector size="246" baseType="variant">
      <vt:variant>
        <vt:i4>5570576</vt:i4>
      </vt:variant>
      <vt:variant>
        <vt:i4>135</vt:i4>
      </vt:variant>
      <vt:variant>
        <vt:i4>0</vt:i4>
      </vt:variant>
      <vt:variant>
        <vt:i4>5</vt:i4>
      </vt:variant>
      <vt:variant>
        <vt:lpwstr>http://www.mapy.opolskie.pl/</vt:lpwstr>
      </vt:variant>
      <vt:variant>
        <vt:lpwstr/>
      </vt:variant>
      <vt:variant>
        <vt:i4>6094906</vt:i4>
      </vt:variant>
      <vt:variant>
        <vt:i4>132</vt:i4>
      </vt:variant>
      <vt:variant>
        <vt:i4>0</vt:i4>
      </vt:variant>
      <vt:variant>
        <vt:i4>5</vt:i4>
      </vt:variant>
      <vt:variant>
        <vt:lpwstr>https://www.mos.gov.pl/kategoria/5681_krajowe/</vt:lpwstr>
      </vt:variant>
      <vt:variant>
        <vt:lpwstr/>
      </vt:variant>
      <vt:variant>
        <vt:i4>5963800</vt:i4>
      </vt:variant>
      <vt:variant>
        <vt:i4>129</vt:i4>
      </vt:variant>
      <vt:variant>
        <vt:i4>0</vt:i4>
      </vt:variant>
      <vt:variant>
        <vt:i4>5</vt:i4>
      </vt:variant>
      <vt:variant>
        <vt:lpwstr>http://eur-lex.europa.eu/legal-content/PL/TXT/?uri=celex:52000DC0001</vt:lpwstr>
      </vt:variant>
      <vt:variant>
        <vt:lpwstr/>
      </vt:variant>
      <vt:variant>
        <vt:i4>6291564</vt:i4>
      </vt:variant>
      <vt:variant>
        <vt:i4>126</vt:i4>
      </vt:variant>
      <vt:variant>
        <vt:i4>0</vt:i4>
      </vt:variant>
      <vt:variant>
        <vt:i4>5</vt:i4>
      </vt:variant>
      <vt:variant>
        <vt:lpwstr>javascript:void(0)</vt:lpwstr>
      </vt:variant>
      <vt:variant>
        <vt:lpwstr/>
      </vt:variant>
      <vt:variant>
        <vt:i4>6291564</vt:i4>
      </vt:variant>
      <vt:variant>
        <vt:i4>123</vt:i4>
      </vt:variant>
      <vt:variant>
        <vt:i4>0</vt:i4>
      </vt:variant>
      <vt:variant>
        <vt:i4>5</vt:i4>
      </vt:variant>
      <vt:variant>
        <vt:lpwstr>javascript:void(0)</vt:lpwstr>
      </vt:variant>
      <vt:variant>
        <vt:lpwstr/>
      </vt:variant>
      <vt:variant>
        <vt:i4>6291564</vt:i4>
      </vt:variant>
      <vt:variant>
        <vt:i4>120</vt:i4>
      </vt:variant>
      <vt:variant>
        <vt:i4>0</vt:i4>
      </vt:variant>
      <vt:variant>
        <vt:i4>5</vt:i4>
      </vt:variant>
      <vt:variant>
        <vt:lpwstr>javascript:void(0)</vt:lpwstr>
      </vt:variant>
      <vt:variant>
        <vt:lpwstr/>
      </vt:variant>
      <vt:variant>
        <vt:i4>1179698</vt:i4>
      </vt:variant>
      <vt:variant>
        <vt:i4>116</vt:i4>
      </vt:variant>
      <vt:variant>
        <vt:i4>0</vt:i4>
      </vt:variant>
      <vt:variant>
        <vt:i4>5</vt:i4>
      </vt:variant>
      <vt:variant>
        <vt:lpwstr/>
      </vt:variant>
      <vt:variant>
        <vt:lpwstr>_Toc503859149</vt:lpwstr>
      </vt:variant>
      <vt:variant>
        <vt:i4>1179698</vt:i4>
      </vt:variant>
      <vt:variant>
        <vt:i4>113</vt:i4>
      </vt:variant>
      <vt:variant>
        <vt:i4>0</vt:i4>
      </vt:variant>
      <vt:variant>
        <vt:i4>5</vt:i4>
      </vt:variant>
      <vt:variant>
        <vt:lpwstr/>
      </vt:variant>
      <vt:variant>
        <vt:lpwstr>_Toc503859148</vt:lpwstr>
      </vt:variant>
      <vt:variant>
        <vt:i4>1179698</vt:i4>
      </vt:variant>
      <vt:variant>
        <vt:i4>110</vt:i4>
      </vt:variant>
      <vt:variant>
        <vt:i4>0</vt:i4>
      </vt:variant>
      <vt:variant>
        <vt:i4>5</vt:i4>
      </vt:variant>
      <vt:variant>
        <vt:lpwstr/>
      </vt:variant>
      <vt:variant>
        <vt:lpwstr>_Toc503859147</vt:lpwstr>
      </vt:variant>
      <vt:variant>
        <vt:i4>1179698</vt:i4>
      </vt:variant>
      <vt:variant>
        <vt:i4>107</vt:i4>
      </vt:variant>
      <vt:variant>
        <vt:i4>0</vt:i4>
      </vt:variant>
      <vt:variant>
        <vt:i4>5</vt:i4>
      </vt:variant>
      <vt:variant>
        <vt:lpwstr/>
      </vt:variant>
      <vt:variant>
        <vt:lpwstr>_Toc503859146</vt:lpwstr>
      </vt:variant>
      <vt:variant>
        <vt:i4>1179698</vt:i4>
      </vt:variant>
      <vt:variant>
        <vt:i4>104</vt:i4>
      </vt:variant>
      <vt:variant>
        <vt:i4>0</vt:i4>
      </vt:variant>
      <vt:variant>
        <vt:i4>5</vt:i4>
      </vt:variant>
      <vt:variant>
        <vt:lpwstr/>
      </vt:variant>
      <vt:variant>
        <vt:lpwstr>_Toc503859145</vt:lpwstr>
      </vt:variant>
      <vt:variant>
        <vt:i4>1179698</vt:i4>
      </vt:variant>
      <vt:variant>
        <vt:i4>101</vt:i4>
      </vt:variant>
      <vt:variant>
        <vt:i4>0</vt:i4>
      </vt:variant>
      <vt:variant>
        <vt:i4>5</vt:i4>
      </vt:variant>
      <vt:variant>
        <vt:lpwstr/>
      </vt:variant>
      <vt:variant>
        <vt:lpwstr>_Toc503859144</vt:lpwstr>
      </vt:variant>
      <vt:variant>
        <vt:i4>1179698</vt:i4>
      </vt:variant>
      <vt:variant>
        <vt:i4>98</vt:i4>
      </vt:variant>
      <vt:variant>
        <vt:i4>0</vt:i4>
      </vt:variant>
      <vt:variant>
        <vt:i4>5</vt:i4>
      </vt:variant>
      <vt:variant>
        <vt:lpwstr/>
      </vt:variant>
      <vt:variant>
        <vt:lpwstr>_Toc503859143</vt:lpwstr>
      </vt:variant>
      <vt:variant>
        <vt:i4>1179698</vt:i4>
      </vt:variant>
      <vt:variant>
        <vt:i4>95</vt:i4>
      </vt:variant>
      <vt:variant>
        <vt:i4>0</vt:i4>
      </vt:variant>
      <vt:variant>
        <vt:i4>5</vt:i4>
      </vt:variant>
      <vt:variant>
        <vt:lpwstr/>
      </vt:variant>
      <vt:variant>
        <vt:lpwstr>_Toc503859142</vt:lpwstr>
      </vt:variant>
      <vt:variant>
        <vt:i4>1179698</vt:i4>
      </vt:variant>
      <vt:variant>
        <vt:i4>92</vt:i4>
      </vt:variant>
      <vt:variant>
        <vt:i4>0</vt:i4>
      </vt:variant>
      <vt:variant>
        <vt:i4>5</vt:i4>
      </vt:variant>
      <vt:variant>
        <vt:lpwstr/>
      </vt:variant>
      <vt:variant>
        <vt:lpwstr>_Toc503859141</vt:lpwstr>
      </vt:variant>
      <vt:variant>
        <vt:i4>1179698</vt:i4>
      </vt:variant>
      <vt:variant>
        <vt:i4>89</vt:i4>
      </vt:variant>
      <vt:variant>
        <vt:i4>0</vt:i4>
      </vt:variant>
      <vt:variant>
        <vt:i4>5</vt:i4>
      </vt:variant>
      <vt:variant>
        <vt:lpwstr/>
      </vt:variant>
      <vt:variant>
        <vt:lpwstr>_Toc503859140</vt:lpwstr>
      </vt:variant>
      <vt:variant>
        <vt:i4>1376306</vt:i4>
      </vt:variant>
      <vt:variant>
        <vt:i4>86</vt:i4>
      </vt:variant>
      <vt:variant>
        <vt:i4>0</vt:i4>
      </vt:variant>
      <vt:variant>
        <vt:i4>5</vt:i4>
      </vt:variant>
      <vt:variant>
        <vt:lpwstr/>
      </vt:variant>
      <vt:variant>
        <vt:lpwstr>_Toc503859139</vt:lpwstr>
      </vt:variant>
      <vt:variant>
        <vt:i4>1376306</vt:i4>
      </vt:variant>
      <vt:variant>
        <vt:i4>83</vt:i4>
      </vt:variant>
      <vt:variant>
        <vt:i4>0</vt:i4>
      </vt:variant>
      <vt:variant>
        <vt:i4>5</vt:i4>
      </vt:variant>
      <vt:variant>
        <vt:lpwstr/>
      </vt:variant>
      <vt:variant>
        <vt:lpwstr>_Toc503859138</vt:lpwstr>
      </vt:variant>
      <vt:variant>
        <vt:i4>1376306</vt:i4>
      </vt:variant>
      <vt:variant>
        <vt:i4>80</vt:i4>
      </vt:variant>
      <vt:variant>
        <vt:i4>0</vt:i4>
      </vt:variant>
      <vt:variant>
        <vt:i4>5</vt:i4>
      </vt:variant>
      <vt:variant>
        <vt:lpwstr/>
      </vt:variant>
      <vt:variant>
        <vt:lpwstr>_Toc503859137</vt:lpwstr>
      </vt:variant>
      <vt:variant>
        <vt:i4>1376306</vt:i4>
      </vt:variant>
      <vt:variant>
        <vt:i4>77</vt:i4>
      </vt:variant>
      <vt:variant>
        <vt:i4>0</vt:i4>
      </vt:variant>
      <vt:variant>
        <vt:i4>5</vt:i4>
      </vt:variant>
      <vt:variant>
        <vt:lpwstr/>
      </vt:variant>
      <vt:variant>
        <vt:lpwstr>_Toc503859136</vt:lpwstr>
      </vt:variant>
      <vt:variant>
        <vt:i4>1376306</vt:i4>
      </vt:variant>
      <vt:variant>
        <vt:i4>74</vt:i4>
      </vt:variant>
      <vt:variant>
        <vt:i4>0</vt:i4>
      </vt:variant>
      <vt:variant>
        <vt:i4>5</vt:i4>
      </vt:variant>
      <vt:variant>
        <vt:lpwstr/>
      </vt:variant>
      <vt:variant>
        <vt:lpwstr>_Toc503859135</vt:lpwstr>
      </vt:variant>
      <vt:variant>
        <vt:i4>1376306</vt:i4>
      </vt:variant>
      <vt:variant>
        <vt:i4>71</vt:i4>
      </vt:variant>
      <vt:variant>
        <vt:i4>0</vt:i4>
      </vt:variant>
      <vt:variant>
        <vt:i4>5</vt:i4>
      </vt:variant>
      <vt:variant>
        <vt:lpwstr/>
      </vt:variant>
      <vt:variant>
        <vt:lpwstr>_Toc503859134</vt:lpwstr>
      </vt:variant>
      <vt:variant>
        <vt:i4>1376306</vt:i4>
      </vt:variant>
      <vt:variant>
        <vt:i4>68</vt:i4>
      </vt:variant>
      <vt:variant>
        <vt:i4>0</vt:i4>
      </vt:variant>
      <vt:variant>
        <vt:i4>5</vt:i4>
      </vt:variant>
      <vt:variant>
        <vt:lpwstr/>
      </vt:variant>
      <vt:variant>
        <vt:lpwstr>_Toc503859133</vt:lpwstr>
      </vt:variant>
      <vt:variant>
        <vt:i4>1376306</vt:i4>
      </vt:variant>
      <vt:variant>
        <vt:i4>65</vt:i4>
      </vt:variant>
      <vt:variant>
        <vt:i4>0</vt:i4>
      </vt:variant>
      <vt:variant>
        <vt:i4>5</vt:i4>
      </vt:variant>
      <vt:variant>
        <vt:lpwstr/>
      </vt:variant>
      <vt:variant>
        <vt:lpwstr>_Toc503859132</vt:lpwstr>
      </vt:variant>
      <vt:variant>
        <vt:i4>1376306</vt:i4>
      </vt:variant>
      <vt:variant>
        <vt:i4>62</vt:i4>
      </vt:variant>
      <vt:variant>
        <vt:i4>0</vt:i4>
      </vt:variant>
      <vt:variant>
        <vt:i4>5</vt:i4>
      </vt:variant>
      <vt:variant>
        <vt:lpwstr/>
      </vt:variant>
      <vt:variant>
        <vt:lpwstr>_Toc503859131</vt:lpwstr>
      </vt:variant>
      <vt:variant>
        <vt:i4>1376306</vt:i4>
      </vt:variant>
      <vt:variant>
        <vt:i4>59</vt:i4>
      </vt:variant>
      <vt:variant>
        <vt:i4>0</vt:i4>
      </vt:variant>
      <vt:variant>
        <vt:i4>5</vt:i4>
      </vt:variant>
      <vt:variant>
        <vt:lpwstr/>
      </vt:variant>
      <vt:variant>
        <vt:lpwstr>_Toc503859130</vt:lpwstr>
      </vt:variant>
      <vt:variant>
        <vt:i4>1310770</vt:i4>
      </vt:variant>
      <vt:variant>
        <vt:i4>53</vt:i4>
      </vt:variant>
      <vt:variant>
        <vt:i4>0</vt:i4>
      </vt:variant>
      <vt:variant>
        <vt:i4>5</vt:i4>
      </vt:variant>
      <vt:variant>
        <vt:lpwstr/>
      </vt:variant>
      <vt:variant>
        <vt:lpwstr>_Toc503859129</vt:lpwstr>
      </vt:variant>
      <vt:variant>
        <vt:i4>1310770</vt:i4>
      </vt:variant>
      <vt:variant>
        <vt:i4>47</vt:i4>
      </vt:variant>
      <vt:variant>
        <vt:i4>0</vt:i4>
      </vt:variant>
      <vt:variant>
        <vt:i4>5</vt:i4>
      </vt:variant>
      <vt:variant>
        <vt:lpwstr/>
      </vt:variant>
      <vt:variant>
        <vt:lpwstr>_Toc503859128</vt:lpwstr>
      </vt:variant>
      <vt:variant>
        <vt:i4>1310770</vt:i4>
      </vt:variant>
      <vt:variant>
        <vt:i4>41</vt:i4>
      </vt:variant>
      <vt:variant>
        <vt:i4>0</vt:i4>
      </vt:variant>
      <vt:variant>
        <vt:i4>5</vt:i4>
      </vt:variant>
      <vt:variant>
        <vt:lpwstr/>
      </vt:variant>
      <vt:variant>
        <vt:lpwstr>_Toc503859127</vt:lpwstr>
      </vt:variant>
      <vt:variant>
        <vt:i4>1310770</vt:i4>
      </vt:variant>
      <vt:variant>
        <vt:i4>35</vt:i4>
      </vt:variant>
      <vt:variant>
        <vt:i4>0</vt:i4>
      </vt:variant>
      <vt:variant>
        <vt:i4>5</vt:i4>
      </vt:variant>
      <vt:variant>
        <vt:lpwstr/>
      </vt:variant>
      <vt:variant>
        <vt:lpwstr>_Toc503859126</vt:lpwstr>
      </vt:variant>
      <vt:variant>
        <vt:i4>1310770</vt:i4>
      </vt:variant>
      <vt:variant>
        <vt:i4>29</vt:i4>
      </vt:variant>
      <vt:variant>
        <vt:i4>0</vt:i4>
      </vt:variant>
      <vt:variant>
        <vt:i4>5</vt:i4>
      </vt:variant>
      <vt:variant>
        <vt:lpwstr/>
      </vt:variant>
      <vt:variant>
        <vt:lpwstr>_Toc503859125</vt:lpwstr>
      </vt:variant>
      <vt:variant>
        <vt:i4>1310770</vt:i4>
      </vt:variant>
      <vt:variant>
        <vt:i4>23</vt:i4>
      </vt:variant>
      <vt:variant>
        <vt:i4>0</vt:i4>
      </vt:variant>
      <vt:variant>
        <vt:i4>5</vt:i4>
      </vt:variant>
      <vt:variant>
        <vt:lpwstr/>
      </vt:variant>
      <vt:variant>
        <vt:lpwstr>_Toc503859124</vt:lpwstr>
      </vt:variant>
      <vt:variant>
        <vt:i4>1310770</vt:i4>
      </vt:variant>
      <vt:variant>
        <vt:i4>17</vt:i4>
      </vt:variant>
      <vt:variant>
        <vt:i4>0</vt:i4>
      </vt:variant>
      <vt:variant>
        <vt:i4>5</vt:i4>
      </vt:variant>
      <vt:variant>
        <vt:lpwstr/>
      </vt:variant>
      <vt:variant>
        <vt:lpwstr>_Toc503859123</vt:lpwstr>
      </vt:variant>
      <vt:variant>
        <vt:i4>1310770</vt:i4>
      </vt:variant>
      <vt:variant>
        <vt:i4>11</vt:i4>
      </vt:variant>
      <vt:variant>
        <vt:i4>0</vt:i4>
      </vt:variant>
      <vt:variant>
        <vt:i4>5</vt:i4>
      </vt:variant>
      <vt:variant>
        <vt:lpwstr/>
      </vt:variant>
      <vt:variant>
        <vt:lpwstr>_Toc503859122</vt:lpwstr>
      </vt:variant>
      <vt:variant>
        <vt:i4>1310770</vt:i4>
      </vt:variant>
      <vt:variant>
        <vt:i4>5</vt:i4>
      </vt:variant>
      <vt:variant>
        <vt:i4>0</vt:i4>
      </vt:variant>
      <vt:variant>
        <vt:i4>5</vt:i4>
      </vt:variant>
      <vt:variant>
        <vt:lpwstr/>
      </vt:variant>
      <vt:variant>
        <vt:lpwstr>_Toc503859121</vt:lpwstr>
      </vt:variant>
      <vt:variant>
        <vt:i4>6619171</vt:i4>
      </vt:variant>
      <vt:variant>
        <vt:i4>15</vt:i4>
      </vt:variant>
      <vt:variant>
        <vt:i4>0</vt:i4>
      </vt:variant>
      <vt:variant>
        <vt:i4>5</vt:i4>
      </vt:variant>
      <vt:variant>
        <vt:lpwstr>http://www.ppp.gov.pl/</vt:lpwstr>
      </vt:variant>
      <vt:variant>
        <vt:lpwstr/>
      </vt:variant>
      <vt:variant>
        <vt:i4>5636191</vt:i4>
      </vt:variant>
      <vt:variant>
        <vt:i4>12</vt:i4>
      </vt:variant>
      <vt:variant>
        <vt:i4>0</vt:i4>
      </vt:variant>
      <vt:variant>
        <vt:i4>5</vt:i4>
      </vt:variant>
      <vt:variant>
        <vt:lpwstr>http://www.ppp.gov.pl/Aktualnosci/Strony/Narzedzie_wspierajace_przygotowanie_projektu_PPP.aspx</vt:lpwstr>
      </vt:variant>
      <vt:variant>
        <vt:lpwstr/>
      </vt:variant>
      <vt:variant>
        <vt:i4>4915304</vt:i4>
      </vt:variant>
      <vt:variant>
        <vt:i4>9</vt:i4>
      </vt:variant>
      <vt:variant>
        <vt:i4>0</vt:i4>
      </vt:variant>
      <vt:variant>
        <vt:i4>5</vt:i4>
      </vt:variant>
      <vt:variant>
        <vt:lpwstr>http://www.mf.gov.pl/documents/764034/1002167/2015_05_wytyczne_jst.pdf</vt:lpwstr>
      </vt:variant>
      <vt:variant>
        <vt:lpwstr/>
      </vt:variant>
      <vt:variant>
        <vt:i4>2359340</vt:i4>
      </vt:variant>
      <vt:variant>
        <vt:i4>6</vt:i4>
      </vt:variant>
      <vt:variant>
        <vt:i4>0</vt:i4>
      </vt:variant>
      <vt:variant>
        <vt:i4>5</vt:i4>
      </vt:variant>
      <vt:variant>
        <vt:lpwstr>https://www.funduszeeuropejskie.gov.pl/strony/o-funduszach/dokumenty/wytyczne-ministra-infrastruktury-i-rozwoju-w-zakresie-zagadnien-zwiazanych-z-przygotowaniem-projektow-inwestycyjnych-w-tym-projektow-generujacych-dochod-i-projektow-hybrydowych-na-lata-2014-2020-1/</vt:lpwstr>
      </vt:variant>
      <vt:variant>
        <vt:lpwstr/>
      </vt:variant>
      <vt:variant>
        <vt:i4>2752565</vt:i4>
      </vt:variant>
      <vt:variant>
        <vt:i4>3</vt:i4>
      </vt:variant>
      <vt:variant>
        <vt:i4>0</vt:i4>
      </vt:variant>
      <vt:variant>
        <vt:i4>5</vt:i4>
      </vt:variant>
      <vt:variant>
        <vt:lpwstr>http://www.mr.gov.pl/strony/zadania/fundusze-europejskie/wytyczne/wytyczne-na-lata-2014-2020/wytyczne-ministra-infrastruktury-i-rozwoju-w-zakresie-zagadnien-zwiazanych-z-przygotowaniem-projektow-inwestycyjnych-w-tym-projektow-generujacych-dochod-i-projektow/</vt:lpwstr>
      </vt:variant>
      <vt:variant>
        <vt:lpwstr/>
      </vt:variant>
      <vt:variant>
        <vt:i4>6946939</vt:i4>
      </vt:variant>
      <vt:variant>
        <vt:i4>0</vt:i4>
      </vt:variant>
      <vt:variant>
        <vt:i4>0</vt:i4>
      </vt:variant>
      <vt:variant>
        <vt:i4>5</vt:i4>
      </vt:variant>
      <vt:variant>
        <vt:lpwstr>http://www.ppp.gov.pl/KonferencjeIseminaria/Documents/20120404_opinia_oplata_za_dostepnosc.pdf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ppp</dc:creator>
  <cp:keywords/>
  <dc:description/>
  <cp:lastModifiedBy>Katarzyna Moga</cp:lastModifiedBy>
  <cp:revision>71</cp:revision>
  <cp:lastPrinted>2026-10-22T08:41:00Z</cp:lastPrinted>
  <dcterms:created xsi:type="dcterms:W3CDTF">2026-02-09T08:32:00Z</dcterms:created>
  <dcterms:modified xsi:type="dcterms:W3CDTF">2026-10-22T08:41:00Z</dcterms:modified>
</cp:coreProperties>
</file>