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48" w:rsidRDefault="007B6648" w:rsidP="007B6648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:rsidR="007B6648" w:rsidRDefault="007B6648" w:rsidP="007B6648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3CAD8261" wp14:editId="676F9D73">
            <wp:extent cx="8248650" cy="846716"/>
            <wp:effectExtent l="0" t="0" r="0" b="0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6B" w:rsidRDefault="0056326B" w:rsidP="0056326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</w:p>
    <w:p w:rsidR="0056326B" w:rsidRDefault="0056326B" w:rsidP="0056326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:rsidR="0056326B" w:rsidRPr="00C14701" w:rsidRDefault="0056326B" w:rsidP="0056326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41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C14701">
        <w:rPr>
          <w:rFonts w:ascii="Calibri" w:eastAsia="Times New Roman" w:hAnsi="Calibri" w:cs="Calibri"/>
          <w:sz w:val="20"/>
          <w:szCs w:val="20"/>
        </w:rPr>
        <w:t>KM FEO 2021-2027</w:t>
      </w:r>
    </w:p>
    <w:p w:rsidR="0056326B" w:rsidRPr="00C14701" w:rsidRDefault="0056326B" w:rsidP="0056326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C14701">
        <w:rPr>
          <w:rFonts w:ascii="Calibri" w:eastAsia="Times New Roman" w:hAnsi="Calibri" w:cs="Calibri"/>
          <w:sz w:val="20"/>
          <w:szCs w:val="20"/>
        </w:rPr>
        <w:t>z dnia 11 maja 2023 r.</w:t>
      </w:r>
    </w:p>
    <w:p w:rsidR="007B6648" w:rsidRDefault="007B6648" w:rsidP="007B6648">
      <w:pPr>
        <w:rPr>
          <w:rFonts w:eastAsia="Calibri" w:cs="Times New Roman"/>
        </w:rPr>
      </w:pPr>
    </w:p>
    <w:p w:rsidR="007C7E85" w:rsidRDefault="007C7E85" w:rsidP="007B6648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7B6648" w:rsidRPr="003E3F00" w:rsidRDefault="00A63130" w:rsidP="007B6648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A6313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</w:t>
      </w:r>
      <w:r w:rsidR="006604D2">
        <w:rPr>
          <w:rFonts w:eastAsia="Times New Roman" w:cs="Calibri"/>
          <w:b/>
          <w:bCs/>
          <w:color w:val="000099"/>
          <w:sz w:val="48"/>
          <w:szCs w:val="48"/>
        </w:rPr>
        <w:t>DLA DZIAŁANIA 12.1</w:t>
      </w:r>
      <w:r w:rsidR="00B84885">
        <w:rPr>
          <w:rFonts w:eastAsia="Times New Roman" w:cs="Calibri"/>
          <w:b/>
          <w:bCs/>
          <w:color w:val="000099"/>
          <w:sz w:val="48"/>
          <w:szCs w:val="48"/>
        </w:rPr>
        <w:t xml:space="preserve"> POMOC TECHNICZNA</w:t>
      </w:r>
      <w:r w:rsidR="006604D2">
        <w:rPr>
          <w:rFonts w:eastAsia="Times New Roman" w:cs="Calibri"/>
          <w:b/>
          <w:bCs/>
          <w:color w:val="000099"/>
          <w:sz w:val="48"/>
          <w:szCs w:val="48"/>
        </w:rPr>
        <w:t xml:space="preserve"> EFS</w:t>
      </w:r>
      <w:r w:rsidR="005D40C6">
        <w:rPr>
          <w:rFonts w:eastAsia="Times New Roman" w:cs="Calibri"/>
          <w:b/>
          <w:bCs/>
          <w:color w:val="000099"/>
          <w:sz w:val="48"/>
          <w:szCs w:val="48"/>
        </w:rPr>
        <w:t xml:space="preserve"> +</w:t>
      </w:r>
    </w:p>
    <w:p w:rsidR="007B6648" w:rsidRPr="003E3F00" w:rsidRDefault="007B6648" w:rsidP="007B6648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:rsidR="007C7E85" w:rsidRDefault="007C7E85" w:rsidP="007B6648">
      <w:pPr>
        <w:rPr>
          <w:rFonts w:eastAsia="Times New Roman" w:cs="Calibri"/>
          <w:color w:val="000000"/>
          <w:sz w:val="24"/>
          <w:szCs w:val="24"/>
        </w:rPr>
      </w:pPr>
    </w:p>
    <w:p w:rsidR="007C7E85" w:rsidRDefault="007C7E85" w:rsidP="007B6648">
      <w:pPr>
        <w:rPr>
          <w:rFonts w:eastAsia="Times New Roman" w:cs="Calibri"/>
          <w:color w:val="000000"/>
          <w:sz w:val="24"/>
          <w:szCs w:val="24"/>
        </w:rPr>
      </w:pPr>
    </w:p>
    <w:p w:rsidR="007B6648" w:rsidRPr="00A63130" w:rsidRDefault="007B6648" w:rsidP="007B6648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666FFE">
        <w:rPr>
          <w:rFonts w:eastAsia="Times New Roman" w:cs="Calibri"/>
          <w:color w:val="000000"/>
          <w:sz w:val="24"/>
          <w:szCs w:val="24"/>
        </w:rPr>
        <w:t>maj</w:t>
      </w:r>
      <w:r w:rsidR="00A63130"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="00A63130">
        <w:rPr>
          <w:rFonts w:eastAsia="Times New Roman" w:cs="Calibri"/>
          <w:color w:val="000000"/>
          <w:sz w:val="24"/>
          <w:szCs w:val="24"/>
        </w:rPr>
        <w:t xml:space="preserve"> r.</w:t>
      </w:r>
    </w:p>
    <w:p w:rsidR="007B6648" w:rsidRPr="003E3F00" w:rsidRDefault="007B6648" w:rsidP="007B6648">
      <w:pPr>
        <w:rPr>
          <w:rFonts w:eastAsia="Calibri" w:cs="Times New Roman"/>
        </w:rPr>
      </w:pPr>
    </w:p>
    <w:p w:rsidR="007B6648" w:rsidRDefault="007B6648" w:rsidP="007B6648">
      <w:pPr>
        <w:rPr>
          <w:rFonts w:eastAsia="Calibri" w:cs="Times New Roman"/>
          <w:sz w:val="24"/>
          <w:szCs w:val="24"/>
        </w:rPr>
      </w:pPr>
    </w:p>
    <w:p w:rsidR="002A0DF4" w:rsidRDefault="002A0DF4" w:rsidP="007B6648">
      <w:pPr>
        <w:rPr>
          <w:rFonts w:eastAsia="Calibri" w:cs="Times New Roman"/>
          <w:sz w:val="24"/>
          <w:szCs w:val="24"/>
        </w:rPr>
      </w:pPr>
    </w:p>
    <w:p w:rsidR="002A0DF4" w:rsidRPr="003E3F00" w:rsidRDefault="002A0DF4" w:rsidP="007B6648">
      <w:pPr>
        <w:rPr>
          <w:rFonts w:eastAsia="Calibri" w:cs="Times New Roman"/>
          <w:sz w:val="24"/>
          <w:szCs w:val="24"/>
        </w:rPr>
      </w:pPr>
    </w:p>
    <w:tbl>
      <w:tblPr>
        <w:tblW w:w="15310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537"/>
        <w:gridCol w:w="7087"/>
        <w:gridCol w:w="3119"/>
      </w:tblGrid>
      <w:tr w:rsidR="009202D6" w:rsidRPr="00DA2673" w:rsidTr="00AA266D">
        <w:trPr>
          <w:trHeight w:val="246"/>
          <w:tblHeader/>
        </w:trPr>
        <w:tc>
          <w:tcPr>
            <w:tcW w:w="15310" w:type="dxa"/>
            <w:gridSpan w:val="4"/>
            <w:shd w:val="clear" w:color="auto" w:fill="D9D9D9"/>
            <w:noWrap/>
            <w:vAlign w:val="center"/>
          </w:tcPr>
          <w:p w:rsidR="009202D6" w:rsidRPr="00DA2673" w:rsidRDefault="009202D6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</w:t>
            </w:r>
          </w:p>
        </w:tc>
      </w:tr>
      <w:tr w:rsidR="00E93E6A" w:rsidRPr="00DA2673" w:rsidTr="00AA266D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:rsidR="00E93E6A" w:rsidRPr="00DA2673" w:rsidRDefault="00E93E6A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537" w:type="dxa"/>
            <w:shd w:val="clear" w:color="auto" w:fill="D9D9D9"/>
            <w:vAlign w:val="center"/>
          </w:tcPr>
          <w:p w:rsidR="00E93E6A" w:rsidRPr="00DA2673" w:rsidRDefault="00E93E6A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E93E6A" w:rsidRPr="00DA2673" w:rsidRDefault="00E93E6A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93E6A" w:rsidRPr="00DA2673" w:rsidRDefault="00E93E6A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E93E6A" w:rsidRPr="00DA2673" w:rsidTr="00AA266D">
        <w:trPr>
          <w:trHeight w:val="351"/>
          <w:tblHeader/>
        </w:trPr>
        <w:tc>
          <w:tcPr>
            <w:tcW w:w="567" w:type="dxa"/>
            <w:shd w:val="clear" w:color="auto" w:fill="F2F2F2"/>
            <w:noWrap/>
            <w:vAlign w:val="center"/>
          </w:tcPr>
          <w:p w:rsidR="00E93E6A" w:rsidRPr="00DA2673" w:rsidRDefault="00E93E6A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F2F2F2"/>
            <w:vAlign w:val="center"/>
          </w:tcPr>
          <w:p w:rsidR="00E93E6A" w:rsidRPr="00DA2673" w:rsidRDefault="00E93E6A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F2F2F2"/>
            <w:vAlign w:val="center"/>
          </w:tcPr>
          <w:p w:rsidR="00E93E6A" w:rsidRPr="00DA2673" w:rsidRDefault="00E93E6A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E93E6A" w:rsidRPr="00DA2673" w:rsidRDefault="00E93E6A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E93E6A" w:rsidRPr="00DA2673" w:rsidTr="00AA266D">
        <w:trPr>
          <w:trHeight w:val="1079"/>
        </w:trPr>
        <w:tc>
          <w:tcPr>
            <w:tcW w:w="567" w:type="dxa"/>
            <w:shd w:val="clear" w:color="auto" w:fill="FFFFFF"/>
            <w:noWrap/>
          </w:tcPr>
          <w:p w:rsidR="00E93E6A" w:rsidRDefault="00E93E6A" w:rsidP="00AE10C1">
            <w:pPr>
              <w:spacing w:after="0" w:line="276" w:lineRule="auto"/>
            </w:pPr>
          </w:p>
          <w:p w:rsidR="00E93E6A" w:rsidRDefault="00E93E6A" w:rsidP="00AE10C1">
            <w:pPr>
              <w:spacing w:after="0" w:line="276" w:lineRule="auto"/>
            </w:pPr>
          </w:p>
          <w:p w:rsidR="00E93E6A" w:rsidRDefault="00E93E6A" w:rsidP="00AE10C1">
            <w:pPr>
              <w:spacing w:after="0" w:line="276" w:lineRule="auto"/>
            </w:pPr>
          </w:p>
          <w:p w:rsidR="00E93E6A" w:rsidRPr="00DA2673" w:rsidRDefault="00E93E6A" w:rsidP="00AE10C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1258C">
              <w:t>1.</w:t>
            </w:r>
          </w:p>
        </w:tc>
        <w:tc>
          <w:tcPr>
            <w:tcW w:w="4537" w:type="dxa"/>
            <w:shd w:val="clear" w:color="auto" w:fill="FFFFFF"/>
          </w:tcPr>
          <w:p w:rsidR="00E93E6A" w:rsidRPr="00872EF7" w:rsidRDefault="00E93E6A" w:rsidP="00AE10C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Wniosek o dofinansowanie projektu został podpisany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sposób zgodny z Instrukcją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ramach programu</w:t>
            </w:r>
            <w:r>
              <w:rPr>
                <w:sz w:val="24"/>
                <w:szCs w:val="24"/>
              </w:rPr>
              <w:t xml:space="preserve"> regionalnego</w:t>
            </w:r>
            <w:r w:rsidRPr="0069390A">
              <w:rPr>
                <w:sz w:val="24"/>
                <w:szCs w:val="24"/>
              </w:rPr>
              <w:t xml:space="preserve"> Fundusze Europejskie dla Opolskiego 2021-2027 (zakres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EFS+)</w:t>
            </w:r>
          </w:p>
        </w:tc>
        <w:tc>
          <w:tcPr>
            <w:tcW w:w="7087" w:type="dxa"/>
          </w:tcPr>
          <w:p w:rsidR="00E93E6A" w:rsidRDefault="00E93E6A" w:rsidP="00AE10C1">
            <w:pPr>
              <w:spacing w:after="0" w:line="276" w:lineRule="auto"/>
              <w:rPr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 ramach kryterium weryfikuje się czy wniosek o dofinansowanie projektu został prawidłowo podpisany zgodnie z zapisami Instrukcji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 ramach programu</w:t>
            </w:r>
            <w:r>
              <w:rPr>
                <w:sz w:val="24"/>
                <w:szCs w:val="24"/>
              </w:rPr>
              <w:t xml:space="preserve"> regionalnego</w:t>
            </w:r>
            <w:r w:rsidRPr="0069390A">
              <w:rPr>
                <w:sz w:val="24"/>
                <w:szCs w:val="24"/>
              </w:rPr>
              <w:t xml:space="preserve"> Fundusze Europejskie dla Opolskiego 2021-2027 (zakres EFS+). </w:t>
            </w:r>
          </w:p>
          <w:p w:rsidR="00E93E6A" w:rsidRDefault="00E93E6A" w:rsidP="00AE10C1">
            <w:pPr>
              <w:spacing w:after="0" w:line="276" w:lineRule="auto"/>
              <w:rPr>
                <w:sz w:val="24"/>
                <w:szCs w:val="24"/>
              </w:rPr>
            </w:pPr>
          </w:p>
          <w:p w:rsidR="00E93E6A" w:rsidRPr="00872EF7" w:rsidRDefault="00E93E6A" w:rsidP="00AE10C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534E5"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</w:t>
            </w:r>
            <w:r w:rsidRPr="005534E5">
              <w:rPr>
                <w:rFonts w:eastAsia="Times New Roman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:rsidR="00E93E6A" w:rsidRPr="00872EF7" w:rsidRDefault="00E93E6A" w:rsidP="00AE10C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72EF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E93E6A" w:rsidRPr="00DA2673" w:rsidTr="00AA266D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E93E6A" w:rsidRPr="00E04144" w:rsidRDefault="00E93E6A" w:rsidP="00AE10C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7087" w:type="dxa"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Sprawdza się, czy wybrane wskaźniki w sposób kompleksowy opisują zakres rzeczowy i charakter projekt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u, a także czy mierzą założone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w nim cele/ grupy docelowe.</w:t>
            </w:r>
          </w:p>
          <w:p w:rsidR="00E93E6A" w:rsidRPr="00E04144" w:rsidRDefault="00E93E6A" w:rsidP="00AE10C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E93E6A" w:rsidRPr="00E04144" w:rsidRDefault="00E93E6A" w:rsidP="00AE10C1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E93E6A" w:rsidRPr="00DA2673" w:rsidTr="00AA266D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E93E6A" w:rsidRPr="00E04144" w:rsidRDefault="00E93E6A" w:rsidP="005E13D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Założone wartości docelowe wskaźników  są realne do osiągnięcia.</w:t>
            </w:r>
          </w:p>
        </w:tc>
        <w:tc>
          <w:tcPr>
            <w:tcW w:w="7087" w:type="dxa"/>
            <w:vAlign w:val="center"/>
          </w:tcPr>
          <w:p w:rsidR="00E93E6A" w:rsidRPr="00E04144" w:rsidRDefault="00E93E6A" w:rsidP="00AE10C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:rsidR="00E93E6A" w:rsidRPr="00E04144" w:rsidRDefault="00E93E6A" w:rsidP="00AE10C1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93E6A" w:rsidRPr="00E04144" w:rsidRDefault="00E93E6A" w:rsidP="00AE10C1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:rsidR="00E93E6A" w:rsidRPr="00E04144" w:rsidRDefault="00E93E6A" w:rsidP="00AE10C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93E6A" w:rsidRPr="00DA2673" w:rsidTr="00AA266D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:rsidR="00E93E6A" w:rsidRPr="00E04144" w:rsidDel="00C92703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Projekt będzie miał pozytywny wpływ na zasadę równości szans i niedyskryminac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ji,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br/>
              <w:t xml:space="preserve">w tym dostępność dla osób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br/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7087" w:type="dxa"/>
            <w:vAlign w:val="center"/>
          </w:tcPr>
          <w:p w:rsidR="00E93E6A" w:rsidRDefault="00E93E6A" w:rsidP="00AE10C1">
            <w:pPr>
              <w:spacing w:after="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 xml:space="preserve">Sprawdza się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czy wniosek ma pozytywny wpływ na zasadę równości szans i niedyskryminac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ji, w tym dostępności dla osób </w:t>
            </w:r>
            <w:r w:rsidR="00AA266D">
              <w:rPr>
                <w:rFonts w:ascii="Calibri" w:eastAsia="Calibri" w:hAnsi="Calibri" w:cs="Calibri"/>
                <w:iCs/>
                <w:sz w:val="24"/>
                <w:szCs w:val="24"/>
              </w:rPr>
              <w:br/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z niepełnoprawnościami. Przez pozytywny wpływ rozumie się zapewnienie wsparcia bez jakiejkolwiek dyskryminacji ze względu na przesłanki określone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w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art. 9 Rozporządzenia ogólnego, w tym   zapewnienie dostępności do oferowanego w projekcie wsparcia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br/>
              <w:t xml:space="preserve">i rekrutacji dla wszystkich jego uczestników/uczestniczek oraz zapewnienie dostępności wszystkich produktów projektu (w tym także usług), które nie zostały uznane za neutralne oraz zapewnienie dostępnych form komunikacji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i informacji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o projekcie dla wszystkich ich użytkowników/użytkowniczek – zgodnie ze standardami dostępności dla polityki spójności na lata 2021-2027.</w:t>
            </w:r>
          </w:p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:rsidR="00E93E6A" w:rsidRPr="007D27FF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E93E6A" w:rsidRPr="00DA2673" w:rsidTr="00AA266D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:rsidR="00E93E6A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537" w:type="dxa"/>
            <w:vAlign w:val="center"/>
          </w:tcPr>
          <w:p w:rsidR="00E93E6A" w:rsidRPr="005F7DA9" w:rsidRDefault="00E93E6A" w:rsidP="00272692">
            <w:pPr>
              <w:spacing w:after="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F7DA9">
              <w:rPr>
                <w:rFonts w:ascii="Calibri" w:hAnsi="Calibri" w:cs="Calibri"/>
                <w:sz w:val="24"/>
              </w:rPr>
              <w:t>Zgodność wniosku o dofinansowanie</w:t>
            </w:r>
            <w:r>
              <w:rPr>
                <w:rFonts w:ascii="Calibri" w:hAnsi="Calibri" w:cs="Calibri"/>
                <w:sz w:val="24"/>
              </w:rPr>
              <w:t xml:space="preserve"> projektu</w:t>
            </w:r>
            <w:r w:rsidRPr="005F7DA9">
              <w:rPr>
                <w:rFonts w:ascii="Calibri" w:hAnsi="Calibri" w:cs="Calibri"/>
                <w:sz w:val="24"/>
              </w:rPr>
              <w:t xml:space="preserve"> z prawodawstwem unijnym oraz krajowym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7087" w:type="dxa"/>
            <w:vAlign w:val="center"/>
          </w:tcPr>
          <w:p w:rsidR="00E93E6A" w:rsidRPr="005F7DA9" w:rsidRDefault="00E93E6A" w:rsidP="00AE10C1">
            <w:p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>W ramach k</w:t>
            </w:r>
            <w:r w:rsidR="00175B1C">
              <w:rPr>
                <w:rFonts w:ascii="Calibri" w:hAnsi="Calibri" w:cs="Calibri"/>
                <w:sz w:val="24"/>
              </w:rPr>
              <w:t>ryterium oceniana jest zgodność</w:t>
            </w:r>
            <w:r w:rsidRPr="005F7DA9">
              <w:rPr>
                <w:rFonts w:ascii="Calibri" w:hAnsi="Calibri" w:cs="Calibri"/>
                <w:sz w:val="24"/>
              </w:rPr>
              <w:t xml:space="preserve"> działań ujętych we wniosku o dofinansowanie z prawem unijnym i krajowym, w tym z:</w:t>
            </w:r>
          </w:p>
          <w:p w:rsidR="00E93E6A" w:rsidRPr="005F7DA9" w:rsidRDefault="00E93E6A" w:rsidP="007D27F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 xml:space="preserve">zasadą równości kobiet i mężczyzn; </w:t>
            </w:r>
          </w:p>
          <w:p w:rsidR="00E93E6A" w:rsidRPr="005F7DA9" w:rsidRDefault="00E93E6A" w:rsidP="007D27F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lastRenderedPageBreak/>
              <w:t>zasadą zrównoważonego rozwoju</w:t>
            </w:r>
            <w:r>
              <w:rPr>
                <w:rFonts w:ascii="Calibri" w:hAnsi="Calibri" w:cs="Calibri"/>
                <w:sz w:val="24"/>
              </w:rPr>
              <w:t xml:space="preserve"> oraz zasadą „nie czyń poważnych szkód” (DNSH)</w:t>
            </w:r>
            <w:r w:rsidRPr="005F7DA9">
              <w:rPr>
                <w:rFonts w:ascii="Calibri" w:hAnsi="Calibri" w:cs="Calibri"/>
                <w:sz w:val="24"/>
              </w:rPr>
              <w:t xml:space="preserve">; </w:t>
            </w:r>
          </w:p>
          <w:p w:rsidR="00E93E6A" w:rsidRPr="007D27FF" w:rsidRDefault="00E93E6A" w:rsidP="007D27F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>Kartą Praw Podstawowych Unii Europejskiej z dnia 26 października 2012 r. (Dz. Urz. UE C 326 z 26.10.2012, str. 391)</w:t>
            </w:r>
            <w:r>
              <w:rPr>
                <w:rFonts w:ascii="Calibri" w:hAnsi="Calibri" w:cs="Calibri"/>
                <w:sz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W sytuacji, gdy beneficjentem jest jednostka</w:t>
            </w:r>
            <w:r w:rsidRPr="00393B84">
              <w:rPr>
                <w:rFonts w:cstheme="minorHAnsi"/>
                <w:sz w:val="24"/>
                <w:szCs w:val="24"/>
              </w:rPr>
              <w:t xml:space="preserve"> samorządu terytorialnego (lub podmiot przez nią ko</w:t>
            </w:r>
            <w:r>
              <w:rPr>
                <w:rFonts w:cstheme="minorHAnsi"/>
                <w:sz w:val="24"/>
                <w:szCs w:val="24"/>
              </w:rPr>
              <w:t>ntrolowany lub od niej zależny), weryfikuje się, czy  nie podjęła</w:t>
            </w:r>
            <w:r w:rsidRPr="00393B84">
              <w:rPr>
                <w:rFonts w:cstheme="minorHAnsi"/>
                <w:sz w:val="24"/>
                <w:szCs w:val="24"/>
              </w:rPr>
              <w:t xml:space="preserve"> jaki</w:t>
            </w:r>
            <w:r>
              <w:rPr>
                <w:rFonts w:cstheme="minorHAnsi"/>
                <w:sz w:val="24"/>
                <w:szCs w:val="24"/>
              </w:rPr>
              <w:t xml:space="preserve">chkolwiek działań dyskryminujących, sprzecznych </w:t>
            </w:r>
            <w:r w:rsidRPr="00393B84">
              <w:rPr>
                <w:rFonts w:cstheme="minorHAnsi"/>
                <w:sz w:val="24"/>
                <w:szCs w:val="24"/>
              </w:rPr>
              <w:t>z zasadami, o których mowa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93B84">
              <w:rPr>
                <w:rFonts w:cstheme="minorHAnsi"/>
                <w:sz w:val="24"/>
                <w:szCs w:val="24"/>
              </w:rPr>
              <w:t>art. 9 ust. 3 rozporządzenia nr 2021/1060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F7DA9">
              <w:rPr>
                <w:rFonts w:ascii="Calibri" w:hAnsi="Calibri" w:cs="Calibri"/>
                <w:sz w:val="24"/>
              </w:rPr>
              <w:t>Przez zgodność z Kartą Praw Podstawowych Unii Europejskiej z dnia 26 października 2012 r. na etapie oceny wniosku należy rozumieć brak sprzeczności pomiędzy</w:t>
            </w:r>
            <w:r>
              <w:rPr>
                <w:rFonts w:ascii="Calibri" w:hAnsi="Calibri" w:cs="Calibri"/>
                <w:sz w:val="24"/>
              </w:rPr>
              <w:t xml:space="preserve"> zapisami projektu </w:t>
            </w:r>
            <w:r>
              <w:rPr>
                <w:rFonts w:ascii="Calibri" w:hAnsi="Calibri" w:cs="Calibri"/>
                <w:sz w:val="24"/>
              </w:rPr>
              <w:br/>
              <w:t>a wymogami tego dokumentu</w:t>
            </w:r>
            <w:r w:rsidRPr="005F7DA9">
              <w:rPr>
                <w:rFonts w:ascii="Calibri" w:hAnsi="Calibri" w:cs="Calibri"/>
                <w:sz w:val="24"/>
              </w:rPr>
              <w:t xml:space="preserve"> lub stwierdzenie, że te wymagania są neutralne wobec zakresu i zawartości projektu</w:t>
            </w:r>
            <w:r>
              <w:rPr>
                <w:rFonts w:ascii="Calibri" w:hAnsi="Calibri" w:cs="Calibri"/>
                <w:sz w:val="24"/>
              </w:rPr>
              <w:t>;</w:t>
            </w:r>
          </w:p>
          <w:p w:rsidR="00E93E6A" w:rsidRDefault="00E93E6A" w:rsidP="007D27F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 xml:space="preserve">Konwencją o Prawach Osób Niepełnosprawnych, sporządzoną w Nowym Jorku z dnia 13 grudnia 2006 r. (Dz. U. z 2012 r. poz. 1169, z późn. zm.). Przez zgodność z Konwencją o Prawach Osób Niepełnosprawnych na etapie oceny wniosku należy rozumieć brak sprzeczności pomiędzy zapisami projektu </w:t>
            </w:r>
            <w:r>
              <w:rPr>
                <w:rFonts w:ascii="Calibri" w:hAnsi="Calibri" w:cs="Calibri"/>
                <w:sz w:val="24"/>
              </w:rPr>
              <w:br/>
            </w:r>
            <w:r w:rsidRPr="005F7DA9">
              <w:rPr>
                <w:rFonts w:ascii="Calibri" w:hAnsi="Calibri" w:cs="Calibri"/>
                <w:sz w:val="24"/>
              </w:rPr>
              <w:t>a wymogami t</w:t>
            </w:r>
            <w:r>
              <w:rPr>
                <w:rFonts w:ascii="Calibri" w:hAnsi="Calibri" w:cs="Calibri"/>
                <w:sz w:val="24"/>
              </w:rPr>
              <w:t>ego</w:t>
            </w:r>
            <w:r w:rsidRPr="005F7DA9">
              <w:rPr>
                <w:rFonts w:ascii="Calibri" w:hAnsi="Calibri" w:cs="Calibri"/>
                <w:sz w:val="24"/>
              </w:rPr>
              <w:t xml:space="preserve"> dokument</w:t>
            </w:r>
            <w:r>
              <w:rPr>
                <w:rFonts w:ascii="Calibri" w:hAnsi="Calibri" w:cs="Calibri"/>
                <w:sz w:val="24"/>
              </w:rPr>
              <w:t>u</w:t>
            </w:r>
            <w:r w:rsidRPr="005F7DA9">
              <w:rPr>
                <w:rFonts w:ascii="Calibri" w:hAnsi="Calibri" w:cs="Calibri"/>
                <w:sz w:val="24"/>
              </w:rPr>
              <w:t xml:space="preserve"> lub stwierdzenie, że te wymagania są neutralne wobec zakresu i zawartości projektu.</w:t>
            </w:r>
          </w:p>
          <w:p w:rsidR="00E93E6A" w:rsidRDefault="00E93E6A" w:rsidP="005F7DA9">
            <w:pPr>
              <w:spacing w:after="0" w:line="276" w:lineRule="auto"/>
              <w:rPr>
                <w:rFonts w:ascii="Calibri" w:hAnsi="Calibri" w:cs="Calibri"/>
                <w:sz w:val="24"/>
              </w:rPr>
            </w:pPr>
          </w:p>
          <w:p w:rsidR="00E93E6A" w:rsidRPr="005F7DA9" w:rsidRDefault="00E93E6A" w:rsidP="005F7DA9">
            <w:p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93E6A" w:rsidRPr="00DA2673" w:rsidTr="00AA266D">
        <w:tblPrEx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567" w:type="dxa"/>
            <w:noWrap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:rsidR="00E93E6A" w:rsidRPr="003E3F00" w:rsidRDefault="00E93E6A" w:rsidP="00AE10C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Czy projekt jest zgodny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ze </w:t>
            </w:r>
            <w:r>
              <w:rPr>
                <w:rFonts w:eastAsia="Calibri" w:cs="Times New Roman"/>
                <w:sz w:val="24"/>
                <w:szCs w:val="24"/>
              </w:rPr>
              <w:t xml:space="preserve"> Szczegółowym Opisem</w:t>
            </w:r>
            <w:r w:rsidRPr="00C92703">
              <w:rPr>
                <w:rFonts w:eastAsia="Calibri" w:cs="Times New Roman"/>
                <w:sz w:val="24"/>
                <w:szCs w:val="24"/>
              </w:rPr>
              <w:t xml:space="preserve">  Priorytetów </w:t>
            </w:r>
            <w:r>
              <w:rPr>
                <w:rFonts w:eastAsia="Calibri" w:cs="Times New Roman"/>
                <w:sz w:val="24"/>
                <w:szCs w:val="24"/>
              </w:rPr>
              <w:t xml:space="preserve">Programu </w:t>
            </w:r>
            <w:r w:rsidRPr="00C92703">
              <w:rPr>
                <w:rFonts w:eastAsia="Calibri" w:cs="Times New Roman"/>
                <w:sz w:val="24"/>
                <w:szCs w:val="24"/>
              </w:rPr>
              <w:t>FEO 2021-2027 (dokument aktualny na dzień zatwierdzenia przez Zarząd Województwa Opolskiego Regulaminu wyboru projektów)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>w zakresie zgodności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sz w:val="24"/>
                <w:szCs w:val="24"/>
              </w:rPr>
              <w:t>z kartą działania, którego nabór dotyczy</w:t>
            </w:r>
            <w:r>
              <w:rPr>
                <w:rFonts w:eastAsia="Calibri" w:cs="Times New Roman"/>
                <w:sz w:val="24"/>
                <w:szCs w:val="24"/>
              </w:rPr>
              <w:t xml:space="preserve"> oraz </w:t>
            </w:r>
            <w:r>
              <w:rPr>
                <w:rFonts w:eastAsia="Calibri" w:cs="Times New Roman"/>
                <w:sz w:val="24"/>
                <w:szCs w:val="24"/>
              </w:rPr>
              <w:br/>
              <w:t>z regulaminem wyboru projektów.</w:t>
            </w:r>
          </w:p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93E6A" w:rsidRPr="00DA2673" w:rsidRDefault="00E93E6A" w:rsidP="00AE10C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:rsidR="00E93E6A" w:rsidRPr="00DA2673" w:rsidRDefault="00E93E6A" w:rsidP="00AE10C1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:rsidR="00E93E6A" w:rsidRPr="00DA2673" w:rsidRDefault="00E93E6A" w:rsidP="00AE10C1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:rsidR="00E93E6A" w:rsidRPr="00DA2673" w:rsidRDefault="00E93E6A" w:rsidP="00AE10C1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wydatków kwalifikowalnych w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projekcie (środki UE);</w:t>
            </w:r>
          </w:p>
          <w:p w:rsidR="00E93E6A" w:rsidRPr="00DA2673" w:rsidRDefault="00E93E6A" w:rsidP="00AE10C1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:rsidR="00E93E6A" w:rsidRPr="00DA2673" w:rsidRDefault="00E93E6A" w:rsidP="00AE10C1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innymi warunkami realizacji projektów.</w:t>
            </w:r>
          </w:p>
          <w:p w:rsidR="00E93E6A" w:rsidRPr="00DA2673" w:rsidRDefault="00E93E6A" w:rsidP="00AE10C1">
            <w:pPr>
              <w:spacing w:after="0" w:line="276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E93E6A" w:rsidRPr="00E04144" w:rsidRDefault="00E93E6A" w:rsidP="00AE10C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E93E6A" w:rsidRPr="00E04144" w:rsidRDefault="00E93E6A" w:rsidP="00AE10C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E93E6A" w:rsidRPr="00DA2673" w:rsidTr="00AA266D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67" w:type="dxa"/>
            <w:noWrap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:rsidR="00E93E6A" w:rsidRPr="00E04144" w:rsidRDefault="00E93E6A" w:rsidP="00AE10C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Kwalifikowalność wydatków projektu.</w:t>
            </w:r>
          </w:p>
        </w:tc>
        <w:tc>
          <w:tcPr>
            <w:tcW w:w="7087" w:type="dxa"/>
            <w:vAlign w:val="center"/>
          </w:tcPr>
          <w:p w:rsidR="00E93E6A" w:rsidRPr="00E04144" w:rsidRDefault="00E93E6A" w:rsidP="00AE10C1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Sprawdza się czy wszystkie wydatki planowane w związku z realizacją projektu: </w:t>
            </w:r>
          </w:p>
          <w:p w:rsidR="00E93E6A" w:rsidRPr="00E04144" w:rsidRDefault="00E93E6A" w:rsidP="00AE10C1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są racjonalne i niezbędne do realizacji celów projektu,</w:t>
            </w:r>
          </w:p>
          <w:p w:rsidR="00E93E6A" w:rsidRPr="00E04144" w:rsidRDefault="00E93E6A" w:rsidP="00AE10C1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są zgodne z cenami rynkowymi,</w:t>
            </w:r>
          </w:p>
          <w:p w:rsidR="00E93E6A" w:rsidRPr="00E04144" w:rsidRDefault="00E93E6A" w:rsidP="00AE10C1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są zgodne z </w:t>
            </w: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>Wytycznymi dotyczącymi kwalifikowalności wydatków na lata 2021-2027 (dokument aktualny na dzień zatwierdzenia przez Zarząd Województwa Opolskiego regulaminu wyboru projektów),</w:t>
            </w:r>
          </w:p>
          <w:p w:rsidR="00E93E6A" w:rsidRPr="00E04144" w:rsidRDefault="00E93E6A" w:rsidP="00AE10C1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>są zgodne z Wytycznymi dotyczącymi wykorzystania środków pomocy technicznej na lata 2021-2027 (dokument aktualny na dzień zatwierdzenia przez Zarząd Województwa Opolskiego regulamin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u</w:t>
            </w: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wyboru projektów)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</w:p>
          <w:p w:rsidR="00DB2761" w:rsidRPr="00DB2761" w:rsidRDefault="00E93E6A" w:rsidP="00AE10C1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>są zgodne ze Szczegółowym Opisem Priorytetów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programu</w:t>
            </w: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FEO 2021-2027 (dokument aktualny na dzień zatwierdzenia przez Zarząd Województwa Opolskie</w:t>
            </w:r>
            <w:r w:rsidR="00DB2761">
              <w:rPr>
                <w:rFonts w:ascii="Calibri" w:eastAsia="Calibri" w:hAnsi="Calibri" w:cs="Calibri"/>
                <w:bCs/>
                <w:sz w:val="24"/>
                <w:szCs w:val="24"/>
              </w:rPr>
              <w:t>go regulaminu wyboru projektów).</w:t>
            </w:r>
          </w:p>
          <w:p w:rsidR="00E93E6A" w:rsidRPr="00E04144" w:rsidRDefault="00E93E6A" w:rsidP="00DB2761">
            <w:pPr>
              <w:pStyle w:val="Akapitzlist"/>
              <w:tabs>
                <w:tab w:val="left" w:pos="502"/>
              </w:tabs>
              <w:spacing w:after="0" w:line="276" w:lineRule="auto"/>
              <w:ind w:left="317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  <w:p w:rsidR="00E93E6A" w:rsidRPr="00E04144" w:rsidRDefault="00E93E6A" w:rsidP="00AE10C1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:rsidR="00E93E6A" w:rsidRPr="00E04144" w:rsidRDefault="00E93E6A" w:rsidP="00AE10C1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E93E6A" w:rsidRPr="00DA2673" w:rsidTr="00AA266D">
        <w:trPr>
          <w:trHeight w:val="311"/>
        </w:trPr>
        <w:tc>
          <w:tcPr>
            <w:tcW w:w="567" w:type="dxa"/>
            <w:noWrap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93E6A" w:rsidRPr="00E04144" w:rsidRDefault="00E93E6A" w:rsidP="00AE10C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E6A" w:rsidRPr="00AE10C1" w:rsidRDefault="00E93E6A" w:rsidP="00AA266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W kryterium bada się poprawność sporządzenia budżetu projektu, w tym:</w:t>
            </w:r>
          </w:p>
          <w:p w:rsidR="00E93E6A" w:rsidRPr="00AE10C1" w:rsidRDefault="00E93E6A" w:rsidP="00AA266D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poprawność rachunkowa sporządzenia budżetu projektu,</w:t>
            </w:r>
          </w:p>
          <w:p w:rsidR="00E93E6A" w:rsidRDefault="00E93E6A" w:rsidP="00AA266D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źródła finansowania wkładu własnego.</w:t>
            </w:r>
          </w:p>
          <w:p w:rsidR="00E93E6A" w:rsidRPr="00AE10C1" w:rsidRDefault="00E93E6A" w:rsidP="00AA266D">
            <w:pPr>
              <w:spacing w:after="0" w:line="276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:rsidR="00E93E6A" w:rsidRPr="00AE10C1" w:rsidRDefault="00E93E6A" w:rsidP="00AA266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 xml:space="preserve">Kryterium jest weryfikowane na podstawie zapisów wniosku o dofinansowanie i/lub wyjaśnień udzielonych przez Wnioskodawcę i/lub informacji dotyczących projektu pozyskanych w inny sposób. 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93E6A" w:rsidRPr="00E04144" w:rsidRDefault="00E93E6A" w:rsidP="00AE10C1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E93E6A" w:rsidRPr="00DA2673" w:rsidTr="00AA266D">
        <w:trPr>
          <w:trHeight w:val="311"/>
        </w:trPr>
        <w:tc>
          <w:tcPr>
            <w:tcW w:w="567" w:type="dxa"/>
            <w:noWrap/>
            <w:vAlign w:val="center"/>
          </w:tcPr>
          <w:p w:rsidR="00E93E6A" w:rsidRPr="00E04144" w:rsidRDefault="00E93E6A" w:rsidP="00AE10C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93E6A" w:rsidRPr="00E04144" w:rsidRDefault="00E93E6A" w:rsidP="00AE10C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Trwałość projektu (jeśli dotyczy)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93E6A" w:rsidRPr="00AE10C1" w:rsidRDefault="00E93E6A" w:rsidP="00AA266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Zgodnie z art. 65 rozporządzenia ogólnego, trwałość projektów musi być zachowana przez okres 5 lat od daty płatności końcowej na rzecz beneficjenta.</w:t>
            </w:r>
          </w:p>
          <w:p w:rsidR="00E93E6A" w:rsidRPr="00AE10C1" w:rsidRDefault="00E93E6A" w:rsidP="00AA266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Zachowanie trwałości projektów Pomocy Technicznej dotyczy wyłącznie inwestycji w infrastrukturę. Za infrastrukturę  rozumie się wartość materialn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AE10C1">
              <w:rPr>
                <w:rFonts w:ascii="Calibri" w:hAnsi="Calibri" w:cs="Calibri"/>
                <w:sz w:val="24"/>
                <w:szCs w:val="24"/>
              </w:rPr>
              <w:t xml:space="preserve"> będąc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AE10C1">
              <w:rPr>
                <w:rFonts w:ascii="Calibri" w:hAnsi="Calibri" w:cs="Calibri"/>
                <w:sz w:val="24"/>
                <w:szCs w:val="24"/>
              </w:rPr>
              <w:t xml:space="preserve"> przedmiotem własności o charakterze trwałym spełniając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AE10C1">
              <w:rPr>
                <w:rFonts w:ascii="Calibri" w:hAnsi="Calibri" w:cs="Calibri"/>
                <w:sz w:val="24"/>
                <w:szCs w:val="24"/>
              </w:rPr>
              <w:t xml:space="preserve"> następujące warunki: </w:t>
            </w:r>
          </w:p>
          <w:p w:rsidR="00E93E6A" w:rsidRPr="00AE10C1" w:rsidRDefault="00E93E6A" w:rsidP="00AE10C1">
            <w:pPr>
              <w:pStyle w:val="Akapitzlist"/>
              <w:numPr>
                <w:ilvl w:val="0"/>
                <w:numId w:val="21"/>
              </w:num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 xml:space="preserve">ma charakter nieruchomy, tzn. jest na stałe przytwierdzona do podłoża lub do nieruchomości, </w:t>
            </w:r>
          </w:p>
          <w:p w:rsidR="00E93E6A" w:rsidRPr="00AE10C1" w:rsidRDefault="00E93E6A" w:rsidP="00AE10C1">
            <w:pPr>
              <w:pStyle w:val="Akapitzlist"/>
              <w:numPr>
                <w:ilvl w:val="0"/>
                <w:numId w:val="21"/>
              </w:num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 xml:space="preserve">ma nieograniczoną żywotność przy normalnym użytkowaniu obejmującym standardową dbałość i konserwację, </w:t>
            </w:r>
          </w:p>
          <w:p w:rsidR="00E93E6A" w:rsidRPr="00E93E6A" w:rsidRDefault="00E93E6A" w:rsidP="00AE10C1">
            <w:pPr>
              <w:pStyle w:val="Akapitzlist"/>
              <w:numPr>
                <w:ilvl w:val="0"/>
                <w:numId w:val="21"/>
              </w:num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zachowuje swój oryginalny kształt i wygląd w trakcie użytkowania.</w:t>
            </w:r>
          </w:p>
          <w:p w:rsidR="00E93E6A" w:rsidRPr="00AE10C1" w:rsidRDefault="00E93E6A" w:rsidP="00AE10C1">
            <w:p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</w:t>
            </w:r>
            <w:r w:rsidR="006737E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93E6A" w:rsidRPr="00E04144" w:rsidRDefault="00E93E6A" w:rsidP="00AE10C1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</w:tbl>
    <w:p w:rsidR="007B6648" w:rsidRPr="0072184F" w:rsidRDefault="007B6648" w:rsidP="007B6648">
      <w:pPr>
        <w:spacing w:after="0" w:line="240" w:lineRule="auto"/>
        <w:rPr>
          <w:rFonts w:eastAsia="Calibri" w:cs="Times New Roman"/>
          <w:b/>
          <w:sz w:val="2"/>
          <w:szCs w:val="2"/>
        </w:rPr>
      </w:pPr>
    </w:p>
    <w:sectPr w:rsidR="007B6648" w:rsidRPr="0072184F" w:rsidSect="000A587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FC" w:rsidRDefault="003A63FC">
      <w:pPr>
        <w:spacing w:after="0" w:line="240" w:lineRule="auto"/>
      </w:pPr>
      <w:r>
        <w:separator/>
      </w:r>
    </w:p>
  </w:endnote>
  <w:endnote w:type="continuationSeparator" w:id="0">
    <w:p w:rsidR="003A63FC" w:rsidRDefault="003A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250908"/>
      <w:docPartObj>
        <w:docPartGallery w:val="Page Numbers (Bottom of Page)"/>
        <w:docPartUnique/>
      </w:docPartObj>
    </w:sdtPr>
    <w:sdtEndPr/>
    <w:sdtContent>
      <w:p w:rsidR="00690846" w:rsidRDefault="00712947" w:rsidP="00712947">
        <w:pPr>
          <w:pStyle w:val="Stopka"/>
          <w:tabs>
            <w:tab w:val="left" w:pos="840"/>
            <w:tab w:val="right" w:pos="14004"/>
          </w:tabs>
        </w:pPr>
        <w:r>
          <w:tab/>
        </w:r>
        <w:r>
          <w:tab/>
        </w:r>
        <w:r>
          <w:tab/>
        </w:r>
        <w:r>
          <w:tab/>
        </w:r>
        <w:r w:rsidR="007B6648">
          <w:fldChar w:fldCharType="begin"/>
        </w:r>
        <w:r w:rsidR="007B6648">
          <w:instrText>PAGE   \* MERGEFORMAT</w:instrText>
        </w:r>
        <w:r w:rsidR="007B6648">
          <w:fldChar w:fldCharType="separate"/>
        </w:r>
        <w:r w:rsidR="0056326B">
          <w:rPr>
            <w:noProof/>
          </w:rPr>
          <w:t>2</w:t>
        </w:r>
        <w:r w:rsidR="007B6648">
          <w:fldChar w:fldCharType="end"/>
        </w:r>
      </w:p>
    </w:sdtContent>
  </w:sdt>
  <w:p w:rsidR="00690846" w:rsidRDefault="005632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CD" w:rsidRDefault="00AA12CD">
    <w:pPr>
      <w:pStyle w:val="Stopka"/>
      <w:jc w:val="right"/>
    </w:pPr>
  </w:p>
  <w:p w:rsidR="00AA12CD" w:rsidRDefault="00AA1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FC" w:rsidRDefault="003A63FC">
      <w:pPr>
        <w:spacing w:after="0" w:line="240" w:lineRule="auto"/>
      </w:pPr>
      <w:r>
        <w:separator/>
      </w:r>
    </w:p>
  </w:footnote>
  <w:footnote w:type="continuationSeparator" w:id="0">
    <w:p w:rsidR="003A63FC" w:rsidRDefault="003A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46" w:rsidRPr="00005EB1" w:rsidRDefault="0056326B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46" w:rsidRDefault="0056326B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C2A36"/>
    <w:multiLevelType w:val="hybridMultilevel"/>
    <w:tmpl w:val="39C0CE04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A5EA2"/>
    <w:multiLevelType w:val="hybridMultilevel"/>
    <w:tmpl w:val="673E2D9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E163592"/>
    <w:multiLevelType w:val="hybridMultilevel"/>
    <w:tmpl w:val="673E2D9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10"/>
  </w:num>
  <w:num w:numId="8">
    <w:abstractNumId w:val="0"/>
  </w:num>
  <w:num w:numId="9">
    <w:abstractNumId w:val="16"/>
  </w:num>
  <w:num w:numId="10">
    <w:abstractNumId w:val="19"/>
  </w:num>
  <w:num w:numId="11">
    <w:abstractNumId w:val="3"/>
  </w:num>
  <w:num w:numId="12">
    <w:abstractNumId w:val="4"/>
  </w:num>
  <w:num w:numId="13">
    <w:abstractNumId w:val="14"/>
  </w:num>
  <w:num w:numId="14">
    <w:abstractNumId w:val="7"/>
  </w:num>
  <w:num w:numId="15">
    <w:abstractNumId w:val="5"/>
  </w:num>
  <w:num w:numId="16">
    <w:abstractNumId w:val="17"/>
  </w:num>
  <w:num w:numId="17">
    <w:abstractNumId w:val="1"/>
  </w:num>
  <w:num w:numId="18">
    <w:abstractNumId w:val="12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48"/>
    <w:rsid w:val="000041DC"/>
    <w:rsid w:val="00043A58"/>
    <w:rsid w:val="00052CCB"/>
    <w:rsid w:val="000731F3"/>
    <w:rsid w:val="000A582D"/>
    <w:rsid w:val="000C0159"/>
    <w:rsid w:val="000D58EB"/>
    <w:rsid w:val="00153497"/>
    <w:rsid w:val="00175B1C"/>
    <w:rsid w:val="00272692"/>
    <w:rsid w:val="002A0DF4"/>
    <w:rsid w:val="002B36A7"/>
    <w:rsid w:val="002C4666"/>
    <w:rsid w:val="002E2998"/>
    <w:rsid w:val="003666F9"/>
    <w:rsid w:val="003806E9"/>
    <w:rsid w:val="003A3D44"/>
    <w:rsid w:val="003A3DDF"/>
    <w:rsid w:val="003A63FC"/>
    <w:rsid w:val="0042446F"/>
    <w:rsid w:val="004A635A"/>
    <w:rsid w:val="005528A0"/>
    <w:rsid w:val="005534E5"/>
    <w:rsid w:val="0056326B"/>
    <w:rsid w:val="005B30E7"/>
    <w:rsid w:val="005D0538"/>
    <w:rsid w:val="005D40C6"/>
    <w:rsid w:val="005E13D4"/>
    <w:rsid w:val="005F7DA9"/>
    <w:rsid w:val="00616E0D"/>
    <w:rsid w:val="00631BB1"/>
    <w:rsid w:val="0065321C"/>
    <w:rsid w:val="006604D2"/>
    <w:rsid w:val="00666FFE"/>
    <w:rsid w:val="006737E1"/>
    <w:rsid w:val="0067583D"/>
    <w:rsid w:val="00691D3B"/>
    <w:rsid w:val="006A682E"/>
    <w:rsid w:val="006F06C8"/>
    <w:rsid w:val="007008F0"/>
    <w:rsid w:val="00712947"/>
    <w:rsid w:val="00720F94"/>
    <w:rsid w:val="0072184F"/>
    <w:rsid w:val="007478A0"/>
    <w:rsid w:val="00775150"/>
    <w:rsid w:val="00780BEC"/>
    <w:rsid w:val="007B6648"/>
    <w:rsid w:val="007C7E85"/>
    <w:rsid w:val="007D27FF"/>
    <w:rsid w:val="008364FA"/>
    <w:rsid w:val="008526BC"/>
    <w:rsid w:val="0090232D"/>
    <w:rsid w:val="00902842"/>
    <w:rsid w:val="009202D6"/>
    <w:rsid w:val="00961FC3"/>
    <w:rsid w:val="009668C5"/>
    <w:rsid w:val="00981FFF"/>
    <w:rsid w:val="00994268"/>
    <w:rsid w:val="009E7E1E"/>
    <w:rsid w:val="00A50459"/>
    <w:rsid w:val="00A63130"/>
    <w:rsid w:val="00AA12CD"/>
    <w:rsid w:val="00AA266D"/>
    <w:rsid w:val="00AB23C5"/>
    <w:rsid w:val="00AE10C1"/>
    <w:rsid w:val="00B062EA"/>
    <w:rsid w:val="00B748CA"/>
    <w:rsid w:val="00B83EA7"/>
    <w:rsid w:val="00B84885"/>
    <w:rsid w:val="00B91F25"/>
    <w:rsid w:val="00BD5893"/>
    <w:rsid w:val="00C82569"/>
    <w:rsid w:val="00C92C51"/>
    <w:rsid w:val="00CD1F36"/>
    <w:rsid w:val="00D76B40"/>
    <w:rsid w:val="00DA2673"/>
    <w:rsid w:val="00DB2761"/>
    <w:rsid w:val="00E04144"/>
    <w:rsid w:val="00E16F48"/>
    <w:rsid w:val="00E37F33"/>
    <w:rsid w:val="00E91928"/>
    <w:rsid w:val="00E93E6A"/>
    <w:rsid w:val="00EA50A4"/>
    <w:rsid w:val="00EA7797"/>
    <w:rsid w:val="00F07E2F"/>
    <w:rsid w:val="00F26AD8"/>
    <w:rsid w:val="00FA4E62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096A0-2616-444B-8117-A9B802A9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48"/>
  </w:style>
  <w:style w:type="paragraph" w:styleId="Stopka">
    <w:name w:val="footer"/>
    <w:basedOn w:val="Normalny"/>
    <w:link w:val="StopkaZnak"/>
    <w:uiPriority w:val="99"/>
    <w:unhideWhenUsed/>
    <w:rsid w:val="007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48"/>
  </w:style>
  <w:style w:type="paragraph" w:styleId="Akapitzlist">
    <w:name w:val="List Paragraph"/>
    <w:basedOn w:val="Normalny"/>
    <w:uiPriority w:val="34"/>
    <w:qFormat/>
    <w:rsid w:val="007B6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3</cp:revision>
  <dcterms:created xsi:type="dcterms:W3CDTF">2023-05-17T11:08:00Z</dcterms:created>
  <dcterms:modified xsi:type="dcterms:W3CDTF">2023-05-17T11:13:00Z</dcterms:modified>
</cp:coreProperties>
</file>