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E8FFE" w14:textId="77777777" w:rsidR="00153376" w:rsidRDefault="00FD7D65" w:rsidP="00153376">
      <w:pPr>
        <w:jc w:val="center"/>
        <w:rPr>
          <w:b/>
          <w:color w:val="000099"/>
          <w:sz w:val="36"/>
          <w:szCs w:val="36"/>
        </w:rPr>
      </w:pPr>
      <w:r>
        <w:rPr>
          <w:b/>
          <w:noProof/>
          <w:color w:val="000099"/>
          <w:sz w:val="36"/>
          <w:szCs w:val="36"/>
          <w:lang w:eastAsia="pl-PL"/>
        </w:rPr>
        <w:drawing>
          <wp:inline distT="0" distB="0" distL="0" distR="0" wp14:anchorId="2BA4795D" wp14:editId="5FD0B16F">
            <wp:extent cx="8892540" cy="911928"/>
            <wp:effectExtent l="0" t="0" r="381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911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E12E7C" w14:textId="4C9C27FF" w:rsidR="00022D97" w:rsidRDefault="00022D97" w:rsidP="00022D97">
      <w:pPr>
        <w:pStyle w:val="Nagwek"/>
        <w:ind w:left="1276" w:firstLine="5245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do Uchwały Nr 9</w:t>
      </w:r>
      <w:bookmarkStart w:id="0" w:name="_GoBack"/>
      <w:bookmarkEnd w:id="0"/>
    </w:p>
    <w:p w14:paraId="12C0F1B7" w14:textId="77777777" w:rsidR="00022D97" w:rsidRDefault="00022D97" w:rsidP="00022D97">
      <w:pPr>
        <w:pStyle w:val="Nagwek"/>
        <w:ind w:left="1276" w:firstLine="5245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KM FEO 2021-2027</w:t>
      </w:r>
    </w:p>
    <w:p w14:paraId="0F05A278" w14:textId="77777777" w:rsidR="00022D97" w:rsidRDefault="00022D97" w:rsidP="00022D97">
      <w:pPr>
        <w:pStyle w:val="Nagwek"/>
        <w:ind w:left="1276" w:firstLine="5245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 dnia 2 marca 2023 r.</w:t>
      </w:r>
    </w:p>
    <w:p w14:paraId="3146F727" w14:textId="77777777" w:rsidR="00153376" w:rsidRDefault="00153376" w:rsidP="00153376">
      <w:pPr>
        <w:rPr>
          <w:b/>
          <w:color w:val="000099"/>
          <w:sz w:val="36"/>
          <w:szCs w:val="36"/>
        </w:rPr>
      </w:pPr>
    </w:p>
    <w:p w14:paraId="11F29E75" w14:textId="1DC86C3E" w:rsidR="00153376" w:rsidRDefault="005217B3" w:rsidP="005217B3">
      <w:pPr>
        <w:tabs>
          <w:tab w:val="left" w:pos="12210"/>
        </w:tabs>
        <w:rPr>
          <w:b/>
          <w:color w:val="000099"/>
          <w:sz w:val="36"/>
          <w:szCs w:val="36"/>
        </w:rPr>
      </w:pPr>
      <w:r>
        <w:rPr>
          <w:b/>
          <w:color w:val="000099"/>
          <w:sz w:val="36"/>
          <w:szCs w:val="36"/>
        </w:rPr>
        <w:tab/>
      </w:r>
    </w:p>
    <w:p w14:paraId="23B5B277" w14:textId="77777777" w:rsidR="00153376" w:rsidRPr="002F4D0A" w:rsidRDefault="00153376" w:rsidP="00153376">
      <w:pPr>
        <w:rPr>
          <w:b/>
          <w:color w:val="000099"/>
          <w:sz w:val="36"/>
          <w:szCs w:val="36"/>
        </w:rPr>
      </w:pPr>
      <w:r w:rsidRPr="002F4D0A">
        <w:rPr>
          <w:b/>
          <w:color w:val="000099"/>
          <w:sz w:val="36"/>
          <w:szCs w:val="36"/>
        </w:rPr>
        <w:t>KRYTERIA MERYTORYCZNE SZCZEGÓŁOWE</w:t>
      </w:r>
    </w:p>
    <w:p w14:paraId="0C8C4F68" w14:textId="77777777" w:rsidR="00153376" w:rsidRPr="002F4D0A" w:rsidRDefault="00153376" w:rsidP="00153376">
      <w:pPr>
        <w:rPr>
          <w:b/>
          <w:color w:val="000099"/>
          <w:sz w:val="36"/>
          <w:szCs w:val="36"/>
        </w:rPr>
      </w:pPr>
    </w:p>
    <w:p w14:paraId="7DCF09E4" w14:textId="77777777" w:rsidR="00153376" w:rsidRPr="002F4D0A" w:rsidRDefault="00153376" w:rsidP="00153376">
      <w:pPr>
        <w:rPr>
          <w:b/>
          <w:color w:val="000099"/>
          <w:sz w:val="36"/>
          <w:szCs w:val="36"/>
        </w:rPr>
      </w:pPr>
      <w:r w:rsidRPr="002F4D0A">
        <w:rPr>
          <w:b/>
          <w:color w:val="000099"/>
          <w:sz w:val="36"/>
          <w:szCs w:val="36"/>
        </w:rPr>
        <w:t>PRIORYTET I Fundusze europejskie na rzecz wzrostu innowacyjności i konkurencyjności opolskiego</w:t>
      </w:r>
    </w:p>
    <w:p w14:paraId="0ABB6A1D" w14:textId="77777777" w:rsidR="00153376" w:rsidRPr="002F4D0A" w:rsidRDefault="00153376" w:rsidP="00153376">
      <w:pPr>
        <w:rPr>
          <w:b/>
          <w:color w:val="000099"/>
          <w:sz w:val="36"/>
          <w:szCs w:val="36"/>
        </w:rPr>
      </w:pPr>
    </w:p>
    <w:p w14:paraId="52E29ECB" w14:textId="77777777" w:rsidR="00153376" w:rsidRPr="002F4D0A" w:rsidRDefault="002866B5" w:rsidP="00153376">
      <w:pPr>
        <w:rPr>
          <w:b/>
          <w:color w:val="000099"/>
          <w:sz w:val="36"/>
          <w:szCs w:val="36"/>
        </w:rPr>
      </w:pPr>
      <w:r w:rsidRPr="002F4D0A">
        <w:rPr>
          <w:b/>
          <w:color w:val="000099"/>
          <w:sz w:val="36"/>
          <w:szCs w:val="36"/>
        </w:rPr>
        <w:t>DZIAŁANIE 1.2 OPOLSKIE INNOWACYJNE</w:t>
      </w:r>
    </w:p>
    <w:p w14:paraId="03459C6D" w14:textId="77777777" w:rsidR="00230E1B" w:rsidRDefault="00230E1B" w:rsidP="00153376">
      <w:pPr>
        <w:rPr>
          <w:b/>
          <w:color w:val="000099"/>
          <w:sz w:val="36"/>
          <w:szCs w:val="36"/>
        </w:rPr>
      </w:pPr>
    </w:p>
    <w:p w14:paraId="2D67EBBD" w14:textId="639C6E70" w:rsidR="00153376" w:rsidRPr="002F4D0A" w:rsidRDefault="00153376" w:rsidP="00153376">
      <w:pPr>
        <w:rPr>
          <w:b/>
          <w:color w:val="000099"/>
          <w:sz w:val="36"/>
          <w:szCs w:val="36"/>
        </w:rPr>
      </w:pPr>
      <w:r w:rsidRPr="002F4D0A">
        <w:rPr>
          <w:b/>
          <w:color w:val="000099"/>
          <w:sz w:val="36"/>
          <w:szCs w:val="36"/>
        </w:rPr>
        <w:t>Opole, 2023 r.</w:t>
      </w:r>
    </w:p>
    <w:tbl>
      <w:tblPr>
        <w:tblW w:w="5468" w:type="pct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9"/>
        <w:gridCol w:w="3486"/>
        <w:gridCol w:w="9611"/>
        <w:gridCol w:w="1708"/>
      </w:tblGrid>
      <w:tr w:rsidR="0047359B" w:rsidRPr="001015B8" w14:paraId="4909E6CD" w14:textId="77777777" w:rsidTr="0047359B">
        <w:trPr>
          <w:trHeight w:val="447"/>
          <w:tblHeader/>
          <w:jc w:val="center"/>
        </w:trPr>
        <w:tc>
          <w:tcPr>
            <w:tcW w:w="5000" w:type="pct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DDDDDD"/>
            <w:noWrap/>
            <w:vAlign w:val="center"/>
          </w:tcPr>
          <w:p w14:paraId="06CB8715" w14:textId="77777777" w:rsidR="0047359B" w:rsidRPr="00D320D4" w:rsidRDefault="0047359B" w:rsidP="00153376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D320D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lastRenderedPageBreak/>
              <w:t xml:space="preserve">Priorytet:  </w:t>
            </w:r>
            <w:r w:rsidRPr="00D320D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eastAsia="zh-CN"/>
              </w:rPr>
              <w:t>Fundusze europejskie na rzecz wzrostu innowacyjności i konkurencyjności opolskiego</w:t>
            </w:r>
          </w:p>
        </w:tc>
      </w:tr>
      <w:tr w:rsidR="0047359B" w:rsidRPr="001015B8" w14:paraId="350C7923" w14:textId="77777777" w:rsidTr="0047359B">
        <w:trPr>
          <w:trHeight w:val="341"/>
          <w:tblHeader/>
          <w:jc w:val="center"/>
        </w:trPr>
        <w:tc>
          <w:tcPr>
            <w:tcW w:w="5000" w:type="pct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D9D9D9"/>
            <w:noWrap/>
            <w:vAlign w:val="center"/>
          </w:tcPr>
          <w:p w14:paraId="1BE82CD4" w14:textId="77777777" w:rsidR="0047359B" w:rsidRPr="00D320D4" w:rsidRDefault="0047359B" w:rsidP="00153376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D320D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Działanie: </w:t>
            </w:r>
            <w:r w:rsidR="002866B5" w:rsidRPr="002866B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1.2  Opolskie innowacyjne</w:t>
            </w:r>
          </w:p>
        </w:tc>
      </w:tr>
      <w:tr w:rsidR="00153376" w:rsidRPr="001015B8" w14:paraId="43ACAF06" w14:textId="77777777" w:rsidTr="0047359B">
        <w:trPr>
          <w:trHeight w:val="70"/>
          <w:tblHeader/>
          <w:jc w:val="center"/>
        </w:trPr>
        <w:tc>
          <w:tcPr>
            <w:tcW w:w="5000" w:type="pct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CCFF66"/>
            <w:noWrap/>
            <w:vAlign w:val="center"/>
          </w:tcPr>
          <w:p w14:paraId="3A900F6D" w14:textId="77777777" w:rsidR="00153376" w:rsidRPr="00D320D4" w:rsidRDefault="002866B5" w:rsidP="00153376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Postępowanie niekonkurencyjne</w:t>
            </w:r>
          </w:p>
        </w:tc>
      </w:tr>
      <w:tr w:rsidR="00153376" w:rsidRPr="001015B8" w14:paraId="2C124472" w14:textId="77777777" w:rsidTr="0047359B">
        <w:trPr>
          <w:trHeight w:val="281"/>
          <w:tblHeader/>
          <w:jc w:val="center"/>
        </w:trPr>
        <w:tc>
          <w:tcPr>
            <w:tcW w:w="5000" w:type="pct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CCFF66"/>
            <w:noWrap/>
          </w:tcPr>
          <w:p w14:paraId="52C35EA2" w14:textId="77777777" w:rsidR="00153376" w:rsidRPr="00D320D4" w:rsidRDefault="00153376" w:rsidP="00153376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D320D4">
              <w:rPr>
                <w:rFonts w:asciiTheme="minorHAnsi" w:hAnsiTheme="minorHAnsi" w:cstheme="minorHAnsi"/>
                <w:b/>
                <w:color w:val="000099"/>
                <w:sz w:val="24"/>
                <w:szCs w:val="24"/>
              </w:rPr>
              <w:t>Kryteria merytoryczne szczegółowe (TAK/NIE)</w:t>
            </w:r>
          </w:p>
        </w:tc>
      </w:tr>
      <w:tr w:rsidR="00153376" w:rsidRPr="001015B8" w14:paraId="17838BAD" w14:textId="77777777" w:rsidTr="000860DA">
        <w:trPr>
          <w:trHeight w:val="595"/>
          <w:tblHeader/>
          <w:jc w:val="center"/>
        </w:trPr>
        <w:tc>
          <w:tcPr>
            <w:tcW w:w="16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noWrap/>
            <w:vAlign w:val="center"/>
          </w:tcPr>
          <w:p w14:paraId="53D889DA" w14:textId="77777777" w:rsidR="00153376" w:rsidRPr="00D320D4" w:rsidRDefault="00153376" w:rsidP="0015337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D320D4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L.p.</w:t>
            </w:r>
          </w:p>
        </w:tc>
        <w:tc>
          <w:tcPr>
            <w:tcW w:w="1139" w:type="pct"/>
            <w:shd w:val="clear" w:color="auto" w:fill="D9D9D9"/>
            <w:noWrap/>
            <w:vAlign w:val="center"/>
          </w:tcPr>
          <w:p w14:paraId="352D5221" w14:textId="77777777" w:rsidR="00153376" w:rsidRPr="00D320D4" w:rsidRDefault="00153376" w:rsidP="0015337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D320D4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3140" w:type="pct"/>
            <w:shd w:val="clear" w:color="auto" w:fill="D9D9D9"/>
            <w:vAlign w:val="center"/>
          </w:tcPr>
          <w:p w14:paraId="26B47EFA" w14:textId="77777777" w:rsidR="00153376" w:rsidRPr="00D320D4" w:rsidRDefault="00153376" w:rsidP="0015337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D320D4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558" w:type="pct"/>
            <w:shd w:val="clear" w:color="auto" w:fill="D9D9D9"/>
            <w:vAlign w:val="center"/>
          </w:tcPr>
          <w:p w14:paraId="7577FF21" w14:textId="77777777" w:rsidR="00153376" w:rsidRPr="00D320D4" w:rsidRDefault="00153376" w:rsidP="0015337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D320D4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153376" w:rsidRPr="0073524C" w14:paraId="314FE9B7" w14:textId="77777777" w:rsidTr="000860DA">
        <w:trPr>
          <w:trHeight w:val="255"/>
          <w:tblHeader/>
          <w:jc w:val="center"/>
        </w:trPr>
        <w:tc>
          <w:tcPr>
            <w:tcW w:w="163" w:type="pct"/>
            <w:shd w:val="clear" w:color="auto" w:fill="F2F2F2"/>
            <w:noWrap/>
            <w:vAlign w:val="bottom"/>
          </w:tcPr>
          <w:p w14:paraId="2C923AE6" w14:textId="77777777" w:rsidR="00153376" w:rsidRPr="00D320D4" w:rsidRDefault="00153376" w:rsidP="00153376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D320D4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1139" w:type="pct"/>
            <w:shd w:val="clear" w:color="auto" w:fill="F2F2F2"/>
            <w:noWrap/>
            <w:vAlign w:val="bottom"/>
          </w:tcPr>
          <w:p w14:paraId="00EA553D" w14:textId="77777777" w:rsidR="00153376" w:rsidRPr="00D320D4" w:rsidRDefault="00153376" w:rsidP="00153376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D320D4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3140" w:type="pct"/>
            <w:shd w:val="clear" w:color="auto" w:fill="F2F2F2"/>
            <w:vAlign w:val="bottom"/>
          </w:tcPr>
          <w:p w14:paraId="38D4A3CE" w14:textId="77777777" w:rsidR="00153376" w:rsidRPr="00D320D4" w:rsidRDefault="00153376" w:rsidP="00153376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D320D4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558" w:type="pct"/>
            <w:shd w:val="clear" w:color="auto" w:fill="F2F2F2"/>
          </w:tcPr>
          <w:p w14:paraId="509CFAD7" w14:textId="77777777" w:rsidR="00153376" w:rsidRPr="00D320D4" w:rsidRDefault="00153376" w:rsidP="00153376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r w:rsidRPr="00D320D4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4</w:t>
            </w:r>
          </w:p>
        </w:tc>
      </w:tr>
      <w:tr w:rsidR="00153376" w:rsidRPr="00796D16" w14:paraId="6C81ECB8" w14:textId="77777777" w:rsidTr="000860DA">
        <w:trPr>
          <w:trHeight w:val="644"/>
          <w:jc w:val="center"/>
        </w:trPr>
        <w:tc>
          <w:tcPr>
            <w:tcW w:w="163" w:type="pct"/>
            <w:noWrap/>
            <w:vAlign w:val="center"/>
          </w:tcPr>
          <w:p w14:paraId="61C5E2A0" w14:textId="77777777" w:rsidR="00153376" w:rsidRPr="00796D16" w:rsidRDefault="00153376" w:rsidP="0015337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139" w:type="pct"/>
            <w:vAlign w:val="center"/>
          </w:tcPr>
          <w:p w14:paraId="7F940976" w14:textId="77777777" w:rsidR="00153376" w:rsidRPr="00796D16" w:rsidRDefault="0011296A" w:rsidP="0015337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1296A">
              <w:rPr>
                <w:rFonts w:asciiTheme="minorHAnsi" w:hAnsiTheme="minorHAnsi"/>
                <w:sz w:val="24"/>
              </w:rPr>
              <w:t xml:space="preserve">Zdolność operacyjna </w:t>
            </w:r>
            <w:r w:rsidRPr="0011296A">
              <w:rPr>
                <w:rFonts w:asciiTheme="minorHAnsi" w:hAnsiTheme="minorHAnsi"/>
                <w:sz w:val="24"/>
              </w:rPr>
              <w:br/>
              <w:t>i potencjał organizacyjny</w:t>
            </w:r>
          </w:p>
        </w:tc>
        <w:tc>
          <w:tcPr>
            <w:tcW w:w="3140" w:type="pct"/>
            <w:vAlign w:val="center"/>
          </w:tcPr>
          <w:p w14:paraId="522E6FCF" w14:textId="77777777" w:rsidR="00230E1B" w:rsidRPr="00A82C13" w:rsidRDefault="00230E1B" w:rsidP="00230E1B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2C13">
              <w:rPr>
                <w:rFonts w:cstheme="minorHAnsi"/>
                <w:sz w:val="24"/>
                <w:szCs w:val="24"/>
              </w:rPr>
              <w:t>Wnioskodawca wykazuje odpowiednią zdolność operacyjną do wdrażania projektu, w tym posiada właściwą strukturę organizacyjną do pełnienia funkcji podmiotu wdrażającego projekt i odpowiednie zaplecze techniczne.</w:t>
            </w:r>
          </w:p>
          <w:p w14:paraId="5A842779" w14:textId="77777777" w:rsidR="00230E1B" w:rsidRPr="00A82C13" w:rsidRDefault="00230E1B" w:rsidP="00230E1B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2C13">
              <w:rPr>
                <w:rFonts w:cstheme="minorHAnsi"/>
                <w:sz w:val="24"/>
                <w:szCs w:val="24"/>
              </w:rPr>
              <w:t>Wnioskodawca posiada doświadczenie w realizacji podobnych projektów i pełnieniu podobnych funkcji.</w:t>
            </w:r>
          </w:p>
          <w:p w14:paraId="1AEB2D8B" w14:textId="77777777" w:rsidR="00230E1B" w:rsidRPr="00A82C13" w:rsidRDefault="00230E1B" w:rsidP="00230E1B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2C13">
              <w:rPr>
                <w:rFonts w:cstheme="minorHAnsi"/>
                <w:sz w:val="24"/>
                <w:szCs w:val="24"/>
              </w:rPr>
              <w:t>Wnioskodawca dysponuje zespołem o odpowiedniej wiedzy, doświadczeniu i kwalifikacjach.</w:t>
            </w:r>
          </w:p>
          <w:p w14:paraId="4B3EE624" w14:textId="77777777" w:rsidR="00230E1B" w:rsidRPr="00A82C13" w:rsidRDefault="00230E1B" w:rsidP="00230E1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D1F4B6E" w14:textId="470FD935" w:rsidR="00153376" w:rsidRPr="00796D16" w:rsidRDefault="00230E1B" w:rsidP="00230E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82C13"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 i/lub informacji do</w:t>
            </w:r>
            <w:r>
              <w:rPr>
                <w:rFonts w:cstheme="minorHAnsi"/>
                <w:sz w:val="24"/>
                <w:szCs w:val="24"/>
              </w:rPr>
              <w:t xml:space="preserve">tyczących projektu pozyskanych </w:t>
            </w:r>
            <w:r w:rsidRPr="00A82C13">
              <w:rPr>
                <w:rFonts w:cstheme="minorHAnsi"/>
                <w:sz w:val="24"/>
                <w:szCs w:val="24"/>
              </w:rPr>
              <w:t>w inny sposób.</w:t>
            </w:r>
          </w:p>
        </w:tc>
        <w:tc>
          <w:tcPr>
            <w:tcW w:w="558" w:type="pct"/>
            <w:vAlign w:val="center"/>
          </w:tcPr>
          <w:p w14:paraId="449D95A0" w14:textId="77777777" w:rsidR="00153376" w:rsidRDefault="00153376" w:rsidP="001533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230E1B" w:rsidRPr="00796D16" w14:paraId="38CD42D8" w14:textId="77777777" w:rsidTr="000860DA">
        <w:trPr>
          <w:trHeight w:val="644"/>
          <w:jc w:val="center"/>
        </w:trPr>
        <w:tc>
          <w:tcPr>
            <w:tcW w:w="163" w:type="pct"/>
            <w:noWrap/>
            <w:vAlign w:val="center"/>
          </w:tcPr>
          <w:p w14:paraId="4F6347A1" w14:textId="77777777" w:rsidR="00230E1B" w:rsidRDefault="00230E1B" w:rsidP="00230E1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1139" w:type="pct"/>
            <w:vAlign w:val="center"/>
          </w:tcPr>
          <w:p w14:paraId="2EBFBDD6" w14:textId="77777777" w:rsidR="00230E1B" w:rsidRDefault="00230E1B" w:rsidP="00230E1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56D6">
              <w:rPr>
                <w:rFonts w:asciiTheme="minorHAnsi" w:hAnsiTheme="minorHAnsi" w:cstheme="minorHAnsi"/>
                <w:sz w:val="24"/>
                <w:szCs w:val="24"/>
              </w:rPr>
              <w:t xml:space="preserve">Doświadczenie we współpracy </w:t>
            </w:r>
            <w:r w:rsidRPr="003156D6">
              <w:rPr>
                <w:rFonts w:asciiTheme="minorHAnsi" w:hAnsiTheme="minorHAnsi" w:cstheme="minorHAnsi"/>
                <w:sz w:val="24"/>
                <w:szCs w:val="24"/>
              </w:rPr>
              <w:br/>
              <w:t>z jednostkami B+R</w:t>
            </w:r>
          </w:p>
        </w:tc>
        <w:tc>
          <w:tcPr>
            <w:tcW w:w="3140" w:type="pct"/>
            <w:vAlign w:val="center"/>
          </w:tcPr>
          <w:p w14:paraId="445607E4" w14:textId="77777777" w:rsidR="00230E1B" w:rsidRPr="00A82C13" w:rsidRDefault="00230E1B" w:rsidP="00230E1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2C13">
              <w:rPr>
                <w:rFonts w:cstheme="minorHAnsi"/>
                <w:sz w:val="24"/>
                <w:szCs w:val="24"/>
              </w:rPr>
              <w:t xml:space="preserve">Wnioskodawca posiada doświadczenie we współpracy z jednostkami B+R. </w:t>
            </w:r>
          </w:p>
          <w:p w14:paraId="33797D16" w14:textId="77777777" w:rsidR="00230E1B" w:rsidRPr="00A82C13" w:rsidRDefault="00230E1B" w:rsidP="00230E1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2C13">
              <w:rPr>
                <w:rFonts w:cstheme="minorHAnsi"/>
                <w:sz w:val="24"/>
                <w:szCs w:val="24"/>
              </w:rPr>
              <w:t>Współpraca Wnioskodawcy z jednostkami B+R potwierdzona jest stosownymi dokumentami np. porozumienie o współpracy, umowa.</w:t>
            </w:r>
          </w:p>
          <w:p w14:paraId="56C084DD" w14:textId="77777777" w:rsidR="00230E1B" w:rsidRPr="00A82C13" w:rsidRDefault="00230E1B" w:rsidP="00230E1B">
            <w:pPr>
              <w:spacing w:after="0" w:line="240" w:lineRule="auto"/>
              <w:rPr>
                <w:rFonts w:cstheme="minorHAnsi"/>
                <w:sz w:val="24"/>
                <w:szCs w:val="24"/>
                <w:u w:val="single"/>
              </w:rPr>
            </w:pPr>
          </w:p>
          <w:p w14:paraId="32B60441" w14:textId="77777777" w:rsidR="00230E1B" w:rsidRPr="00A82C13" w:rsidRDefault="00230E1B" w:rsidP="00230E1B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4"/>
                <w:szCs w:val="24"/>
                <w:lang w:eastAsia="pl-PL"/>
              </w:rPr>
            </w:pPr>
            <w:r w:rsidRPr="00A82C13">
              <w:rPr>
                <w:rFonts w:cs="Verdana"/>
                <w:color w:val="000000"/>
                <w:sz w:val="24"/>
                <w:szCs w:val="24"/>
                <w:lang w:eastAsia="pl-PL"/>
              </w:rPr>
              <w:t>System szkolnictwa wyższego i nauki zgodnie z Ustawą Prawo o szkolnictwie wyższym i nauce, tworzą  jednostki B+R:</w:t>
            </w:r>
          </w:p>
          <w:p w14:paraId="0BCDEFA8" w14:textId="77777777" w:rsidR="00230E1B" w:rsidRPr="00A82C13" w:rsidRDefault="00230E1B" w:rsidP="00230E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4"/>
                <w:szCs w:val="24"/>
                <w:lang w:eastAsia="pl-PL"/>
              </w:rPr>
            </w:pPr>
            <w:r w:rsidRPr="00A82C13">
              <w:rPr>
                <w:rFonts w:cs="Verdana"/>
                <w:color w:val="000000"/>
                <w:sz w:val="24"/>
                <w:szCs w:val="24"/>
                <w:lang w:eastAsia="pl-PL"/>
              </w:rPr>
              <w:t>uczelnie;</w:t>
            </w:r>
          </w:p>
          <w:p w14:paraId="766FC2CA" w14:textId="77777777" w:rsidR="00230E1B" w:rsidRPr="00A82C13" w:rsidRDefault="00230E1B" w:rsidP="00230E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4"/>
                <w:szCs w:val="24"/>
                <w:lang w:eastAsia="pl-PL"/>
              </w:rPr>
            </w:pPr>
            <w:r w:rsidRPr="00A82C13">
              <w:rPr>
                <w:rFonts w:cs="Verdana"/>
                <w:color w:val="000000"/>
                <w:sz w:val="24"/>
                <w:szCs w:val="24"/>
                <w:lang w:eastAsia="pl-PL"/>
              </w:rPr>
              <w:t>federacje podmiotów systemu szkolnictwa wyższego i nauki, zwane dalej „federacjami”;</w:t>
            </w:r>
          </w:p>
          <w:p w14:paraId="3890B984" w14:textId="77777777" w:rsidR="00230E1B" w:rsidRPr="00A82C13" w:rsidRDefault="00230E1B" w:rsidP="00230E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4"/>
                <w:szCs w:val="24"/>
                <w:lang w:eastAsia="pl-PL"/>
              </w:rPr>
            </w:pPr>
            <w:r w:rsidRPr="00A82C13">
              <w:rPr>
                <w:rFonts w:cs="Verdana"/>
                <w:color w:val="000000"/>
                <w:sz w:val="24"/>
                <w:szCs w:val="24"/>
                <w:lang w:eastAsia="pl-PL"/>
              </w:rPr>
              <w:t>Polska Akademia Nauk, działająca na podstawie ustawy z dnia 30 kwietnia 2010 r. o Polskiej Akademii Nauk (Dz. U. z 2020 r. poz. 1796), zwana dalej „PAN”;</w:t>
            </w:r>
          </w:p>
          <w:p w14:paraId="2329D9CB" w14:textId="77777777" w:rsidR="00230E1B" w:rsidRPr="00A82C13" w:rsidRDefault="00230E1B" w:rsidP="00230E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4"/>
                <w:szCs w:val="24"/>
                <w:lang w:eastAsia="pl-PL"/>
              </w:rPr>
            </w:pPr>
            <w:r w:rsidRPr="00A82C13">
              <w:rPr>
                <w:rFonts w:cs="Verdana"/>
                <w:color w:val="000000"/>
                <w:sz w:val="24"/>
                <w:szCs w:val="24"/>
                <w:lang w:eastAsia="pl-PL"/>
              </w:rPr>
              <w:t>instytuty naukowe PAN, działające na podstawie ustawy, o której mowa w pkt 3, zwane dalej „instytutami PAN”;</w:t>
            </w:r>
          </w:p>
          <w:p w14:paraId="1794F63F" w14:textId="77777777" w:rsidR="00230E1B" w:rsidRPr="00A82C13" w:rsidRDefault="00230E1B" w:rsidP="00230E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4"/>
                <w:szCs w:val="24"/>
                <w:lang w:eastAsia="pl-PL"/>
              </w:rPr>
            </w:pPr>
            <w:r w:rsidRPr="00A82C13">
              <w:rPr>
                <w:rFonts w:cs="Verdana"/>
                <w:color w:val="000000"/>
                <w:sz w:val="24"/>
                <w:szCs w:val="24"/>
                <w:lang w:eastAsia="pl-PL"/>
              </w:rPr>
              <w:t>instytuty badawcze, działające na podstawie ustawy z dnia 30 kwietnia 2010 r. o instytutach badawczych (Dz. U. z 2022 r. poz. 498);</w:t>
            </w:r>
          </w:p>
          <w:p w14:paraId="48B79CE3" w14:textId="77777777" w:rsidR="00230E1B" w:rsidRPr="00A82C13" w:rsidRDefault="00230E1B" w:rsidP="00230E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4"/>
                <w:szCs w:val="24"/>
                <w:lang w:eastAsia="pl-PL"/>
              </w:rPr>
            </w:pPr>
            <w:r w:rsidRPr="00A82C13">
              <w:rPr>
                <w:rFonts w:cs="Verdana"/>
                <w:color w:val="000000"/>
                <w:sz w:val="24"/>
                <w:szCs w:val="24"/>
                <w:lang w:eastAsia="pl-PL"/>
              </w:rPr>
              <w:lastRenderedPageBreak/>
              <w:t>międzynarodowe instytuty naukowe utworzone na podstawie odrębnych ustaw działające na terytorium Rzeczypospolitej Polskiej, zwane dalej „instytutami międzynarodowymi”;</w:t>
            </w:r>
          </w:p>
          <w:p w14:paraId="470A8DAD" w14:textId="77777777" w:rsidR="00230E1B" w:rsidRPr="00A82C13" w:rsidRDefault="00230E1B" w:rsidP="00230E1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="Verdana"/>
                <w:color w:val="000000"/>
                <w:sz w:val="24"/>
                <w:szCs w:val="24"/>
                <w:lang w:eastAsia="pl-PL"/>
              </w:rPr>
            </w:pPr>
            <w:r w:rsidRPr="00A82C13">
              <w:rPr>
                <w:rFonts w:cs="Verdana"/>
                <w:color w:val="000000"/>
                <w:sz w:val="24"/>
                <w:szCs w:val="24"/>
                <w:lang w:eastAsia="pl-PL"/>
              </w:rPr>
              <w:t>6a. Centrum Łukasiewicz, działające na podstawie ustawy z dnia 21 lutego 2019 r. o Sieci Badawczej Łukasiewicz (Dz. U. z 2020 r. poz. 2098);</w:t>
            </w:r>
          </w:p>
          <w:p w14:paraId="7AE9FE2F" w14:textId="77777777" w:rsidR="00230E1B" w:rsidRPr="00A82C13" w:rsidRDefault="00230E1B" w:rsidP="00230E1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="Verdana"/>
                <w:color w:val="000000"/>
                <w:sz w:val="24"/>
                <w:szCs w:val="24"/>
                <w:lang w:eastAsia="pl-PL"/>
              </w:rPr>
            </w:pPr>
            <w:r w:rsidRPr="00A82C13">
              <w:rPr>
                <w:rFonts w:cs="Verdana"/>
                <w:color w:val="000000"/>
                <w:sz w:val="24"/>
                <w:szCs w:val="24"/>
                <w:lang w:eastAsia="pl-PL"/>
              </w:rPr>
              <w:t>6b. instytuty działające w ramach Sieci Badawczej Łukasiewicz, zwane dalej „instytutami Sieci Łukasiewicz”;</w:t>
            </w:r>
          </w:p>
          <w:p w14:paraId="7DC95731" w14:textId="77777777" w:rsidR="00230E1B" w:rsidRPr="00A82C13" w:rsidRDefault="00230E1B" w:rsidP="00230E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4"/>
                <w:szCs w:val="24"/>
                <w:lang w:eastAsia="pl-PL"/>
              </w:rPr>
            </w:pPr>
            <w:r w:rsidRPr="00A82C13">
              <w:rPr>
                <w:rFonts w:cs="Verdana"/>
                <w:color w:val="000000"/>
                <w:sz w:val="24"/>
                <w:szCs w:val="24"/>
                <w:lang w:eastAsia="pl-PL"/>
              </w:rPr>
              <w:t>Polska Akademia Umiejętności, zwana dalej „PAU”;</w:t>
            </w:r>
          </w:p>
          <w:p w14:paraId="3022F866" w14:textId="77777777" w:rsidR="00230E1B" w:rsidRPr="00A82C13" w:rsidRDefault="00230E1B" w:rsidP="00230E1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4"/>
                <w:szCs w:val="24"/>
                <w:lang w:eastAsia="pl-PL"/>
              </w:rPr>
            </w:pPr>
            <w:r w:rsidRPr="00A82C13">
              <w:rPr>
                <w:rFonts w:cs="Verdana"/>
                <w:color w:val="000000"/>
                <w:sz w:val="24"/>
                <w:szCs w:val="24"/>
                <w:lang w:eastAsia="pl-PL"/>
              </w:rPr>
              <w:t>inne podmioty prowadzące głównie działalność naukową w sposób samodzielny i ciągły.</w:t>
            </w:r>
          </w:p>
          <w:p w14:paraId="48A035CC" w14:textId="77777777" w:rsidR="00230E1B" w:rsidRPr="00A82C13" w:rsidRDefault="00230E1B" w:rsidP="00230E1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="Verdana"/>
                <w:color w:val="000000"/>
                <w:sz w:val="24"/>
                <w:szCs w:val="24"/>
                <w:lang w:eastAsia="pl-PL"/>
              </w:rPr>
            </w:pPr>
          </w:p>
          <w:p w14:paraId="647EBD97" w14:textId="453CBDA8" w:rsidR="00230E1B" w:rsidRDefault="00230E1B" w:rsidP="00230E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82C13"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 i/lub informacji do</w:t>
            </w:r>
            <w:r>
              <w:rPr>
                <w:rFonts w:cstheme="minorHAnsi"/>
                <w:sz w:val="24"/>
                <w:szCs w:val="24"/>
              </w:rPr>
              <w:t xml:space="preserve">tyczących projektu pozyskanych </w:t>
            </w:r>
            <w:r w:rsidRPr="00A82C13">
              <w:rPr>
                <w:rFonts w:cstheme="minorHAnsi"/>
                <w:sz w:val="24"/>
                <w:szCs w:val="24"/>
              </w:rPr>
              <w:t>w inny sposób.</w:t>
            </w:r>
          </w:p>
        </w:tc>
        <w:tc>
          <w:tcPr>
            <w:tcW w:w="558" w:type="pct"/>
            <w:vAlign w:val="center"/>
          </w:tcPr>
          <w:p w14:paraId="6D3C2E68" w14:textId="77777777" w:rsidR="00230E1B" w:rsidRDefault="00230E1B" w:rsidP="00230E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230E1B" w:rsidRPr="00796D16" w14:paraId="6CD6849C" w14:textId="77777777" w:rsidTr="000860DA">
        <w:trPr>
          <w:trHeight w:val="644"/>
          <w:jc w:val="center"/>
        </w:trPr>
        <w:tc>
          <w:tcPr>
            <w:tcW w:w="163" w:type="pct"/>
            <w:noWrap/>
            <w:vAlign w:val="center"/>
          </w:tcPr>
          <w:p w14:paraId="358A2413" w14:textId="77777777" w:rsidR="00230E1B" w:rsidRDefault="00230E1B" w:rsidP="00230E1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1139" w:type="pct"/>
            <w:vAlign w:val="center"/>
          </w:tcPr>
          <w:p w14:paraId="0F96AAF2" w14:textId="77777777" w:rsidR="00230E1B" w:rsidRDefault="00230E1B" w:rsidP="00230E1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862DE1">
              <w:rPr>
                <w:rFonts w:asciiTheme="minorHAnsi" w:hAnsiTheme="minorHAnsi" w:cstheme="minorHAnsi"/>
                <w:bCs/>
                <w:sz w:val="24"/>
                <w:szCs w:val="24"/>
              </w:rPr>
              <w:t>Doświadczenie w zakresie organizacji i koordynowania procesu przedsiębiorczego odkrywania na rzecz RSI</w:t>
            </w:r>
          </w:p>
        </w:tc>
        <w:tc>
          <w:tcPr>
            <w:tcW w:w="3140" w:type="pct"/>
            <w:vAlign w:val="center"/>
          </w:tcPr>
          <w:p w14:paraId="0D2C4528" w14:textId="77777777" w:rsidR="00230E1B" w:rsidRPr="00A82C13" w:rsidRDefault="00230E1B" w:rsidP="00230E1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2C13">
              <w:rPr>
                <w:rFonts w:cstheme="minorHAnsi"/>
                <w:sz w:val="24"/>
                <w:szCs w:val="24"/>
              </w:rPr>
              <w:t xml:space="preserve">Wnioskodawca posiada doświadczenie w zakresie </w:t>
            </w:r>
            <w:r w:rsidRPr="00A82C13">
              <w:rPr>
                <w:rFonts w:cstheme="minorHAnsi"/>
                <w:bCs/>
                <w:sz w:val="24"/>
                <w:szCs w:val="24"/>
              </w:rPr>
              <w:t>organizacji i koordynowania procesu przedsiębiorczego odkrywania na rzecz RSI tj. identyfikacji inteligentnych specjalizacji, współpracy w tym zakresie z IOB, potencjału gospodarczego Regionu.</w:t>
            </w:r>
          </w:p>
          <w:p w14:paraId="7665C673" w14:textId="77777777" w:rsidR="00230E1B" w:rsidRPr="00A82C13" w:rsidRDefault="00230E1B" w:rsidP="00230E1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E655215" w14:textId="397B2F73" w:rsidR="00230E1B" w:rsidRDefault="00230E1B" w:rsidP="00230E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82C13">
              <w:rPr>
                <w:rFonts w:cstheme="minorHAnsi"/>
                <w:sz w:val="24"/>
                <w:szCs w:val="24"/>
              </w:rPr>
              <w:t xml:space="preserve">Kryterium weryfikowane na podstawie zapisów wniosku o dofinansowanie i załączników i/lub wyjaśnień udzielonych przez Wnioskodawcę i/lub informacji dotyczących projektu pozyskanych </w:t>
            </w:r>
            <w:r w:rsidRPr="00A82C13">
              <w:rPr>
                <w:rFonts w:cstheme="minorHAnsi"/>
                <w:sz w:val="24"/>
                <w:szCs w:val="24"/>
              </w:rPr>
              <w:br/>
              <w:t>w inny sposób.</w:t>
            </w:r>
          </w:p>
        </w:tc>
        <w:tc>
          <w:tcPr>
            <w:tcW w:w="558" w:type="pct"/>
            <w:vAlign w:val="center"/>
          </w:tcPr>
          <w:p w14:paraId="700AE3EA" w14:textId="77777777" w:rsidR="00230E1B" w:rsidRDefault="00230E1B" w:rsidP="00230E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230E1B" w:rsidRPr="00796D16" w14:paraId="27A7ED09" w14:textId="77777777" w:rsidTr="000860DA">
        <w:trPr>
          <w:trHeight w:val="644"/>
          <w:jc w:val="center"/>
        </w:trPr>
        <w:tc>
          <w:tcPr>
            <w:tcW w:w="163" w:type="pct"/>
            <w:noWrap/>
            <w:vAlign w:val="center"/>
          </w:tcPr>
          <w:p w14:paraId="7CAA5791" w14:textId="77777777" w:rsidR="00230E1B" w:rsidRDefault="00230E1B" w:rsidP="00230E1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1139" w:type="pct"/>
            <w:vAlign w:val="center"/>
          </w:tcPr>
          <w:p w14:paraId="2DEE6278" w14:textId="77777777" w:rsidR="00230E1B" w:rsidRDefault="00230E1B" w:rsidP="00230E1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61A58">
              <w:rPr>
                <w:rFonts w:asciiTheme="minorHAnsi" w:hAnsiTheme="minorHAnsi" w:cstheme="minorHAnsi"/>
                <w:sz w:val="24"/>
                <w:szCs w:val="24"/>
              </w:rPr>
              <w:t>Doświadczenie w zakresie współpracy z przedsiębiorstwami</w:t>
            </w:r>
          </w:p>
        </w:tc>
        <w:tc>
          <w:tcPr>
            <w:tcW w:w="3140" w:type="pct"/>
            <w:vAlign w:val="center"/>
          </w:tcPr>
          <w:p w14:paraId="3A9A1C02" w14:textId="77777777" w:rsidR="00230E1B" w:rsidRPr="00A82C13" w:rsidRDefault="00230E1B" w:rsidP="00230E1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2C13">
              <w:rPr>
                <w:rFonts w:cstheme="minorHAnsi"/>
                <w:sz w:val="24"/>
                <w:szCs w:val="24"/>
              </w:rPr>
              <w:t>Wnioskodawca posiada doświadczenie w zakresie współpracy z przedsiębiorstwami w obszarach:</w:t>
            </w:r>
          </w:p>
          <w:p w14:paraId="45314288" w14:textId="77777777" w:rsidR="00230E1B" w:rsidRPr="00A82C13" w:rsidRDefault="00230E1B" w:rsidP="00230E1B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A82C13">
              <w:rPr>
                <w:rFonts w:cstheme="minorHAnsi"/>
                <w:sz w:val="24"/>
                <w:szCs w:val="24"/>
              </w:rPr>
              <w:t>koordynacji i realizacji prorozwojowych usług doradczych o charakterze specjalistycznym dla firm;</w:t>
            </w:r>
          </w:p>
          <w:p w14:paraId="0DD23207" w14:textId="77777777" w:rsidR="00230E1B" w:rsidRPr="00A82C13" w:rsidRDefault="00230E1B" w:rsidP="00230E1B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A82C13">
              <w:rPr>
                <w:rFonts w:cstheme="minorHAnsi"/>
                <w:sz w:val="24"/>
                <w:szCs w:val="24"/>
              </w:rPr>
              <w:t>koordynacji i wdrażaniu proinnowacyjnych usług dla przedsiębiorstw;</w:t>
            </w:r>
          </w:p>
          <w:p w14:paraId="53D5E91E" w14:textId="77777777" w:rsidR="00230E1B" w:rsidRPr="00A82C13" w:rsidRDefault="00230E1B" w:rsidP="00230E1B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A82C13">
              <w:rPr>
                <w:rFonts w:cstheme="minorHAnsi"/>
                <w:sz w:val="24"/>
                <w:szCs w:val="24"/>
              </w:rPr>
              <w:lastRenderedPageBreak/>
              <w:t>podnoszenia kompetencji pracowników MŚP.</w:t>
            </w:r>
          </w:p>
          <w:p w14:paraId="505D150A" w14:textId="77777777" w:rsidR="00230E1B" w:rsidRPr="00A82C13" w:rsidRDefault="00230E1B" w:rsidP="00230E1B">
            <w:pPr>
              <w:spacing w:after="0" w:line="240" w:lineRule="auto"/>
              <w:ind w:left="720"/>
              <w:contextualSpacing/>
              <w:rPr>
                <w:rFonts w:cstheme="minorHAnsi"/>
                <w:sz w:val="24"/>
                <w:szCs w:val="24"/>
              </w:rPr>
            </w:pPr>
          </w:p>
          <w:p w14:paraId="1DFD051D" w14:textId="77777777" w:rsidR="00230E1B" w:rsidRPr="00A82C13" w:rsidRDefault="00230E1B" w:rsidP="00230E1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2C13">
              <w:rPr>
                <w:rFonts w:cstheme="minorHAnsi"/>
                <w:sz w:val="24"/>
                <w:szCs w:val="24"/>
              </w:rPr>
              <w:t>Kryterium uznaje się za spełnione w sytuacji, gdy zostały spełnione wszystkie ww. warunki.</w:t>
            </w:r>
          </w:p>
          <w:p w14:paraId="0EB9F345" w14:textId="77777777" w:rsidR="00230E1B" w:rsidRPr="00A82C13" w:rsidRDefault="00230E1B" w:rsidP="00230E1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BA9D9A1" w14:textId="0EB6475B" w:rsidR="00230E1B" w:rsidRDefault="00230E1B" w:rsidP="00230E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82C13">
              <w:rPr>
                <w:rFonts w:cstheme="minorHAnsi"/>
                <w:sz w:val="24"/>
                <w:szCs w:val="24"/>
              </w:rPr>
              <w:t xml:space="preserve">Kryterium weryfikowane na podstawie zapisów wniosku o dofinansowanie i załączników i/lub wyjaśnień udzielonych przez Wnioskodawcę i/lub informacji dotyczących projektu pozyskanych </w:t>
            </w:r>
            <w:r w:rsidRPr="00A82C13">
              <w:rPr>
                <w:rFonts w:cstheme="minorHAnsi"/>
                <w:sz w:val="24"/>
                <w:szCs w:val="24"/>
              </w:rPr>
              <w:br/>
              <w:t>w inny sposób.</w:t>
            </w:r>
          </w:p>
        </w:tc>
        <w:tc>
          <w:tcPr>
            <w:tcW w:w="558" w:type="pct"/>
            <w:vAlign w:val="center"/>
          </w:tcPr>
          <w:p w14:paraId="4E0EC4FD" w14:textId="77777777" w:rsidR="00230E1B" w:rsidRDefault="00230E1B" w:rsidP="00230E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230E1B" w:rsidRPr="00796D16" w14:paraId="1C1B55D3" w14:textId="77777777" w:rsidTr="000860DA">
        <w:trPr>
          <w:trHeight w:val="644"/>
          <w:jc w:val="center"/>
        </w:trPr>
        <w:tc>
          <w:tcPr>
            <w:tcW w:w="163" w:type="pct"/>
            <w:noWrap/>
            <w:vAlign w:val="center"/>
          </w:tcPr>
          <w:p w14:paraId="703D44EA" w14:textId="77777777" w:rsidR="00230E1B" w:rsidRDefault="00230E1B" w:rsidP="00230E1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1139" w:type="pct"/>
            <w:vAlign w:val="center"/>
          </w:tcPr>
          <w:p w14:paraId="7989AC41" w14:textId="77777777" w:rsidR="00230E1B" w:rsidRPr="00670C48" w:rsidRDefault="00230E1B" w:rsidP="00230E1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B162B">
              <w:rPr>
                <w:rFonts w:eastAsia="Calibri" w:cs="Calibri"/>
                <w:sz w:val="24"/>
                <w:szCs w:val="24"/>
              </w:rPr>
              <w:t>Doświadczenie w zakresie współpracy z instytucjami otoczenia biznesu</w:t>
            </w:r>
          </w:p>
        </w:tc>
        <w:tc>
          <w:tcPr>
            <w:tcW w:w="3140" w:type="pct"/>
            <w:vAlign w:val="center"/>
          </w:tcPr>
          <w:p w14:paraId="0907F73F" w14:textId="77777777" w:rsidR="00230E1B" w:rsidRPr="00A82C13" w:rsidRDefault="00230E1B" w:rsidP="00230E1B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A82C13">
              <w:rPr>
                <w:rFonts w:cstheme="minorHAnsi"/>
                <w:color w:val="000000"/>
                <w:sz w:val="24"/>
                <w:szCs w:val="24"/>
                <w:lang w:eastAsia="pl-PL"/>
              </w:rPr>
              <w:t>Wnioskodawca posiada doświadczenie w zakresie współpracy z IOB na rzecz:</w:t>
            </w:r>
          </w:p>
          <w:p w14:paraId="11A4D600" w14:textId="77777777" w:rsidR="00230E1B" w:rsidRPr="00A82C13" w:rsidRDefault="00230E1B" w:rsidP="00230E1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A82C13">
              <w:rPr>
                <w:rFonts w:cstheme="minorHAnsi"/>
                <w:color w:val="000000"/>
                <w:sz w:val="24"/>
                <w:szCs w:val="24"/>
                <w:lang w:eastAsia="pl-PL"/>
              </w:rPr>
              <w:t>rozwijania oferty usług prorozwojowych i proinnowacyjnych dla przedsiębiorstw;</w:t>
            </w:r>
          </w:p>
          <w:p w14:paraId="7BB2749F" w14:textId="77777777" w:rsidR="00230E1B" w:rsidRPr="00A82C13" w:rsidRDefault="00230E1B" w:rsidP="00230E1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A82C13">
              <w:rPr>
                <w:rFonts w:cstheme="minorHAnsi"/>
                <w:color w:val="000000"/>
                <w:sz w:val="24"/>
                <w:szCs w:val="24"/>
                <w:lang w:eastAsia="pl-PL"/>
              </w:rPr>
              <w:t>rozwijanie oferty usług doradczych dla przedsiębiorstw;</w:t>
            </w:r>
          </w:p>
          <w:p w14:paraId="0830E190" w14:textId="77777777" w:rsidR="00230E1B" w:rsidRPr="00A82C13" w:rsidRDefault="00230E1B" w:rsidP="00230E1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A82C13">
              <w:rPr>
                <w:rFonts w:cstheme="minorHAnsi"/>
                <w:color w:val="000000"/>
                <w:sz w:val="24"/>
                <w:szCs w:val="24"/>
                <w:lang w:eastAsia="pl-PL"/>
              </w:rPr>
              <w:t>podnoszenia kompetencji pracowników MŚP.</w:t>
            </w:r>
          </w:p>
          <w:p w14:paraId="564A1712" w14:textId="77777777" w:rsidR="00230E1B" w:rsidRPr="00A82C13" w:rsidRDefault="00230E1B" w:rsidP="00230E1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2C13">
              <w:rPr>
                <w:rFonts w:cstheme="minorHAnsi"/>
                <w:sz w:val="24"/>
                <w:szCs w:val="24"/>
              </w:rPr>
              <w:t>Kryterium uznaje się za spełnione w sytuacji, gdy zostały spełnione wszystkie ww. warunki.</w:t>
            </w:r>
          </w:p>
          <w:p w14:paraId="7363EB7F" w14:textId="77777777" w:rsidR="00230E1B" w:rsidRPr="00A82C13" w:rsidRDefault="00230E1B" w:rsidP="00230E1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08E226C" w14:textId="5B4E5ECC" w:rsidR="00230E1B" w:rsidRPr="00670C48" w:rsidRDefault="00230E1B" w:rsidP="00230E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82C13">
              <w:rPr>
                <w:rFonts w:cstheme="minorHAnsi"/>
                <w:sz w:val="24"/>
                <w:szCs w:val="24"/>
              </w:rPr>
              <w:t xml:space="preserve">Kryterium weryfikowane na podstawie zapisów wniosku o dofinansowanie i załączników i/lub wyjaśnień udzielonych przez Wnioskodawcę i/lub informacji dotyczących projektu pozyskanych </w:t>
            </w:r>
            <w:r w:rsidRPr="00A82C13">
              <w:rPr>
                <w:rFonts w:cstheme="minorHAnsi"/>
                <w:sz w:val="24"/>
                <w:szCs w:val="24"/>
              </w:rPr>
              <w:br/>
              <w:t>w inny sposób.</w:t>
            </w:r>
          </w:p>
        </w:tc>
        <w:tc>
          <w:tcPr>
            <w:tcW w:w="558" w:type="pct"/>
            <w:vAlign w:val="center"/>
          </w:tcPr>
          <w:p w14:paraId="07CB44CE" w14:textId="77777777" w:rsidR="00230E1B" w:rsidRDefault="00230E1B" w:rsidP="00230E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230E1B" w:rsidRPr="00796D16" w14:paraId="29598026" w14:textId="77777777" w:rsidTr="000860DA">
        <w:trPr>
          <w:trHeight w:val="644"/>
          <w:jc w:val="center"/>
        </w:trPr>
        <w:tc>
          <w:tcPr>
            <w:tcW w:w="163" w:type="pct"/>
            <w:noWrap/>
            <w:vAlign w:val="center"/>
          </w:tcPr>
          <w:p w14:paraId="5FB841F6" w14:textId="77777777" w:rsidR="00230E1B" w:rsidRDefault="00230E1B" w:rsidP="00230E1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1139" w:type="pct"/>
            <w:vAlign w:val="center"/>
          </w:tcPr>
          <w:p w14:paraId="3AC7710E" w14:textId="77777777" w:rsidR="00230E1B" w:rsidRDefault="00230E1B" w:rsidP="00230E1B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9732B4">
              <w:rPr>
                <w:rFonts w:cs="Calibri"/>
                <w:color w:val="000000"/>
                <w:sz w:val="24"/>
                <w:szCs w:val="24"/>
              </w:rPr>
              <w:t xml:space="preserve">Wnioskodawca dysponuje procedurami zapewniającymi </w:t>
            </w:r>
            <w:r>
              <w:rPr>
                <w:rFonts w:cs="Calibri"/>
                <w:color w:val="000000"/>
                <w:sz w:val="24"/>
                <w:szCs w:val="24"/>
              </w:rPr>
              <w:t>prawidłową realizację projektu</w:t>
            </w:r>
          </w:p>
        </w:tc>
        <w:tc>
          <w:tcPr>
            <w:tcW w:w="3140" w:type="pct"/>
            <w:vAlign w:val="center"/>
          </w:tcPr>
          <w:p w14:paraId="7EEA1AB5" w14:textId="77777777" w:rsidR="00230E1B" w:rsidRPr="00A82C13" w:rsidRDefault="00230E1B" w:rsidP="00230E1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2C13">
              <w:rPr>
                <w:rFonts w:cstheme="minorHAnsi"/>
                <w:sz w:val="24"/>
                <w:szCs w:val="24"/>
              </w:rPr>
              <w:t xml:space="preserve">Ocenie w ramach kryterium podlega czy Wnioskodawca przedstawił regulamin: </w:t>
            </w:r>
          </w:p>
          <w:p w14:paraId="760F7E52" w14:textId="77777777" w:rsidR="00230E1B" w:rsidRPr="00A82C13" w:rsidRDefault="00230E1B" w:rsidP="00230E1B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A82C13">
              <w:rPr>
                <w:rFonts w:cstheme="minorHAnsi"/>
                <w:sz w:val="24"/>
                <w:szCs w:val="24"/>
              </w:rPr>
              <w:t>w którym zawarte zostały wszystkie niezbędne informacje dotyczące organizacji i przeprowadzenia procesu związanego z realizacją projektu;</w:t>
            </w:r>
          </w:p>
          <w:p w14:paraId="4B6E17A2" w14:textId="77777777" w:rsidR="00230E1B" w:rsidRPr="00A82C13" w:rsidRDefault="00230E1B" w:rsidP="00230E1B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A82C13">
              <w:rPr>
                <w:rFonts w:cstheme="minorHAnsi"/>
                <w:sz w:val="24"/>
                <w:szCs w:val="24"/>
              </w:rPr>
              <w:t>który uwzględnia wszystkie warunki realizacji projektów wskazane w SZOP 2021-2027 właściwym dla danego postępowania niekonkurencyjnego.</w:t>
            </w:r>
          </w:p>
          <w:p w14:paraId="598D87D4" w14:textId="77777777" w:rsidR="00230E1B" w:rsidRPr="00A82C13" w:rsidRDefault="00230E1B" w:rsidP="00230E1B">
            <w:pPr>
              <w:suppressAutoHyphens/>
              <w:autoSpaceDE w:val="0"/>
              <w:snapToGrid w:val="0"/>
              <w:spacing w:after="0"/>
              <w:ind w:right="33"/>
              <w:rPr>
                <w:sz w:val="24"/>
                <w:szCs w:val="24"/>
              </w:rPr>
            </w:pPr>
          </w:p>
          <w:p w14:paraId="3C8C750D" w14:textId="25A0B206" w:rsidR="00230E1B" w:rsidRPr="00230E1B" w:rsidRDefault="00230E1B" w:rsidP="00230E1B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</w:rPr>
            </w:pPr>
            <w:r w:rsidRPr="00230E1B">
              <w:rPr>
                <w:rFonts w:asciiTheme="minorHAnsi" w:hAnsiTheme="minorHAnsi" w:cstheme="minorHAnsi"/>
              </w:rPr>
              <w:t xml:space="preserve">Kryterium weryfikowane na podstawie zapisów wniosku o dofinansowanie i załączników i/lub wyjaśnień udzielonych przez Wnioskodawcę i/lub informacji dotyczących projektu pozyskanych </w:t>
            </w:r>
            <w:r w:rsidRPr="00230E1B">
              <w:rPr>
                <w:rFonts w:asciiTheme="minorHAnsi" w:hAnsiTheme="minorHAnsi" w:cstheme="minorHAnsi"/>
              </w:rPr>
              <w:br/>
              <w:t>w inny sposób.</w:t>
            </w:r>
          </w:p>
        </w:tc>
        <w:tc>
          <w:tcPr>
            <w:tcW w:w="558" w:type="pct"/>
            <w:vAlign w:val="center"/>
          </w:tcPr>
          <w:p w14:paraId="73734CE2" w14:textId="77777777" w:rsidR="00230E1B" w:rsidRDefault="00230E1B" w:rsidP="00230E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</w:tbl>
    <w:p w14:paraId="699609FE" w14:textId="77777777" w:rsidR="00823402" w:rsidRDefault="00823402"/>
    <w:p w14:paraId="3C0A4D75" w14:textId="77777777" w:rsidR="00D320D4" w:rsidRDefault="00D320D4"/>
    <w:p w14:paraId="724A68D4" w14:textId="77777777" w:rsidR="00D320D4" w:rsidRDefault="00D320D4"/>
    <w:sectPr w:rsidR="00D320D4" w:rsidSect="007365AB">
      <w:pgSz w:w="16838" w:h="11906" w:orient="landscape"/>
      <w:pgMar w:top="86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BEF99" w14:textId="77777777" w:rsidR="00FE721F" w:rsidRDefault="00FE721F" w:rsidP="00FE721F">
      <w:pPr>
        <w:spacing w:after="0" w:line="240" w:lineRule="auto"/>
      </w:pPr>
      <w:r>
        <w:separator/>
      </w:r>
    </w:p>
  </w:endnote>
  <w:endnote w:type="continuationSeparator" w:id="0">
    <w:p w14:paraId="76220DCE" w14:textId="77777777" w:rsidR="00FE721F" w:rsidRDefault="00FE721F" w:rsidP="00FE7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3E88E" w14:textId="77777777" w:rsidR="00FE721F" w:rsidRDefault="00FE721F" w:rsidP="00FE721F">
      <w:pPr>
        <w:spacing w:after="0" w:line="240" w:lineRule="auto"/>
      </w:pPr>
      <w:r>
        <w:separator/>
      </w:r>
    </w:p>
  </w:footnote>
  <w:footnote w:type="continuationSeparator" w:id="0">
    <w:p w14:paraId="2396D10A" w14:textId="77777777" w:rsidR="00FE721F" w:rsidRDefault="00FE721F" w:rsidP="00FE7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E0DC8"/>
    <w:multiLevelType w:val="multilevel"/>
    <w:tmpl w:val="DE38982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CE1104"/>
    <w:multiLevelType w:val="hybridMultilevel"/>
    <w:tmpl w:val="06EE17BA"/>
    <w:lvl w:ilvl="0" w:tplc="0D502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A2FFC"/>
    <w:multiLevelType w:val="hybridMultilevel"/>
    <w:tmpl w:val="5E24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27ABF"/>
    <w:multiLevelType w:val="hybridMultilevel"/>
    <w:tmpl w:val="6FC07CA2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957E8"/>
    <w:multiLevelType w:val="hybridMultilevel"/>
    <w:tmpl w:val="753CDECA"/>
    <w:lvl w:ilvl="0" w:tplc="28AA65E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02CD6"/>
    <w:multiLevelType w:val="hybridMultilevel"/>
    <w:tmpl w:val="9E1871D6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510F6"/>
    <w:multiLevelType w:val="hybridMultilevel"/>
    <w:tmpl w:val="ABA2F8DC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03BD6"/>
    <w:multiLevelType w:val="hybridMultilevel"/>
    <w:tmpl w:val="6F84B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0689C"/>
    <w:multiLevelType w:val="hybridMultilevel"/>
    <w:tmpl w:val="EFC61F0A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00032"/>
    <w:multiLevelType w:val="hybridMultilevel"/>
    <w:tmpl w:val="5E24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827B4"/>
    <w:multiLevelType w:val="hybridMultilevel"/>
    <w:tmpl w:val="5E24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749DF"/>
    <w:multiLevelType w:val="hybridMultilevel"/>
    <w:tmpl w:val="5E24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914FB"/>
    <w:multiLevelType w:val="hybridMultilevel"/>
    <w:tmpl w:val="082239F8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B73EB"/>
    <w:multiLevelType w:val="hybridMultilevel"/>
    <w:tmpl w:val="A34C1308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65CA2"/>
    <w:multiLevelType w:val="multilevel"/>
    <w:tmpl w:val="E9F2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82C075A"/>
    <w:multiLevelType w:val="hybridMultilevel"/>
    <w:tmpl w:val="78C6A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42750"/>
    <w:multiLevelType w:val="hybridMultilevel"/>
    <w:tmpl w:val="C19E3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03146"/>
    <w:multiLevelType w:val="hybridMultilevel"/>
    <w:tmpl w:val="33525788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16"/>
  </w:num>
  <w:num w:numId="5">
    <w:abstractNumId w:val="17"/>
  </w:num>
  <w:num w:numId="6">
    <w:abstractNumId w:val="3"/>
  </w:num>
  <w:num w:numId="7">
    <w:abstractNumId w:val="6"/>
  </w:num>
  <w:num w:numId="8">
    <w:abstractNumId w:val="14"/>
  </w:num>
  <w:num w:numId="9">
    <w:abstractNumId w:val="13"/>
  </w:num>
  <w:num w:numId="10">
    <w:abstractNumId w:val="9"/>
  </w:num>
  <w:num w:numId="11">
    <w:abstractNumId w:val="10"/>
  </w:num>
  <w:num w:numId="12">
    <w:abstractNumId w:val="0"/>
  </w:num>
  <w:num w:numId="13">
    <w:abstractNumId w:val="2"/>
  </w:num>
  <w:num w:numId="14">
    <w:abstractNumId w:val="11"/>
  </w:num>
  <w:num w:numId="15">
    <w:abstractNumId w:val="1"/>
  </w:num>
  <w:num w:numId="16">
    <w:abstractNumId w:val="5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376"/>
    <w:rsid w:val="00022D97"/>
    <w:rsid w:val="00031706"/>
    <w:rsid w:val="00077046"/>
    <w:rsid w:val="000860DA"/>
    <w:rsid w:val="000A10B3"/>
    <w:rsid w:val="000A6007"/>
    <w:rsid w:val="000B0617"/>
    <w:rsid w:val="000D151B"/>
    <w:rsid w:val="000E78B6"/>
    <w:rsid w:val="000F66BF"/>
    <w:rsid w:val="0011296A"/>
    <w:rsid w:val="00136672"/>
    <w:rsid w:val="00153376"/>
    <w:rsid w:val="001623B4"/>
    <w:rsid w:val="00172C4B"/>
    <w:rsid w:val="001748A1"/>
    <w:rsid w:val="00192F80"/>
    <w:rsid w:val="001B162B"/>
    <w:rsid w:val="001B2581"/>
    <w:rsid w:val="00230E1B"/>
    <w:rsid w:val="00233B3F"/>
    <w:rsid w:val="00242CF5"/>
    <w:rsid w:val="00261A58"/>
    <w:rsid w:val="00265D7F"/>
    <w:rsid w:val="002866B5"/>
    <w:rsid w:val="002B0675"/>
    <w:rsid w:val="002F4D0A"/>
    <w:rsid w:val="003156D6"/>
    <w:rsid w:val="0036537D"/>
    <w:rsid w:val="003C7E33"/>
    <w:rsid w:val="00401EF3"/>
    <w:rsid w:val="00425CE5"/>
    <w:rsid w:val="00444145"/>
    <w:rsid w:val="0047359B"/>
    <w:rsid w:val="004B18CF"/>
    <w:rsid w:val="004C7E13"/>
    <w:rsid w:val="004E0B61"/>
    <w:rsid w:val="004E4309"/>
    <w:rsid w:val="005217B3"/>
    <w:rsid w:val="00576BF9"/>
    <w:rsid w:val="0060505D"/>
    <w:rsid w:val="00667FC9"/>
    <w:rsid w:val="00670C48"/>
    <w:rsid w:val="0067396D"/>
    <w:rsid w:val="006A286F"/>
    <w:rsid w:val="007365AB"/>
    <w:rsid w:val="007A37B0"/>
    <w:rsid w:val="007B16A2"/>
    <w:rsid w:val="00813435"/>
    <w:rsid w:val="00823402"/>
    <w:rsid w:val="0085307C"/>
    <w:rsid w:val="00862DE1"/>
    <w:rsid w:val="00866909"/>
    <w:rsid w:val="008A5E05"/>
    <w:rsid w:val="008A62C7"/>
    <w:rsid w:val="008A6D64"/>
    <w:rsid w:val="009017DE"/>
    <w:rsid w:val="00916477"/>
    <w:rsid w:val="00967F3F"/>
    <w:rsid w:val="009732B4"/>
    <w:rsid w:val="0098609B"/>
    <w:rsid w:val="009F3528"/>
    <w:rsid w:val="00A672C0"/>
    <w:rsid w:val="00AA1209"/>
    <w:rsid w:val="00BB1F28"/>
    <w:rsid w:val="00BC72B2"/>
    <w:rsid w:val="00C67228"/>
    <w:rsid w:val="00C8668F"/>
    <w:rsid w:val="00CC66B7"/>
    <w:rsid w:val="00D320D4"/>
    <w:rsid w:val="00D376BD"/>
    <w:rsid w:val="00D61F89"/>
    <w:rsid w:val="00D7638C"/>
    <w:rsid w:val="00D97846"/>
    <w:rsid w:val="00DB2466"/>
    <w:rsid w:val="00DF4F85"/>
    <w:rsid w:val="00E615FC"/>
    <w:rsid w:val="00FD1EA8"/>
    <w:rsid w:val="00FD7D65"/>
    <w:rsid w:val="00FE721F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E14857"/>
  <w15:chartTrackingRefBased/>
  <w15:docId w15:val="{1A90273F-5CFF-40F8-8A00-6FA21C79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337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Wykres,Akapit z listą1"/>
    <w:basedOn w:val="Normalny"/>
    <w:link w:val="AkapitzlistZnak"/>
    <w:uiPriority w:val="34"/>
    <w:qFormat/>
    <w:rsid w:val="00153376"/>
    <w:pPr>
      <w:ind w:left="720"/>
      <w:contextualSpacing/>
    </w:pPr>
  </w:style>
  <w:style w:type="paragraph" w:customStyle="1" w:styleId="Default">
    <w:name w:val="Default"/>
    <w:rsid w:val="004E0B6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semiHidden/>
    <w:locked/>
    <w:rsid w:val="0060505D"/>
    <w:rPr>
      <w:rFonts w:ascii="Arial" w:eastAsia="Times New Roman" w:hAnsi="Arial" w:cs="Tahoma"/>
      <w:sz w:val="16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Przypis,Char"/>
    <w:basedOn w:val="Normalny"/>
    <w:link w:val="TekstprzypisudolnegoZnak"/>
    <w:semiHidden/>
    <w:unhideWhenUsed/>
    <w:qFormat/>
    <w:rsid w:val="0060505D"/>
    <w:pPr>
      <w:suppressAutoHyphens/>
      <w:spacing w:after="0" w:line="240" w:lineRule="auto"/>
    </w:pPr>
    <w:rPr>
      <w:rFonts w:ascii="Arial" w:hAnsi="Arial" w:cs="Tahoma"/>
      <w:sz w:val="16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0505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semiHidden/>
    <w:unhideWhenUsed/>
    <w:rsid w:val="00FE721F"/>
    <w:rPr>
      <w:rFonts w:ascii="Arial" w:hAnsi="Arial" w:cs="Times New Roman" w:hint="default"/>
      <w:sz w:val="16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2C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2CF5"/>
    <w:rPr>
      <w:rFonts w:ascii="Calibri" w:eastAsia="Times New Roman" w:hAnsi="Calibri" w:cs="Times New Roman"/>
      <w:sz w:val="20"/>
      <w:szCs w:val="20"/>
    </w:rPr>
  </w:style>
  <w:style w:type="paragraph" w:styleId="Nagwek">
    <w:name w:val="header"/>
    <w:basedOn w:val="Normalny"/>
    <w:link w:val="NagwekZnak"/>
    <w:unhideWhenUsed/>
    <w:rsid w:val="00DB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B2466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F4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D0A"/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Numerowanie Znak,List Paragraph Znak,Wykres Znak,Akapit z listą1 Znak"/>
    <w:link w:val="Akapitzlist"/>
    <w:uiPriority w:val="34"/>
    <w:qFormat/>
    <w:locked/>
    <w:rsid w:val="00230E1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Kaliciak-Gebauer</dc:creator>
  <cp:keywords/>
  <dc:description/>
  <cp:lastModifiedBy>Barbara Łuczywo</cp:lastModifiedBy>
  <cp:revision>6</cp:revision>
  <cp:lastPrinted>2023-03-03T12:07:00Z</cp:lastPrinted>
  <dcterms:created xsi:type="dcterms:W3CDTF">2023-03-03T12:15:00Z</dcterms:created>
  <dcterms:modified xsi:type="dcterms:W3CDTF">2023-03-08T08:43:00Z</dcterms:modified>
</cp:coreProperties>
</file>